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highlight w:val="yellow"/>
        </w:rPr>
        <w:id w:val="120037484"/>
        <w:docPartObj>
          <w:docPartGallery w:val="Cover Pages"/>
          <w:docPartUnique/>
        </w:docPartObj>
      </w:sdtPr>
      <w:sdtEndPr>
        <w:rPr>
          <w:b/>
          <w:sz w:val="20"/>
          <w:szCs w:val="20"/>
        </w:rPr>
      </w:sdtEndPr>
      <w:sdtContent>
        <w:p w14:paraId="718E6546" w14:textId="3DEA865B" w:rsidR="00D80B6D" w:rsidRPr="002C00F6" w:rsidRDefault="00D80B6D">
          <w:pPr>
            <w:rPr>
              <w:rFonts w:asciiTheme="minorHAnsi" w:hAnsiTheme="minorHAnsi" w:cstheme="minorHAnsi"/>
              <w:highlight w:val="yellow"/>
            </w:rPr>
          </w:pPr>
        </w:p>
        <w:p w14:paraId="7ED014A1" w14:textId="77777777" w:rsidR="00D80B6D" w:rsidRPr="002C00F6" w:rsidRDefault="00D80B6D" w:rsidP="00D80B6D">
          <w:pPr>
            <w:pStyle w:val="Nadpis3"/>
            <w:spacing w:before="10"/>
            <w:rPr>
              <w:rFonts w:asciiTheme="minorHAnsi" w:hAnsiTheme="minorHAnsi" w:cstheme="minorHAnsi"/>
              <w:color w:val="1D1D1B"/>
              <w:highlight w:val="yellow"/>
            </w:rPr>
          </w:pPr>
        </w:p>
        <w:p w14:paraId="0FB45B67" w14:textId="77777777" w:rsidR="00D80B6D" w:rsidRPr="002C00F6" w:rsidRDefault="00D80B6D" w:rsidP="00D80B6D">
          <w:pPr>
            <w:spacing w:before="230"/>
            <w:ind w:left="165"/>
            <w:jc w:val="center"/>
            <w:rPr>
              <w:rFonts w:asciiTheme="minorHAnsi" w:hAnsiTheme="minorHAnsi" w:cstheme="minorHAnsi"/>
              <w:color w:val="CD1719"/>
              <w:sz w:val="24"/>
            </w:rPr>
          </w:pPr>
          <w:r w:rsidRPr="002C00F6">
            <w:rPr>
              <w:rFonts w:asciiTheme="minorHAnsi" w:hAnsiTheme="minorHAnsi" w:cstheme="minorHAnsi"/>
              <w:color w:val="1D1D1B"/>
              <w:sz w:val="24"/>
            </w:rPr>
            <w:t xml:space="preserve">INDEX HYPOTEČNÍCH ÚVĚRŮ </w:t>
          </w:r>
          <w:r w:rsidRPr="002C00F6">
            <w:rPr>
              <w:rFonts w:asciiTheme="minorHAnsi" w:hAnsiTheme="minorHAnsi" w:cstheme="minorHAnsi"/>
              <w:color w:val="CD1719"/>
              <w:sz w:val="24"/>
            </w:rPr>
            <w:t xml:space="preserve">| </w:t>
          </w:r>
          <w:r w:rsidRPr="002C00F6">
            <w:rPr>
              <w:rFonts w:asciiTheme="minorHAnsi" w:hAnsiTheme="minorHAnsi" w:cstheme="minorHAnsi"/>
              <w:color w:val="1D1D1B"/>
              <w:sz w:val="24"/>
            </w:rPr>
            <w:t xml:space="preserve">FIXINDEX </w:t>
          </w:r>
        </w:p>
        <w:p w14:paraId="6D3B5ACD" w14:textId="14F47C98" w:rsidR="00BC331D" w:rsidRPr="002C00F6" w:rsidRDefault="00BC331D"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REALINDEX</w:t>
          </w:r>
        </w:p>
        <w:p w14:paraId="32900BCE" w14:textId="16FEEC9E" w:rsidR="00D80B6D" w:rsidRPr="002C00F6" w:rsidRDefault="00A252BA"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POV</w:t>
          </w:r>
          <w:r w:rsidR="00D80B6D" w:rsidRPr="002C00F6">
            <w:rPr>
              <w:rFonts w:asciiTheme="minorHAnsi" w:hAnsiTheme="minorHAnsi" w:cstheme="minorHAnsi"/>
              <w:color w:val="1D1D1B"/>
              <w:sz w:val="24"/>
            </w:rPr>
            <w:t xml:space="preserve">INDEX </w:t>
          </w:r>
        </w:p>
        <w:p w14:paraId="35B1FBE8" w14:textId="77777777" w:rsidR="00BC331D" w:rsidRPr="002C00F6" w:rsidRDefault="00BC331D" w:rsidP="00BC331D">
          <w:pPr>
            <w:spacing w:before="240" w:line="288" w:lineRule="exact"/>
            <w:ind w:left="162"/>
            <w:jc w:val="center"/>
            <w:rPr>
              <w:rFonts w:asciiTheme="minorHAnsi" w:hAnsiTheme="minorHAnsi" w:cstheme="minorHAnsi"/>
              <w:color w:val="1D1D1B"/>
              <w:sz w:val="24"/>
            </w:rPr>
          </w:pPr>
          <w:r w:rsidRPr="002C00F6">
            <w:rPr>
              <w:rFonts w:asciiTheme="minorHAnsi" w:hAnsiTheme="minorHAnsi" w:cstheme="minorHAnsi"/>
              <w:color w:val="1D1D1B"/>
              <w:sz w:val="24"/>
            </w:rPr>
            <w:t>INDEX PODÍLOVÝCH FONDŮ</w:t>
          </w:r>
        </w:p>
        <w:p w14:paraId="5B21B8A6" w14:textId="616329FC" w:rsidR="00D80B6D" w:rsidRPr="002C00F6" w:rsidRDefault="00D80B6D" w:rsidP="00BC331D">
          <w:pPr>
            <w:spacing w:before="230"/>
            <w:jc w:val="center"/>
            <w:rPr>
              <w:rFonts w:asciiTheme="minorHAnsi" w:hAnsiTheme="minorHAnsi" w:cstheme="minorHAnsi"/>
              <w:b/>
              <w:color w:val="CD1719"/>
              <w:sz w:val="24"/>
            </w:rPr>
          </w:pPr>
          <w:r w:rsidRPr="002C00F6">
            <w:rPr>
              <w:rFonts w:asciiTheme="minorHAnsi" w:hAnsiTheme="minorHAnsi" w:cstheme="minorHAnsi"/>
              <w:b/>
              <w:color w:val="1D1D1B"/>
              <w:sz w:val="24"/>
            </w:rPr>
            <w:t>INDEX SPOTŘEBITELSKÝCH ÚVĚRŮ</w:t>
          </w:r>
        </w:p>
        <w:p w14:paraId="1FCC0C9E" w14:textId="77777777" w:rsidR="00D80B6D" w:rsidRPr="002C00F6" w:rsidRDefault="00D80B6D" w:rsidP="00D80B6D">
          <w:pPr>
            <w:pStyle w:val="Zkladntext"/>
            <w:spacing w:before="240"/>
            <w:rPr>
              <w:rFonts w:asciiTheme="minorHAnsi" w:hAnsiTheme="minorHAnsi" w:cstheme="minorHAnsi"/>
              <w:sz w:val="20"/>
              <w:highlight w:val="yellow"/>
            </w:rPr>
          </w:pPr>
        </w:p>
        <w:p w14:paraId="720CCDBB" w14:textId="77777777" w:rsidR="00D80B6D" w:rsidRPr="002C00F6" w:rsidRDefault="00D80B6D" w:rsidP="00D80B6D">
          <w:pPr>
            <w:pStyle w:val="Zkladntext"/>
            <w:spacing w:before="240"/>
            <w:rPr>
              <w:rFonts w:asciiTheme="minorHAnsi" w:hAnsiTheme="minorHAnsi" w:cstheme="minorHAnsi"/>
              <w:sz w:val="20"/>
              <w:highlight w:val="yellow"/>
            </w:rPr>
          </w:pPr>
        </w:p>
        <w:p w14:paraId="703D71F2" w14:textId="77777777" w:rsidR="00D80B6D" w:rsidRPr="002C00F6" w:rsidRDefault="00D80B6D" w:rsidP="00D80B6D">
          <w:pPr>
            <w:pStyle w:val="Zkladntext"/>
            <w:rPr>
              <w:rFonts w:asciiTheme="minorHAnsi" w:hAnsiTheme="minorHAnsi" w:cstheme="minorHAnsi"/>
              <w:sz w:val="20"/>
              <w:highlight w:val="yellow"/>
            </w:rPr>
          </w:pPr>
        </w:p>
        <w:p w14:paraId="00494A3A" w14:textId="77777777" w:rsidR="00D80B6D" w:rsidRPr="002C00F6" w:rsidRDefault="00D80B6D" w:rsidP="00D80B6D">
          <w:pPr>
            <w:pStyle w:val="Zkladntext"/>
            <w:rPr>
              <w:rFonts w:asciiTheme="minorHAnsi" w:hAnsiTheme="minorHAnsi" w:cstheme="minorHAnsi"/>
              <w:sz w:val="20"/>
              <w:highlight w:val="yellow"/>
            </w:rPr>
          </w:pPr>
          <w:r w:rsidRPr="002C00F6">
            <w:rPr>
              <w:rFonts w:asciiTheme="minorHAnsi" w:hAnsiTheme="minorHAnsi" w:cstheme="minorHAnsi"/>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2C00F6" w:rsidRDefault="00D80B6D" w:rsidP="00D80B6D">
          <w:pPr>
            <w:pStyle w:val="Zkladntext"/>
            <w:rPr>
              <w:rFonts w:asciiTheme="minorHAnsi" w:hAnsiTheme="minorHAnsi" w:cstheme="minorHAnsi"/>
              <w:sz w:val="20"/>
              <w:highlight w:val="yellow"/>
            </w:rPr>
          </w:pPr>
        </w:p>
        <w:p w14:paraId="2A5F355C" w14:textId="77777777" w:rsidR="00D80B6D" w:rsidRPr="002C00F6" w:rsidRDefault="00D80B6D" w:rsidP="00D80B6D">
          <w:pPr>
            <w:pStyle w:val="Zkladntext"/>
            <w:rPr>
              <w:rFonts w:asciiTheme="minorHAnsi" w:hAnsiTheme="minorHAnsi" w:cstheme="minorHAnsi"/>
              <w:sz w:val="20"/>
              <w:highlight w:val="yellow"/>
            </w:rPr>
          </w:pPr>
        </w:p>
        <w:p w14:paraId="218EE6CB" w14:textId="77777777" w:rsidR="00D80B6D" w:rsidRPr="002C00F6" w:rsidRDefault="00D80B6D" w:rsidP="00D80B6D">
          <w:pPr>
            <w:pStyle w:val="Zkladntext"/>
            <w:rPr>
              <w:rFonts w:asciiTheme="minorHAnsi" w:hAnsiTheme="minorHAnsi" w:cstheme="minorHAnsi"/>
              <w:sz w:val="20"/>
              <w:highlight w:val="yellow"/>
            </w:rPr>
          </w:pPr>
        </w:p>
        <w:p w14:paraId="0238B3AB" w14:textId="77777777" w:rsidR="00D80B6D" w:rsidRPr="002C00F6" w:rsidRDefault="00D80B6D" w:rsidP="00D80B6D">
          <w:pPr>
            <w:pStyle w:val="Zkladntext"/>
            <w:rPr>
              <w:rFonts w:asciiTheme="minorHAnsi" w:hAnsiTheme="minorHAnsi" w:cstheme="minorHAnsi"/>
              <w:sz w:val="20"/>
              <w:highlight w:val="yellow"/>
            </w:rPr>
          </w:pPr>
        </w:p>
        <w:p w14:paraId="54516A42" w14:textId="77777777" w:rsidR="00D80B6D" w:rsidRPr="002C00F6" w:rsidRDefault="00D80B6D" w:rsidP="00D80B6D">
          <w:pPr>
            <w:pStyle w:val="Zkladntext"/>
            <w:rPr>
              <w:rFonts w:asciiTheme="minorHAnsi" w:hAnsiTheme="minorHAnsi" w:cstheme="minorHAnsi"/>
              <w:sz w:val="20"/>
              <w:highlight w:val="yellow"/>
            </w:rPr>
          </w:pPr>
        </w:p>
        <w:p w14:paraId="5266363A" w14:textId="77777777" w:rsidR="00D80B6D" w:rsidRPr="002C00F6" w:rsidRDefault="00D80B6D" w:rsidP="00D80B6D">
          <w:pPr>
            <w:pStyle w:val="Zkladntext"/>
            <w:rPr>
              <w:rFonts w:asciiTheme="minorHAnsi" w:hAnsiTheme="minorHAnsi" w:cstheme="minorHAnsi"/>
              <w:sz w:val="20"/>
              <w:highlight w:val="yellow"/>
            </w:rPr>
          </w:pPr>
        </w:p>
        <w:p w14:paraId="363B2E28" w14:textId="77777777" w:rsidR="00D80B6D" w:rsidRPr="002C00F6" w:rsidRDefault="00D80B6D" w:rsidP="00D80B6D">
          <w:pPr>
            <w:pStyle w:val="Zkladntext"/>
            <w:rPr>
              <w:rFonts w:asciiTheme="minorHAnsi" w:hAnsiTheme="minorHAnsi" w:cstheme="minorHAnsi"/>
              <w:sz w:val="20"/>
              <w:highlight w:val="yellow"/>
            </w:rPr>
          </w:pPr>
        </w:p>
        <w:p w14:paraId="17667B44" w14:textId="77777777" w:rsidR="00D80B6D" w:rsidRPr="002C00F6" w:rsidRDefault="00D80B6D" w:rsidP="00D80B6D">
          <w:pPr>
            <w:pStyle w:val="Zkladntext"/>
            <w:jc w:val="both"/>
            <w:rPr>
              <w:rFonts w:asciiTheme="minorHAnsi" w:hAnsiTheme="minorHAnsi" w:cstheme="minorHAnsi"/>
              <w:color w:val="FFFFFF" w:themeColor="background1"/>
              <w:sz w:val="20"/>
              <w:highlight w:val="yellow"/>
            </w:rPr>
          </w:pPr>
        </w:p>
        <w:p w14:paraId="5193A529" w14:textId="77777777" w:rsidR="00D80B6D" w:rsidRPr="002C00F6" w:rsidRDefault="00D80B6D" w:rsidP="00D80B6D">
          <w:pPr>
            <w:pStyle w:val="Zkladntext"/>
            <w:jc w:val="both"/>
            <w:rPr>
              <w:rFonts w:asciiTheme="minorHAnsi" w:hAnsiTheme="minorHAnsi" w:cstheme="minorHAnsi"/>
              <w:b/>
              <w:sz w:val="20"/>
              <w:highlight w:val="yellow"/>
            </w:rPr>
          </w:pPr>
        </w:p>
        <w:p w14:paraId="2833FE59" w14:textId="77777777" w:rsidR="00D80B6D" w:rsidRPr="002C00F6" w:rsidRDefault="00D80B6D" w:rsidP="00D80B6D">
          <w:pPr>
            <w:pStyle w:val="Zkladntext"/>
            <w:jc w:val="both"/>
            <w:rPr>
              <w:rFonts w:asciiTheme="minorHAnsi" w:hAnsiTheme="minorHAnsi" w:cstheme="minorHAnsi"/>
              <w:b/>
              <w:sz w:val="20"/>
              <w:highlight w:val="yellow"/>
            </w:rPr>
          </w:pPr>
        </w:p>
        <w:p w14:paraId="6DB157BF" w14:textId="77777777" w:rsidR="00D80B6D" w:rsidRPr="002C00F6" w:rsidRDefault="00D80B6D" w:rsidP="00D80B6D">
          <w:pPr>
            <w:pStyle w:val="Zkladntext"/>
            <w:jc w:val="both"/>
            <w:rPr>
              <w:rFonts w:asciiTheme="minorHAnsi" w:hAnsiTheme="minorHAnsi" w:cstheme="minorHAnsi"/>
              <w:b/>
              <w:sz w:val="20"/>
              <w:highlight w:val="yellow"/>
            </w:rPr>
          </w:pPr>
        </w:p>
        <w:p w14:paraId="47803C2A" w14:textId="77777777" w:rsidR="00D80B6D" w:rsidRPr="002C00F6" w:rsidRDefault="00D80B6D" w:rsidP="00D80B6D">
          <w:pPr>
            <w:pStyle w:val="Zkladntext"/>
            <w:jc w:val="both"/>
            <w:rPr>
              <w:rFonts w:asciiTheme="minorHAnsi" w:hAnsiTheme="minorHAnsi" w:cstheme="minorHAnsi"/>
              <w:b/>
              <w:sz w:val="20"/>
              <w:highlight w:val="yellow"/>
            </w:rPr>
          </w:pPr>
        </w:p>
        <w:p w14:paraId="1D90E1D0" w14:textId="77777777" w:rsidR="00D80B6D" w:rsidRPr="002C00F6" w:rsidRDefault="00D80B6D" w:rsidP="00D80B6D">
          <w:pPr>
            <w:pStyle w:val="Zkladntext"/>
            <w:jc w:val="both"/>
            <w:rPr>
              <w:rFonts w:asciiTheme="minorHAnsi" w:hAnsiTheme="minorHAnsi" w:cstheme="minorHAnsi"/>
              <w:b/>
              <w:sz w:val="20"/>
              <w:highlight w:val="yellow"/>
            </w:rPr>
          </w:pPr>
        </w:p>
        <w:p w14:paraId="5A33B823" w14:textId="77777777" w:rsidR="00D80B6D" w:rsidRPr="002C00F6" w:rsidRDefault="00D80B6D" w:rsidP="00D80B6D">
          <w:pPr>
            <w:pStyle w:val="Zkladntext"/>
            <w:jc w:val="both"/>
            <w:rPr>
              <w:rFonts w:asciiTheme="minorHAnsi" w:hAnsiTheme="minorHAnsi" w:cstheme="minorHAnsi"/>
              <w:b/>
              <w:sz w:val="20"/>
              <w:highlight w:val="yellow"/>
            </w:rPr>
          </w:pPr>
        </w:p>
        <w:p w14:paraId="0D2BECD0" w14:textId="77777777" w:rsidR="00D80B6D" w:rsidRPr="002C00F6" w:rsidRDefault="00D80B6D" w:rsidP="00D80B6D">
          <w:pPr>
            <w:pStyle w:val="Zkladntext"/>
            <w:jc w:val="both"/>
            <w:rPr>
              <w:rFonts w:asciiTheme="minorHAnsi" w:hAnsiTheme="minorHAnsi" w:cstheme="minorHAnsi"/>
              <w:b/>
              <w:sz w:val="20"/>
              <w:highlight w:val="yellow"/>
            </w:rPr>
          </w:pPr>
        </w:p>
        <w:p w14:paraId="69288FB9" w14:textId="77777777" w:rsidR="00D80B6D" w:rsidRPr="002C00F6" w:rsidRDefault="00D80B6D" w:rsidP="00D80B6D">
          <w:pPr>
            <w:pStyle w:val="Zkladntext"/>
            <w:jc w:val="both"/>
            <w:rPr>
              <w:rFonts w:asciiTheme="minorHAnsi" w:hAnsiTheme="minorHAnsi" w:cstheme="minorHAnsi"/>
              <w:b/>
              <w:sz w:val="20"/>
              <w:highlight w:val="yellow"/>
            </w:rPr>
          </w:pPr>
        </w:p>
        <w:p w14:paraId="541E93D5" w14:textId="77777777" w:rsidR="00D80B6D" w:rsidRPr="002C00F6" w:rsidRDefault="00D80B6D" w:rsidP="00D80B6D">
          <w:pPr>
            <w:pStyle w:val="Zkladntext"/>
            <w:jc w:val="both"/>
            <w:rPr>
              <w:rFonts w:asciiTheme="minorHAnsi" w:hAnsiTheme="minorHAnsi" w:cstheme="minorHAnsi"/>
              <w:b/>
              <w:sz w:val="20"/>
              <w:highlight w:val="yellow"/>
            </w:rPr>
          </w:pPr>
        </w:p>
        <w:p w14:paraId="341A343C" w14:textId="77777777" w:rsidR="00D80B6D" w:rsidRPr="002C00F6" w:rsidRDefault="00D80B6D" w:rsidP="00D80B6D">
          <w:pPr>
            <w:pStyle w:val="Zkladntext"/>
            <w:jc w:val="both"/>
            <w:rPr>
              <w:rFonts w:asciiTheme="minorHAnsi" w:hAnsiTheme="minorHAnsi" w:cstheme="minorHAnsi"/>
              <w:b/>
              <w:sz w:val="20"/>
              <w:highlight w:val="yellow"/>
            </w:rPr>
          </w:pPr>
        </w:p>
        <w:p w14:paraId="6C52C42D" w14:textId="77777777" w:rsidR="00D80B6D" w:rsidRPr="002C00F6" w:rsidRDefault="00D80B6D" w:rsidP="00D80B6D">
          <w:pPr>
            <w:pStyle w:val="Zkladntext"/>
            <w:jc w:val="both"/>
            <w:rPr>
              <w:rFonts w:asciiTheme="minorHAnsi" w:hAnsiTheme="minorHAnsi" w:cstheme="minorHAnsi"/>
              <w:b/>
              <w:sz w:val="20"/>
              <w:highlight w:val="yellow"/>
            </w:rPr>
          </w:pPr>
        </w:p>
        <w:p w14:paraId="3E3CDF25" w14:textId="77777777" w:rsidR="00D80B6D" w:rsidRPr="002C00F6" w:rsidRDefault="00D80B6D" w:rsidP="00D80B6D">
          <w:pPr>
            <w:pStyle w:val="Zkladntext"/>
            <w:jc w:val="both"/>
            <w:rPr>
              <w:rFonts w:asciiTheme="minorHAnsi" w:hAnsiTheme="minorHAnsi" w:cstheme="minorHAnsi"/>
              <w:b/>
              <w:sz w:val="20"/>
              <w:highlight w:val="yellow"/>
            </w:rPr>
          </w:pPr>
        </w:p>
        <w:p w14:paraId="40495E64" w14:textId="77777777" w:rsidR="00D80B6D" w:rsidRPr="002C00F6" w:rsidRDefault="00D80B6D" w:rsidP="00D80B6D">
          <w:pPr>
            <w:pStyle w:val="Zkladntext"/>
            <w:jc w:val="both"/>
            <w:rPr>
              <w:rFonts w:asciiTheme="minorHAnsi" w:hAnsiTheme="minorHAnsi" w:cstheme="minorHAnsi"/>
              <w:b/>
              <w:sz w:val="20"/>
              <w:highlight w:val="yellow"/>
            </w:rPr>
          </w:pPr>
        </w:p>
        <w:p w14:paraId="59B6F4E6" w14:textId="77777777" w:rsidR="00D80B6D" w:rsidRPr="002C00F6" w:rsidRDefault="00D80B6D" w:rsidP="00D80B6D">
          <w:pPr>
            <w:pStyle w:val="Zkladntext"/>
            <w:jc w:val="both"/>
            <w:rPr>
              <w:rFonts w:asciiTheme="minorHAnsi" w:hAnsiTheme="minorHAnsi" w:cstheme="minorHAnsi"/>
              <w:b/>
              <w:sz w:val="20"/>
              <w:highlight w:val="yellow"/>
            </w:rPr>
          </w:pPr>
        </w:p>
        <w:p w14:paraId="5ADDFBD6" w14:textId="77777777" w:rsidR="00D80B6D" w:rsidRPr="002C00F6" w:rsidRDefault="00D80B6D" w:rsidP="00D80B6D">
          <w:pPr>
            <w:pStyle w:val="Zkladntext"/>
            <w:jc w:val="both"/>
            <w:rPr>
              <w:rFonts w:asciiTheme="minorHAnsi" w:hAnsiTheme="minorHAnsi" w:cstheme="minorHAnsi"/>
              <w:b/>
              <w:sz w:val="20"/>
              <w:highlight w:val="yellow"/>
            </w:rPr>
          </w:pPr>
        </w:p>
        <w:p w14:paraId="1CB27DF8" w14:textId="77777777" w:rsidR="007B358E" w:rsidRPr="002C00F6" w:rsidRDefault="007B358E" w:rsidP="00D80B6D">
          <w:pPr>
            <w:pStyle w:val="Zkladntext"/>
            <w:jc w:val="both"/>
            <w:rPr>
              <w:rFonts w:asciiTheme="minorHAnsi" w:hAnsiTheme="minorHAnsi" w:cstheme="minorHAnsi"/>
              <w:b/>
              <w:sz w:val="20"/>
              <w:highlight w:val="yellow"/>
            </w:rPr>
          </w:pPr>
        </w:p>
        <w:p w14:paraId="3A61C564" w14:textId="77777777" w:rsidR="0068617E" w:rsidRPr="002C00F6" w:rsidRDefault="0068617E" w:rsidP="00D80B6D">
          <w:pPr>
            <w:pStyle w:val="Zkladntext"/>
            <w:jc w:val="both"/>
            <w:rPr>
              <w:rFonts w:asciiTheme="minorHAnsi" w:hAnsiTheme="minorHAnsi" w:cstheme="minorHAnsi"/>
              <w:b/>
              <w:sz w:val="20"/>
              <w:highlight w:val="yellow"/>
            </w:rPr>
          </w:pPr>
        </w:p>
        <w:p w14:paraId="1414E639" w14:textId="77777777" w:rsidR="0068617E" w:rsidRPr="002C00F6" w:rsidRDefault="0068617E" w:rsidP="00D80B6D">
          <w:pPr>
            <w:pStyle w:val="Zkladntext"/>
            <w:jc w:val="both"/>
            <w:rPr>
              <w:rFonts w:asciiTheme="minorHAnsi" w:hAnsiTheme="minorHAnsi" w:cstheme="minorHAnsi"/>
              <w:b/>
              <w:sz w:val="20"/>
              <w:highlight w:val="yellow"/>
            </w:rPr>
          </w:pPr>
        </w:p>
        <w:p w14:paraId="11132A3F" w14:textId="53DE594E" w:rsidR="00D80B6D" w:rsidRPr="002C00F6" w:rsidRDefault="00D80B6D" w:rsidP="00D80B6D">
          <w:pPr>
            <w:pStyle w:val="Zkladntext"/>
            <w:jc w:val="both"/>
            <w:rPr>
              <w:rFonts w:asciiTheme="minorHAnsi" w:hAnsiTheme="minorHAnsi" w:cstheme="minorHAnsi"/>
              <w:b/>
              <w:sz w:val="20"/>
            </w:rPr>
          </w:pPr>
          <w:r w:rsidRPr="002C00F6">
            <w:rPr>
              <w:rFonts w:asciiTheme="minorHAnsi" w:hAnsiTheme="minorHAnsi" w:cstheme="minorHAnsi"/>
              <w:b/>
              <w:sz w:val="20"/>
            </w:rPr>
            <w:t>O společnosti Broker Consulting</w:t>
          </w:r>
        </w:p>
        <w:p w14:paraId="27485CC6" w14:textId="77777777" w:rsidR="00D80B6D" w:rsidRPr="002C00F6" w:rsidRDefault="00D80B6D" w:rsidP="00D80B6D">
          <w:pPr>
            <w:jc w:val="both"/>
            <w:rPr>
              <w:rFonts w:asciiTheme="minorHAnsi" w:hAnsiTheme="minorHAnsi" w:cstheme="minorHAnsi"/>
              <w:sz w:val="20"/>
            </w:rPr>
          </w:pPr>
        </w:p>
        <w:p w14:paraId="36418F0F" w14:textId="6B62FFBE" w:rsidR="007F5903" w:rsidRPr="002C00F6" w:rsidRDefault="007F5903" w:rsidP="007F5903">
          <w:pPr>
            <w:jc w:val="both"/>
            <w:rPr>
              <w:rStyle w:val="dn"/>
              <w:rFonts w:asciiTheme="minorHAnsi" w:hAnsiTheme="minorHAnsi" w:cstheme="minorHAnsi"/>
              <w:sz w:val="20"/>
              <w:szCs w:val="20"/>
            </w:rPr>
          </w:pPr>
          <w:r w:rsidRPr="002C00F6">
            <w:rPr>
              <w:rFonts w:asciiTheme="minorHAnsi" w:hAnsiTheme="minorHAnsi" w:cstheme="minorHAnsi"/>
              <w:sz w:val="20"/>
              <w:szCs w:val="20"/>
            </w:rPr>
            <w:t>Broker Consulting je jednou z největších společností na českém a slovenském trhu, která poskytuje služby v oblasti financí a realit. Od rok</w:t>
          </w:r>
          <w:r w:rsidR="003B4BD8" w:rsidRPr="002C00F6">
            <w:rPr>
              <w:rFonts w:asciiTheme="minorHAnsi" w:hAnsiTheme="minorHAnsi" w:cstheme="minorHAnsi"/>
              <w:sz w:val="20"/>
              <w:szCs w:val="20"/>
            </w:rPr>
            <w:t>u 1998 získala důvěru více než 7</w:t>
          </w:r>
          <w:r w:rsidRPr="002C00F6">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sidRPr="002C00F6">
            <w:rPr>
              <w:rFonts w:asciiTheme="minorHAnsi" w:hAnsiTheme="minorHAnsi" w:cstheme="minorHAnsi"/>
              <w:b/>
              <w:color w:val="FF0000"/>
              <w:sz w:val="20"/>
              <w:szCs w:val="20"/>
            </w:rPr>
            <w:t>Franchisor roku 2022</w:t>
          </w:r>
          <w:r w:rsidRPr="002C00F6">
            <w:rPr>
              <w:rFonts w:asciiTheme="minorHAnsi" w:hAnsiTheme="minorHAnsi" w:cstheme="minorHAnsi"/>
              <w:color w:val="FF0000"/>
              <w:sz w:val="20"/>
              <w:szCs w:val="20"/>
            </w:rPr>
            <w:t xml:space="preserve"> </w:t>
          </w:r>
          <w:r w:rsidRPr="002C00F6">
            <w:rPr>
              <w:rFonts w:asciiTheme="minorHAnsi" w:hAnsiTheme="minorHAnsi" w:cstheme="minorHAnsi"/>
              <w:sz w:val="20"/>
              <w:szCs w:val="20"/>
            </w:rPr>
            <w:t xml:space="preserve">od České asociace franchisingu. </w:t>
          </w:r>
          <w:r w:rsidRPr="002C00F6">
            <w:rPr>
              <w:rStyle w:val="dn"/>
              <w:rFonts w:asciiTheme="minorHAnsi" w:hAnsiTheme="minorHAnsi" w:cstheme="minorHAnsi"/>
              <w:sz w:val="20"/>
              <w:szCs w:val="20"/>
            </w:rPr>
            <w:t xml:space="preserve">Více na </w:t>
          </w:r>
          <w:hyperlink r:id="rId9" w:history="1">
            <w:r w:rsidRPr="002C00F6">
              <w:rPr>
                <w:rStyle w:val="Hypertextovodkaz"/>
                <w:rFonts w:asciiTheme="minorHAnsi" w:hAnsiTheme="minorHAnsi" w:cstheme="minorHAnsi"/>
                <w:sz w:val="20"/>
                <w:szCs w:val="20"/>
              </w:rPr>
              <w:t>bcas.cz</w:t>
            </w:r>
          </w:hyperlink>
          <w:r w:rsidRPr="002C00F6">
            <w:rPr>
              <w:rStyle w:val="Hypertextovodkaz"/>
              <w:rFonts w:asciiTheme="minorHAnsi" w:hAnsiTheme="minorHAnsi" w:cstheme="minorHAnsi"/>
              <w:sz w:val="20"/>
              <w:szCs w:val="20"/>
            </w:rPr>
            <w:t xml:space="preserve">, </w:t>
          </w:r>
          <w:hyperlink r:id="rId10" w:history="1">
            <w:r w:rsidRPr="002C00F6">
              <w:rPr>
                <w:rStyle w:val="Hypertextovodkaz"/>
                <w:rFonts w:asciiTheme="minorHAnsi" w:hAnsiTheme="minorHAnsi" w:cstheme="minorHAnsi"/>
                <w:sz w:val="20"/>
                <w:szCs w:val="20"/>
              </w:rPr>
              <w:t>brokerpointy.cz</w:t>
            </w:r>
          </w:hyperlink>
          <w:r w:rsidRPr="002C00F6">
            <w:rPr>
              <w:rStyle w:val="Hypertextovodkaz"/>
              <w:rFonts w:asciiTheme="minorHAnsi" w:hAnsiTheme="minorHAnsi" w:cstheme="minorHAnsi"/>
              <w:sz w:val="20"/>
              <w:szCs w:val="20"/>
            </w:rPr>
            <w:t>, brokerpoint</w:t>
          </w:r>
          <w:hyperlink r:id="rId11" w:history="1">
            <w:r w:rsidRPr="002C00F6">
              <w:rPr>
                <w:rStyle w:val="Hypertextovodkaz"/>
                <w:rFonts w:asciiTheme="minorHAnsi" w:hAnsiTheme="minorHAnsi" w:cstheme="minorHAnsi"/>
                <w:sz w:val="20"/>
                <w:szCs w:val="20"/>
              </w:rPr>
              <w:t>.tv</w:t>
            </w:r>
          </w:hyperlink>
          <w:r w:rsidRPr="002C00F6">
            <w:rPr>
              <w:rStyle w:val="dn"/>
              <w:rFonts w:asciiTheme="minorHAnsi" w:hAnsiTheme="minorHAnsi" w:cstheme="minorHAnsi"/>
              <w:sz w:val="20"/>
              <w:szCs w:val="20"/>
            </w:rPr>
            <w:t xml:space="preserve"> a na </w:t>
          </w:r>
          <w:hyperlink r:id="rId12" w:history="1">
            <w:r w:rsidRPr="002C00F6">
              <w:rPr>
                <w:rStyle w:val="Hypertextovodkaz"/>
                <w:rFonts w:asciiTheme="minorHAnsi" w:hAnsiTheme="minorHAnsi" w:cstheme="minorHAnsi"/>
                <w:sz w:val="20"/>
                <w:szCs w:val="20"/>
              </w:rPr>
              <w:t>realityspolu.cz</w:t>
            </w:r>
          </w:hyperlink>
          <w:r w:rsidRPr="002C00F6">
            <w:rPr>
              <w:rStyle w:val="Hypertextovodkaz"/>
              <w:rFonts w:asciiTheme="minorHAnsi" w:hAnsiTheme="minorHAnsi" w:cstheme="minorHAnsi"/>
              <w:sz w:val="20"/>
              <w:szCs w:val="20"/>
            </w:rPr>
            <w:t xml:space="preserve">. </w:t>
          </w:r>
          <w:r w:rsidRPr="002C00F6">
            <w:rPr>
              <w:rStyle w:val="dn"/>
              <w:rFonts w:asciiTheme="minorHAnsi" w:hAnsiTheme="minorHAnsi" w:cstheme="minorHAnsi"/>
              <w:sz w:val="20"/>
              <w:szCs w:val="20"/>
            </w:rPr>
            <w:t xml:space="preserve">Navštivte také náš </w:t>
          </w:r>
          <w:hyperlink r:id="rId13"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w:t>
          </w:r>
          <w:hyperlink r:id="rId14" w:history="1">
            <w:r w:rsidRPr="002C00F6">
              <w:rPr>
                <w:rStyle w:val="Hypertextovodkaz"/>
                <w:rFonts w:asciiTheme="minorHAnsi" w:hAnsiTheme="minorHAnsi" w:cstheme="minorHAnsi"/>
                <w:sz w:val="20"/>
                <w:szCs w:val="20"/>
              </w:rPr>
              <w:t>LinkedIN</w:t>
            </w:r>
          </w:hyperlink>
          <w:r w:rsidRPr="002C00F6">
            <w:rPr>
              <w:rStyle w:val="dn"/>
              <w:rFonts w:asciiTheme="minorHAnsi" w:hAnsiTheme="minorHAnsi" w:cstheme="minorHAnsi"/>
              <w:sz w:val="20"/>
              <w:szCs w:val="20"/>
            </w:rPr>
            <w:t xml:space="preserve"> Broker Consulting, Twitter </w:t>
          </w:r>
          <w:r w:rsidRPr="002C00F6">
            <w:rPr>
              <w:rFonts w:asciiTheme="minorHAnsi" w:hAnsiTheme="minorHAnsi" w:cstheme="minorHAnsi"/>
              <w:sz w:val="20"/>
              <w:szCs w:val="20"/>
              <w:shd w:val="clear" w:color="auto" w:fill="FFFFFF"/>
            </w:rPr>
            <w:t xml:space="preserve">@BC_oficialni, </w:t>
          </w:r>
          <w:r w:rsidRPr="002C00F6">
            <w:rPr>
              <w:rStyle w:val="dn"/>
              <w:rFonts w:asciiTheme="minorHAnsi" w:hAnsiTheme="minorHAnsi" w:cstheme="minorHAnsi"/>
              <w:sz w:val="20"/>
              <w:szCs w:val="20"/>
            </w:rPr>
            <w:t xml:space="preserve"> </w:t>
          </w:r>
          <w:hyperlink r:id="rId15"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a </w:t>
          </w:r>
          <w:hyperlink r:id="rId16" w:history="1">
            <w:r w:rsidRPr="002C00F6">
              <w:rPr>
                <w:rStyle w:val="Hypertextovodkaz"/>
                <w:rFonts w:asciiTheme="minorHAnsi" w:hAnsiTheme="minorHAnsi" w:cstheme="minorHAnsi"/>
                <w:sz w:val="20"/>
                <w:szCs w:val="20"/>
              </w:rPr>
              <w:t>LinkedI</w:t>
            </w:r>
          </w:hyperlink>
          <w:r w:rsidRPr="002C00F6">
            <w:rPr>
              <w:rStyle w:val="Hypertextovodkaz"/>
              <w:rFonts w:asciiTheme="minorHAnsi" w:hAnsiTheme="minorHAnsi" w:cstheme="minorHAnsi"/>
              <w:sz w:val="20"/>
              <w:szCs w:val="20"/>
            </w:rPr>
            <w:t>N</w:t>
          </w:r>
          <w:r w:rsidRPr="002C00F6">
            <w:rPr>
              <w:rStyle w:val="dn"/>
              <w:rFonts w:asciiTheme="minorHAnsi" w:hAnsiTheme="minorHAnsi" w:cstheme="minorHAnsi"/>
              <w:sz w:val="20"/>
              <w:szCs w:val="20"/>
            </w:rPr>
            <w:t xml:space="preserve"> Broker Point Premium. </w:t>
          </w:r>
        </w:p>
        <w:p w14:paraId="3F0EC976" w14:textId="3496D289" w:rsidR="00D80B6D" w:rsidRPr="002C00F6" w:rsidRDefault="00D80B6D" w:rsidP="0068617E">
          <w:pPr>
            <w:pStyle w:val="Zkladntext"/>
            <w:jc w:val="both"/>
            <w:rPr>
              <w:rFonts w:asciiTheme="minorHAnsi" w:hAnsiTheme="minorHAnsi" w:cstheme="minorHAnsi"/>
              <w:sz w:val="20"/>
              <w:highlight w:val="yellow"/>
            </w:rPr>
            <w:sectPr w:rsidR="00D80B6D" w:rsidRPr="002C00F6"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2C00F6" w:rsidRDefault="00F210E1" w:rsidP="0025264B">
          <w:pPr>
            <w:rPr>
              <w:rFonts w:asciiTheme="minorHAnsi" w:hAnsiTheme="minorHAnsi" w:cstheme="minorHAnsi"/>
              <w:b/>
              <w:sz w:val="20"/>
              <w:szCs w:val="20"/>
              <w:highlight w:val="yellow"/>
            </w:rPr>
            <w:sectPr w:rsidR="00D31127" w:rsidRPr="002C00F6"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2C00F6" w:rsidRDefault="00704D83" w:rsidP="00FB65BA">
      <w:pPr>
        <w:jc w:val="center"/>
        <w:rPr>
          <w:rFonts w:asciiTheme="minorHAnsi" w:hAnsiTheme="minorHAnsi" w:cstheme="minorHAnsi"/>
          <w:b/>
          <w:sz w:val="25"/>
          <w:szCs w:val="25"/>
        </w:rPr>
      </w:pPr>
    </w:p>
    <w:p w14:paraId="5144663E" w14:textId="0342FCD7" w:rsidR="00AA5141" w:rsidRPr="00FB65BA" w:rsidRDefault="00FB65BA" w:rsidP="00FB65BA">
      <w:pPr>
        <w:spacing w:after="120"/>
        <w:jc w:val="center"/>
        <w:rPr>
          <w:rFonts w:ascii="Calibri" w:eastAsia="Times New Roman" w:hAnsi="Calibri" w:cs="Calibri"/>
          <w:b/>
          <w:bCs/>
          <w:color w:val="000000"/>
          <w:sz w:val="25"/>
          <w:szCs w:val="25"/>
        </w:rPr>
      </w:pPr>
      <w:r w:rsidRPr="00FB65BA">
        <w:rPr>
          <w:rFonts w:ascii="Calibri" w:eastAsia="Times New Roman" w:hAnsi="Calibri" w:cs="Calibri"/>
          <w:b/>
          <w:bCs/>
          <w:color w:val="000000"/>
          <w:sz w:val="25"/>
          <w:szCs w:val="25"/>
        </w:rPr>
        <w:t>Sazby spotřebitelských úvěrů zůstávají pod sedmiprocentní hranicí. Trh hlásí stabilitu</w:t>
      </w:r>
    </w:p>
    <w:p w14:paraId="297CE300" w14:textId="0D172187" w:rsidR="00FB65BA" w:rsidRPr="00FB65BA" w:rsidRDefault="00FB65BA" w:rsidP="00FB65BA">
      <w:pPr>
        <w:pStyle w:val="Odstavecseseznamem"/>
        <w:widowControl/>
        <w:numPr>
          <w:ilvl w:val="0"/>
          <w:numId w:val="13"/>
        </w:numPr>
        <w:autoSpaceDE/>
        <w:autoSpaceDN/>
        <w:spacing w:after="120"/>
        <w:ind w:right="0"/>
        <w:contextualSpacing/>
        <w:rPr>
          <w:rFonts w:ascii="Calibri" w:eastAsia="Times New Roman" w:hAnsi="Calibri" w:cs="Calibri"/>
          <w:b/>
          <w:color w:val="000000"/>
        </w:rPr>
      </w:pPr>
      <w:r w:rsidRPr="00FB65BA">
        <w:rPr>
          <w:rFonts w:ascii="Calibri" w:eastAsia="Times New Roman" w:hAnsi="Calibri" w:cs="Calibri"/>
          <w:b/>
          <w:color w:val="000000"/>
        </w:rPr>
        <w:t>Průměrná sazba spotřebitelských úvěrů se v březnu mírně zvýšila na 6,93 procenta.</w:t>
      </w:r>
    </w:p>
    <w:p w14:paraId="3B160D52" w14:textId="4813AF19" w:rsidR="00FB65BA" w:rsidRPr="00FB65BA" w:rsidRDefault="00FB65BA" w:rsidP="00FB65BA">
      <w:pPr>
        <w:pStyle w:val="Odstavecseseznamem"/>
        <w:widowControl/>
        <w:numPr>
          <w:ilvl w:val="0"/>
          <w:numId w:val="13"/>
        </w:numPr>
        <w:autoSpaceDE/>
        <w:autoSpaceDN/>
        <w:spacing w:after="120"/>
        <w:ind w:right="0"/>
        <w:contextualSpacing/>
        <w:rPr>
          <w:rFonts w:ascii="Calibri" w:eastAsia="Times New Roman" w:hAnsi="Calibri" w:cs="Calibri"/>
          <w:b/>
          <w:color w:val="000000"/>
        </w:rPr>
      </w:pPr>
      <w:r w:rsidRPr="00FB65BA">
        <w:rPr>
          <w:rFonts w:ascii="Calibri" w:eastAsia="Times New Roman" w:hAnsi="Calibri" w:cs="Calibri"/>
          <w:b/>
          <w:color w:val="000000"/>
        </w:rPr>
        <w:t>Meziročně došlo k poklesu průměrné sazby téměř o 1,3</w:t>
      </w:r>
      <w:r w:rsidR="0059586E">
        <w:rPr>
          <w:rFonts w:ascii="Calibri" w:eastAsia="Times New Roman" w:hAnsi="Calibri" w:cs="Calibri"/>
          <w:b/>
          <w:color w:val="000000"/>
        </w:rPr>
        <w:t xml:space="preserve"> procentního bodu</w:t>
      </w:r>
      <w:r w:rsidRPr="00FB65BA">
        <w:rPr>
          <w:rFonts w:ascii="Calibri" w:eastAsia="Times New Roman" w:hAnsi="Calibri" w:cs="Calibri"/>
          <w:b/>
          <w:color w:val="000000"/>
        </w:rPr>
        <w:t>.</w:t>
      </w:r>
    </w:p>
    <w:p w14:paraId="73FBE8C6" w14:textId="053CE248" w:rsidR="002C00F6" w:rsidRDefault="00FB65BA" w:rsidP="00FB65BA">
      <w:pPr>
        <w:pStyle w:val="Odstavecseseznamem"/>
        <w:widowControl/>
        <w:numPr>
          <w:ilvl w:val="0"/>
          <w:numId w:val="13"/>
        </w:numPr>
        <w:autoSpaceDE/>
        <w:autoSpaceDN/>
        <w:spacing w:after="120"/>
        <w:ind w:right="0"/>
        <w:contextualSpacing/>
        <w:rPr>
          <w:rFonts w:ascii="Calibri" w:eastAsia="Times New Roman" w:hAnsi="Calibri" w:cs="Calibri"/>
          <w:b/>
          <w:color w:val="000000"/>
        </w:rPr>
      </w:pPr>
      <w:r w:rsidRPr="00FB65BA">
        <w:rPr>
          <w:rFonts w:ascii="Calibri" w:eastAsia="Times New Roman" w:hAnsi="Calibri" w:cs="Calibri"/>
          <w:b/>
          <w:color w:val="000000"/>
        </w:rPr>
        <w:t>Pojištění schopnosti splácet hraje klíčovou roli při ochraně klienta v případě výpadku příjmů</w:t>
      </w:r>
    </w:p>
    <w:p w14:paraId="0BC1A38D" w14:textId="1EABFEF7" w:rsidR="00FB65BA" w:rsidRDefault="00FB65BA" w:rsidP="00FB65BA">
      <w:pPr>
        <w:pStyle w:val="Odstavecseseznamem"/>
        <w:widowControl/>
        <w:autoSpaceDE/>
        <w:autoSpaceDN/>
        <w:spacing w:after="120"/>
        <w:ind w:left="360" w:right="0" w:firstLine="0"/>
        <w:contextualSpacing/>
        <w:rPr>
          <w:rFonts w:ascii="Calibri" w:eastAsia="Times New Roman" w:hAnsi="Calibri" w:cs="Calibri"/>
          <w:b/>
          <w:color w:val="000000"/>
        </w:rPr>
      </w:pPr>
    </w:p>
    <w:p w14:paraId="4760F9AF" w14:textId="77777777" w:rsidR="00FB65BA" w:rsidRPr="00FB65BA" w:rsidRDefault="00FB65BA" w:rsidP="00FB65BA">
      <w:pPr>
        <w:pStyle w:val="Odstavecseseznamem"/>
        <w:widowControl/>
        <w:autoSpaceDE/>
        <w:autoSpaceDN/>
        <w:spacing w:after="120"/>
        <w:ind w:left="360" w:right="0" w:firstLine="0"/>
        <w:contextualSpacing/>
        <w:rPr>
          <w:rFonts w:ascii="Calibri" w:eastAsia="Times New Roman" w:hAnsi="Calibri" w:cs="Calibri"/>
          <w:b/>
          <w:color w:val="000000"/>
        </w:rPr>
      </w:pPr>
    </w:p>
    <w:p w14:paraId="2A11647E" w14:textId="62D40570" w:rsidR="00FB65BA" w:rsidRPr="00784930" w:rsidRDefault="00404530" w:rsidP="009E24B0">
      <w:pPr>
        <w:spacing w:after="120"/>
        <w:jc w:val="both"/>
        <w:rPr>
          <w:rFonts w:ascii="Calibri" w:eastAsia="Times New Roman" w:hAnsi="Calibri" w:cs="Calibri"/>
          <w:b/>
          <w:bCs/>
          <w:color w:val="000000"/>
        </w:rPr>
      </w:pPr>
      <w:r>
        <w:rPr>
          <w:rFonts w:asciiTheme="minorHAnsi" w:eastAsia="Times New Roman" w:hAnsiTheme="minorHAnsi" w:cstheme="minorHAnsi"/>
          <w:sz w:val="21"/>
          <w:szCs w:val="21"/>
          <w:lang w:bidi="ar-SA"/>
        </w:rPr>
        <w:t>P</w:t>
      </w:r>
      <w:r w:rsidR="00FB65BA">
        <w:rPr>
          <w:rFonts w:asciiTheme="minorHAnsi" w:eastAsia="Times New Roman" w:hAnsiTheme="minorHAnsi" w:cstheme="minorHAnsi"/>
          <w:sz w:val="21"/>
          <w:szCs w:val="21"/>
          <w:lang w:bidi="ar-SA"/>
        </w:rPr>
        <w:t>raha, 17. dubna 2025</w:t>
      </w:r>
      <w:r w:rsidR="002C00F6" w:rsidRPr="002C00F6">
        <w:rPr>
          <w:rFonts w:asciiTheme="minorHAnsi" w:eastAsia="Times New Roman" w:hAnsiTheme="minorHAnsi" w:cstheme="minorHAnsi"/>
          <w:sz w:val="21"/>
          <w:szCs w:val="21"/>
          <w:lang w:bidi="ar-SA"/>
        </w:rPr>
        <w:t xml:space="preserve"> – </w:t>
      </w:r>
      <w:r w:rsidR="00FB65BA" w:rsidRPr="00FB65BA">
        <w:rPr>
          <w:rFonts w:ascii="Calibri" w:eastAsia="Times New Roman" w:hAnsi="Calibri" w:cs="Calibri"/>
          <w:b/>
          <w:bCs/>
          <w:color w:val="000000"/>
          <w:sz w:val="21"/>
          <w:szCs w:val="21"/>
        </w:rPr>
        <w:t xml:space="preserve">Průměrné sazby spotřebitelských úvěrů zůstávají i v březnu pod sedmiprocentní hranicí. Podle Broker Consulting Indexu spotřebitelských úvěrů se v březnu sazby </w:t>
      </w:r>
      <w:r w:rsidR="008E694A">
        <w:rPr>
          <w:rFonts w:ascii="Calibri" w:eastAsia="Times New Roman" w:hAnsi="Calibri" w:cs="Calibri"/>
          <w:b/>
          <w:bCs/>
          <w:color w:val="000000"/>
          <w:sz w:val="21"/>
          <w:szCs w:val="21"/>
        </w:rPr>
        <w:t>mírně zvýšily z únorových 6,86 procenta na 6,93 procenta</w:t>
      </w:r>
      <w:r w:rsidR="00FB65BA" w:rsidRPr="00FB65BA">
        <w:rPr>
          <w:rFonts w:ascii="Calibri" w:eastAsia="Times New Roman" w:hAnsi="Calibri" w:cs="Calibri"/>
          <w:b/>
          <w:bCs/>
          <w:color w:val="000000"/>
          <w:sz w:val="21"/>
          <w:szCs w:val="21"/>
        </w:rPr>
        <w:t>, přesto však nadále platí, že spotřebitelé mohou využívat historicky výhodnějších podmínek než v předchozím roce. V meziročním srovnání klesla průměrná sazba téměř o 1,3</w:t>
      </w:r>
      <w:r w:rsidR="0059586E">
        <w:rPr>
          <w:rFonts w:ascii="Calibri" w:eastAsia="Times New Roman" w:hAnsi="Calibri" w:cs="Calibri"/>
          <w:b/>
          <w:bCs/>
          <w:color w:val="000000"/>
          <w:sz w:val="21"/>
          <w:szCs w:val="21"/>
        </w:rPr>
        <w:t xml:space="preserve"> procentního bodu</w:t>
      </w:r>
      <w:bookmarkStart w:id="0" w:name="_GoBack"/>
      <w:bookmarkEnd w:id="0"/>
      <w:r w:rsidR="00FB65BA" w:rsidRPr="00FB65BA">
        <w:rPr>
          <w:rFonts w:ascii="Calibri" w:eastAsia="Times New Roman" w:hAnsi="Calibri" w:cs="Calibri"/>
          <w:b/>
          <w:bCs/>
          <w:color w:val="000000"/>
          <w:sz w:val="21"/>
          <w:szCs w:val="21"/>
        </w:rPr>
        <w:t>.</w:t>
      </w:r>
    </w:p>
    <w:p w14:paraId="7FEC1CF9" w14:textId="660EE6C0" w:rsidR="00FB65BA" w:rsidRPr="00FB65BA" w:rsidRDefault="00FB65BA" w:rsidP="009E24B0">
      <w:pPr>
        <w:spacing w:after="120"/>
        <w:jc w:val="both"/>
        <w:rPr>
          <w:rFonts w:ascii="Calibri" w:eastAsia="Times New Roman" w:hAnsi="Calibri" w:cs="Calibri"/>
          <w:b/>
          <w:color w:val="000000"/>
          <w:sz w:val="21"/>
          <w:szCs w:val="21"/>
        </w:rPr>
      </w:pPr>
      <w:r w:rsidRPr="00FB65BA">
        <w:rPr>
          <w:rFonts w:ascii="Calibri" w:eastAsia="Times New Roman" w:hAnsi="Calibri" w:cs="Calibri"/>
          <w:i/>
          <w:iCs/>
          <w:color w:val="000000"/>
          <w:sz w:val="21"/>
          <w:szCs w:val="21"/>
        </w:rPr>
        <w:t>„Zatímco do ledna letošního roku průměrné sazby úvěrů na cokoliv sahaly nad sedm procent, již druhý měsíc v řadě se drží pod touto hranicí. V březnu se Broker Consulting Index spotřebitelských</w:t>
      </w:r>
      <w:r w:rsidR="008E694A">
        <w:rPr>
          <w:rFonts w:ascii="Calibri" w:eastAsia="Times New Roman" w:hAnsi="Calibri" w:cs="Calibri"/>
          <w:i/>
          <w:iCs/>
          <w:color w:val="000000"/>
          <w:sz w:val="21"/>
          <w:szCs w:val="21"/>
        </w:rPr>
        <w:t xml:space="preserve"> úvěrů ustálil na hodnotě 6,93 procenta</w:t>
      </w:r>
      <w:r w:rsidRPr="00FB65BA">
        <w:rPr>
          <w:rFonts w:ascii="Calibri" w:eastAsia="Times New Roman" w:hAnsi="Calibri" w:cs="Calibri"/>
          <w:i/>
          <w:iCs/>
          <w:color w:val="000000"/>
          <w:sz w:val="21"/>
          <w:szCs w:val="21"/>
        </w:rPr>
        <w:t>. To je za poslední měsíc jen velmi mír</w:t>
      </w:r>
      <w:r w:rsidR="008E694A">
        <w:rPr>
          <w:rFonts w:ascii="Calibri" w:eastAsia="Times New Roman" w:hAnsi="Calibri" w:cs="Calibri"/>
          <w:i/>
          <w:iCs/>
          <w:color w:val="000000"/>
          <w:sz w:val="21"/>
          <w:szCs w:val="21"/>
        </w:rPr>
        <w:t xml:space="preserve">ný nárůst o </w:t>
      </w:r>
      <w:r w:rsidRPr="00FB65BA">
        <w:rPr>
          <w:rFonts w:ascii="Calibri" w:eastAsia="Times New Roman" w:hAnsi="Calibri" w:cs="Calibri"/>
          <w:i/>
          <w:iCs/>
          <w:color w:val="000000"/>
          <w:sz w:val="21"/>
          <w:szCs w:val="21"/>
        </w:rPr>
        <w:t>7</w:t>
      </w:r>
      <w:r w:rsidR="008E694A">
        <w:rPr>
          <w:rFonts w:ascii="Calibri" w:eastAsia="Times New Roman" w:hAnsi="Calibri" w:cs="Calibri"/>
          <w:i/>
          <w:iCs/>
          <w:color w:val="000000"/>
          <w:sz w:val="21"/>
          <w:szCs w:val="21"/>
        </w:rPr>
        <w:t xml:space="preserve"> bazických bodů</w:t>
      </w:r>
      <w:r w:rsidRPr="00FB65BA">
        <w:rPr>
          <w:rFonts w:ascii="Calibri" w:eastAsia="Times New Roman" w:hAnsi="Calibri" w:cs="Calibri"/>
          <w:i/>
          <w:iCs/>
          <w:color w:val="000000"/>
          <w:sz w:val="21"/>
          <w:szCs w:val="21"/>
        </w:rPr>
        <w:t xml:space="preserve">,“ </w:t>
      </w:r>
      <w:r w:rsidRPr="00FB65BA">
        <w:rPr>
          <w:rFonts w:ascii="Calibri" w:eastAsia="Times New Roman" w:hAnsi="Calibri" w:cs="Calibri"/>
          <w:color w:val="000000"/>
          <w:sz w:val="21"/>
          <w:szCs w:val="21"/>
        </w:rPr>
        <w:t xml:space="preserve">komentuje vývoj </w:t>
      </w:r>
      <w:r w:rsidRPr="00FB65BA">
        <w:rPr>
          <w:rFonts w:ascii="Calibri" w:eastAsia="Times New Roman" w:hAnsi="Calibri" w:cs="Calibri"/>
          <w:b/>
          <w:color w:val="000000"/>
          <w:sz w:val="21"/>
          <w:szCs w:val="21"/>
        </w:rPr>
        <w:t>indexu Michaela Pudilová, analytička spotřebitelských a hypotečních úvěrů ze společnosti Broker Consulting.</w:t>
      </w:r>
    </w:p>
    <w:p w14:paraId="202079F7" w14:textId="77777777" w:rsidR="00FB65BA" w:rsidRPr="00FB65BA" w:rsidRDefault="00FB65BA" w:rsidP="009E24B0">
      <w:pPr>
        <w:spacing w:after="120"/>
        <w:jc w:val="both"/>
        <w:outlineLvl w:val="2"/>
        <w:rPr>
          <w:rFonts w:ascii="Calibri" w:eastAsia="Times New Roman" w:hAnsi="Calibri" w:cs="Calibri"/>
          <w:b/>
          <w:bCs/>
          <w:color w:val="000000"/>
          <w:sz w:val="21"/>
          <w:szCs w:val="21"/>
        </w:rPr>
      </w:pPr>
      <w:r w:rsidRPr="00FB65BA">
        <w:rPr>
          <w:rFonts w:ascii="Calibri" w:eastAsia="Times New Roman" w:hAnsi="Calibri" w:cs="Calibri"/>
          <w:b/>
          <w:bCs/>
          <w:color w:val="000000"/>
          <w:sz w:val="21"/>
          <w:szCs w:val="21"/>
        </w:rPr>
        <w:t>Stabilní trh a důležitost doplňkového pojištění</w:t>
      </w:r>
    </w:p>
    <w:p w14:paraId="18F3B5CD" w14:textId="77777777" w:rsidR="00FB65BA" w:rsidRPr="00FB65BA" w:rsidRDefault="00FB65BA" w:rsidP="009E24B0">
      <w:pPr>
        <w:spacing w:after="120"/>
        <w:jc w:val="both"/>
        <w:rPr>
          <w:rFonts w:ascii="Calibri" w:eastAsia="Times New Roman" w:hAnsi="Calibri" w:cs="Calibri"/>
          <w:color w:val="000000"/>
          <w:sz w:val="21"/>
          <w:szCs w:val="21"/>
        </w:rPr>
      </w:pPr>
      <w:r w:rsidRPr="00FB65BA">
        <w:rPr>
          <w:rFonts w:ascii="Calibri" w:eastAsia="Times New Roman" w:hAnsi="Calibri" w:cs="Calibri"/>
          <w:color w:val="000000"/>
          <w:sz w:val="21"/>
          <w:szCs w:val="21"/>
        </w:rPr>
        <w:t xml:space="preserve">Situace na trhu se spotřebitelskými úvěry zůstává stabilní. I přes drobné výkyvy sazeb se analytici shodují, že v následujících měsících nelze očekávat výraznější změny. Trh si tak udržuje </w:t>
      </w:r>
      <w:proofErr w:type="spellStart"/>
      <w:r w:rsidRPr="00FB65BA">
        <w:rPr>
          <w:rFonts w:ascii="Calibri" w:eastAsia="Times New Roman" w:hAnsi="Calibri" w:cs="Calibri"/>
          <w:color w:val="000000"/>
          <w:sz w:val="21"/>
          <w:szCs w:val="21"/>
        </w:rPr>
        <w:t>predikovatelnost</w:t>
      </w:r>
      <w:proofErr w:type="spellEnd"/>
      <w:r w:rsidRPr="00FB65BA">
        <w:rPr>
          <w:rFonts w:ascii="Calibri" w:eastAsia="Times New Roman" w:hAnsi="Calibri" w:cs="Calibri"/>
          <w:color w:val="000000"/>
          <w:sz w:val="21"/>
          <w:szCs w:val="21"/>
        </w:rPr>
        <w:t>, což je pro žadatele o úvěr pozitivní zpráva.</w:t>
      </w:r>
    </w:p>
    <w:p w14:paraId="58922E5F" w14:textId="77777777" w:rsidR="00FB65BA" w:rsidRPr="00FB65BA" w:rsidRDefault="00FB65BA" w:rsidP="009E24B0">
      <w:pPr>
        <w:spacing w:after="120"/>
        <w:jc w:val="both"/>
        <w:rPr>
          <w:rFonts w:ascii="Calibri" w:eastAsia="Times New Roman" w:hAnsi="Calibri" w:cs="Calibri"/>
          <w:color w:val="000000"/>
          <w:sz w:val="21"/>
          <w:szCs w:val="21"/>
        </w:rPr>
      </w:pPr>
      <w:r w:rsidRPr="008E694A">
        <w:rPr>
          <w:rFonts w:ascii="Calibri" w:eastAsia="Times New Roman" w:hAnsi="Calibri" w:cs="Calibri"/>
          <w:i/>
          <w:color w:val="000000"/>
          <w:sz w:val="21"/>
          <w:szCs w:val="21"/>
        </w:rPr>
        <w:t>„Banky ke spotřebitelským úvěrům často nabízí i doplňkové služby, přičemž jednou z nejzásadnějších je pojištění schopnosti splácet. Pokud dojde k výpadku příjmů, může právě pojistné plnění sehrát klíčovou roli při ochraně klienta před potížemi s nesplacenou splátkou a možnou delikvencí úvěru,“</w:t>
      </w:r>
      <w:r w:rsidRPr="00FB65BA">
        <w:rPr>
          <w:rFonts w:ascii="Calibri" w:eastAsia="Times New Roman" w:hAnsi="Calibri" w:cs="Calibri"/>
          <w:color w:val="000000"/>
          <w:sz w:val="21"/>
          <w:szCs w:val="21"/>
        </w:rPr>
        <w:t xml:space="preserve"> doplňuje </w:t>
      </w:r>
      <w:r w:rsidRPr="00FB65BA">
        <w:rPr>
          <w:rFonts w:ascii="Calibri" w:eastAsia="Times New Roman" w:hAnsi="Calibri" w:cs="Calibri"/>
          <w:b/>
          <w:color w:val="000000"/>
          <w:sz w:val="21"/>
          <w:szCs w:val="21"/>
        </w:rPr>
        <w:t>Michaela Pudilová.</w:t>
      </w:r>
    </w:p>
    <w:p w14:paraId="53776754" w14:textId="6B8257D7" w:rsidR="00FB65BA" w:rsidRDefault="00FB65BA" w:rsidP="00B01601">
      <w:pPr>
        <w:widowControl/>
        <w:autoSpaceDE/>
        <w:autoSpaceDN/>
        <w:spacing w:before="100" w:beforeAutospacing="1" w:after="100" w:afterAutospacing="1"/>
        <w:jc w:val="both"/>
        <w:rPr>
          <w:rFonts w:asciiTheme="minorHAnsi" w:eastAsia="Times New Roman" w:hAnsiTheme="minorHAnsi" w:cstheme="minorHAnsi"/>
          <w:b/>
          <w:sz w:val="21"/>
          <w:szCs w:val="21"/>
          <w:lang w:bidi="ar-SA"/>
        </w:rPr>
      </w:pPr>
      <w:r>
        <w:rPr>
          <w:rFonts w:asciiTheme="minorHAnsi" w:eastAsia="Times New Roman" w:hAnsiTheme="minorHAnsi" w:cstheme="minorHAnsi"/>
          <w:b/>
          <w:noProof/>
          <w:sz w:val="21"/>
          <w:szCs w:val="21"/>
          <w:lang w:bidi="ar-SA"/>
        </w:rPr>
        <w:drawing>
          <wp:inline distT="0" distB="0" distL="0" distR="0" wp14:anchorId="13726AB3" wp14:editId="758893D1">
            <wp:extent cx="6627495" cy="2971465"/>
            <wp:effectExtent l="0" t="0" r="1905"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png"/>
                    <pic:cNvPicPr/>
                  </pic:nvPicPr>
                  <pic:blipFill>
                    <a:blip r:embed="rId25">
                      <a:extLst>
                        <a:ext uri="{28A0092B-C50C-407E-A947-70E740481C1C}">
                          <a14:useLocalDpi xmlns:a14="http://schemas.microsoft.com/office/drawing/2010/main" val="0"/>
                        </a:ext>
                      </a:extLst>
                    </a:blip>
                    <a:stretch>
                      <a:fillRect/>
                    </a:stretch>
                  </pic:blipFill>
                  <pic:spPr>
                    <a:xfrm>
                      <a:off x="0" y="0"/>
                      <a:ext cx="6653825" cy="2983270"/>
                    </a:xfrm>
                    <a:prstGeom prst="rect">
                      <a:avLst/>
                    </a:prstGeom>
                  </pic:spPr>
                </pic:pic>
              </a:graphicData>
            </a:graphic>
          </wp:inline>
        </w:drawing>
      </w:r>
    </w:p>
    <w:p w14:paraId="3D840E27" w14:textId="77777777" w:rsidR="00FB65BA" w:rsidRDefault="00FB65BA" w:rsidP="00FB65BA">
      <w:pPr>
        <w:spacing w:after="120"/>
        <w:outlineLvl w:val="2"/>
        <w:rPr>
          <w:rFonts w:ascii="Calibri" w:eastAsia="Times New Roman" w:hAnsi="Calibri" w:cs="Calibri"/>
          <w:b/>
          <w:bCs/>
          <w:color w:val="000000"/>
          <w:sz w:val="21"/>
          <w:szCs w:val="21"/>
        </w:rPr>
      </w:pPr>
    </w:p>
    <w:p w14:paraId="6929EF16" w14:textId="0270D410" w:rsidR="00FB65BA" w:rsidRPr="00FB65BA" w:rsidRDefault="00FB65BA" w:rsidP="00FB65BA">
      <w:pPr>
        <w:spacing w:after="120"/>
        <w:outlineLvl w:val="2"/>
        <w:rPr>
          <w:rFonts w:ascii="Calibri" w:eastAsia="Times New Roman" w:hAnsi="Calibri" w:cs="Calibri"/>
          <w:b/>
          <w:bCs/>
          <w:color w:val="000000"/>
          <w:sz w:val="21"/>
          <w:szCs w:val="21"/>
        </w:rPr>
      </w:pPr>
      <w:r w:rsidRPr="00FB65BA">
        <w:rPr>
          <w:rFonts w:ascii="Calibri" w:eastAsia="Times New Roman" w:hAnsi="Calibri" w:cs="Calibri"/>
          <w:b/>
          <w:bCs/>
          <w:color w:val="000000"/>
          <w:sz w:val="21"/>
          <w:szCs w:val="21"/>
        </w:rPr>
        <w:t>Pojištění schopnosti splácet: Co všechno kryje a jak funguje?</w:t>
      </w:r>
    </w:p>
    <w:p w14:paraId="08C61E4D" w14:textId="77777777" w:rsidR="00FB65BA" w:rsidRPr="00FB65BA" w:rsidRDefault="00FB65BA" w:rsidP="00FB65BA">
      <w:pPr>
        <w:spacing w:after="120"/>
        <w:rPr>
          <w:rFonts w:ascii="Calibri" w:eastAsia="Times New Roman" w:hAnsi="Calibri" w:cs="Calibri"/>
          <w:color w:val="000000"/>
          <w:sz w:val="21"/>
          <w:szCs w:val="21"/>
        </w:rPr>
      </w:pPr>
      <w:r w:rsidRPr="00FB65BA">
        <w:rPr>
          <w:rFonts w:ascii="Calibri" w:eastAsia="Times New Roman" w:hAnsi="Calibri" w:cs="Calibri"/>
          <w:color w:val="000000"/>
          <w:sz w:val="21"/>
          <w:szCs w:val="21"/>
        </w:rPr>
        <w:t>Pojištění obvykle kryje rizika jako smrt, invaliditu, pracovní neschopnost nebo ztrátu zaměstnání. V případě nenadálé životní situace tak může ulehčit napjatému rodinnému rozpočtu. Pojistné plnění je přitom vypláceno přímo bance na úhradu splátek, a nikoliv klientovi. I proto je důležité porozumět rozsahu pojistky i jejím případným výlukám ještě před podpisem smlouvy.</w:t>
      </w:r>
    </w:p>
    <w:p w14:paraId="33851464" w14:textId="77777777" w:rsidR="00FB65BA" w:rsidRPr="00FB65BA" w:rsidRDefault="00FB65BA" w:rsidP="00FB65BA">
      <w:pPr>
        <w:spacing w:after="120"/>
        <w:rPr>
          <w:rFonts w:ascii="Calibri" w:eastAsia="Times New Roman" w:hAnsi="Calibri" w:cs="Calibri"/>
          <w:color w:val="000000"/>
          <w:sz w:val="21"/>
          <w:szCs w:val="21"/>
        </w:rPr>
      </w:pPr>
      <w:r w:rsidRPr="00FB65BA">
        <w:rPr>
          <w:rFonts w:ascii="Calibri" w:eastAsia="Times New Roman" w:hAnsi="Calibri" w:cs="Calibri"/>
          <w:color w:val="000000"/>
          <w:sz w:val="21"/>
          <w:szCs w:val="21"/>
        </w:rPr>
        <w:t xml:space="preserve">Pojištění schopnosti splácet se vždy sjednává pouze na dobu trvání úvěru. Částka pojistného se většinou vypočítává z výše poskytnutého úvěru a odvíjí se také od sjednané varianty a rozsahu pojištění. Klient za pojištění platí pravidelný měsíční poplatek společně se splátkou úvěru. </w:t>
      </w:r>
    </w:p>
    <w:p w14:paraId="65671D6A" w14:textId="442F184F" w:rsidR="007630EF" w:rsidRPr="00FB65BA" w:rsidRDefault="00FB65BA" w:rsidP="00FB65BA">
      <w:pPr>
        <w:spacing w:after="120"/>
        <w:rPr>
          <w:rFonts w:ascii="Calibri" w:eastAsia="Times New Roman" w:hAnsi="Calibri" w:cs="Calibri"/>
          <w:b/>
          <w:color w:val="000000"/>
          <w:sz w:val="21"/>
          <w:szCs w:val="21"/>
        </w:rPr>
      </w:pPr>
      <w:r w:rsidRPr="00FB65BA">
        <w:rPr>
          <w:rFonts w:ascii="Calibri" w:eastAsia="Times New Roman" w:hAnsi="Calibri" w:cs="Calibri"/>
          <w:color w:val="000000"/>
          <w:sz w:val="21"/>
          <w:szCs w:val="21"/>
        </w:rPr>
        <w:t>V případě invalidity nebo úmrtí dlužníka je doplacena zbývající část úvěru</w:t>
      </w:r>
      <w:r w:rsidRPr="008E694A">
        <w:rPr>
          <w:rFonts w:ascii="Calibri" w:eastAsia="Times New Roman" w:hAnsi="Calibri" w:cs="Calibri"/>
          <w:i/>
          <w:color w:val="000000"/>
          <w:sz w:val="21"/>
          <w:szCs w:val="21"/>
        </w:rPr>
        <w:t xml:space="preserve">. „Pokud klient ztratí zaměstnání nebo je v </w:t>
      </w:r>
      <w:r w:rsidRPr="008E694A">
        <w:rPr>
          <w:rFonts w:ascii="Calibri" w:eastAsia="Times New Roman" w:hAnsi="Calibri" w:cs="Calibri"/>
          <w:i/>
          <w:color w:val="000000"/>
          <w:sz w:val="21"/>
          <w:szCs w:val="21"/>
        </w:rPr>
        <w:lastRenderedPageBreak/>
        <w:t>pracovní neschopnosti, pojištění pokryje jednotlivé měsíční splátky. Výluky v pojistných podmínkách však mohou být překvapivé, proto je důležité se s nimi detailně seznámit ještě před uzavřením smlouvy,“</w:t>
      </w:r>
      <w:r>
        <w:rPr>
          <w:rFonts w:ascii="Calibri" w:eastAsia="Times New Roman" w:hAnsi="Calibri" w:cs="Calibri"/>
          <w:color w:val="000000"/>
          <w:sz w:val="21"/>
          <w:szCs w:val="21"/>
        </w:rPr>
        <w:t xml:space="preserve"> vysvětluje </w:t>
      </w:r>
      <w:r w:rsidRPr="00FB65BA">
        <w:rPr>
          <w:rFonts w:ascii="Calibri" w:eastAsia="Times New Roman" w:hAnsi="Calibri" w:cs="Calibri"/>
          <w:b/>
          <w:color w:val="000000"/>
          <w:sz w:val="21"/>
          <w:szCs w:val="21"/>
        </w:rPr>
        <w:t>Michaela Pudilová ze společnosti Broker Consulting.</w:t>
      </w:r>
    </w:p>
    <w:p w14:paraId="0D84E859" w14:textId="77777777" w:rsidR="00070317" w:rsidRPr="00EF6D8C" w:rsidRDefault="00070317" w:rsidP="00DF7709">
      <w:pPr>
        <w:pBdr>
          <w:bottom w:val="single" w:sz="4" w:space="1" w:color="auto"/>
        </w:pBdr>
        <w:jc w:val="both"/>
        <w:rPr>
          <w:rFonts w:asciiTheme="minorHAnsi" w:hAnsiTheme="minorHAnsi" w:cstheme="minorHAnsi"/>
          <w:bCs/>
          <w:sz w:val="2"/>
          <w:szCs w:val="2"/>
        </w:rPr>
      </w:pPr>
    </w:p>
    <w:p w14:paraId="4CF17F9A" w14:textId="4F3C8C79"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w:t>
      </w:r>
      <w:r w:rsidR="00BB537C">
        <w:rPr>
          <w:rFonts w:asciiTheme="minorHAnsi" w:hAnsiTheme="minorHAnsi" w:cstheme="minorHAnsi"/>
          <w:sz w:val="21"/>
          <w:szCs w:val="21"/>
        </w:rPr>
        <w:t>er Consulting a pobočky Broker Point či Broker Point Premium,</w:t>
      </w:r>
      <w:r w:rsidRPr="00EF6D8C">
        <w:rPr>
          <w:rFonts w:asciiTheme="minorHAnsi" w:hAnsiTheme="minorHAnsi" w:cstheme="minorHAnsi"/>
          <w:sz w:val="21"/>
          <w:szCs w:val="21"/>
        </w:rPr>
        <w:t xml:space="preserve"> u kteréhokoli poskytovatele bankovních 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0F07CF11"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3450A3C2" w14:textId="77777777" w:rsidR="00624358" w:rsidRPr="00AD79CC" w:rsidRDefault="00624358" w:rsidP="00624358">
      <w:pPr>
        <w:pStyle w:val="Bezmezer"/>
        <w:rPr>
          <w:rFonts w:eastAsia="F015TEELig" w:cstheme="minorHAnsi"/>
          <w:sz w:val="21"/>
          <w:szCs w:val="21"/>
        </w:rPr>
      </w:pPr>
      <w:r>
        <w:rPr>
          <w:rFonts w:eastAsia="Calibri" w:cstheme="minorHAnsi"/>
          <w:bCs/>
          <w:noProof/>
          <w:sz w:val="21"/>
          <w:szCs w:val="21"/>
        </w:rPr>
        <w:t xml:space="preserve">Lenka Kuželová, </w:t>
      </w:r>
      <w:r w:rsidRPr="00AD79CC">
        <w:rPr>
          <w:rFonts w:eastAsia="F015TEELig" w:cstheme="minorHAnsi"/>
          <w:sz w:val="21"/>
          <w:szCs w:val="21"/>
        </w:rPr>
        <w:t xml:space="preserve">Specialistka PR </w:t>
      </w:r>
    </w:p>
    <w:p w14:paraId="14A711EF" w14:textId="77777777" w:rsidR="00624358" w:rsidRPr="00AD79CC" w:rsidRDefault="00624358" w:rsidP="00624358">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27"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12134AC2" w14:textId="4F708FE7" w:rsidR="008F3C6D" w:rsidRPr="00EF6D8C" w:rsidRDefault="008F3C6D" w:rsidP="00EF6D8C">
      <w:pPr>
        <w:rPr>
          <w:rFonts w:asciiTheme="minorHAnsi" w:eastAsiaTheme="minorEastAsia" w:hAnsiTheme="minorHAnsi" w:cstheme="minorHAnsi"/>
          <w:noProof/>
          <w:color w:val="000000" w:themeColor="text1"/>
          <w:sz w:val="21"/>
          <w:szCs w:val="21"/>
          <w:lang w:bidi="ar-SA"/>
        </w:rPr>
      </w:pP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481A3E" w14:textId="77777777" w:rsidR="00F210E1" w:rsidRDefault="00F210E1">
      <w:r>
        <w:separator/>
      </w:r>
    </w:p>
  </w:endnote>
  <w:endnote w:type="continuationSeparator" w:id="0">
    <w:p w14:paraId="2DEDBABF" w14:textId="77777777" w:rsidR="00F210E1" w:rsidRDefault="00F21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F210E1"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4578A2"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F210E1"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4578A2"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F210E1"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4578A2"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4C57B" w14:textId="77777777" w:rsidR="00F210E1" w:rsidRDefault="00F210E1">
      <w:r>
        <w:separator/>
      </w:r>
    </w:p>
  </w:footnote>
  <w:footnote w:type="continuationSeparator" w:id="0">
    <w:p w14:paraId="59B58790" w14:textId="77777777" w:rsidR="00F210E1" w:rsidRDefault="00F210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58B7238"/>
    <w:multiLevelType w:val="hybridMultilevel"/>
    <w:tmpl w:val="5FA0F59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10"/>
  </w:num>
  <w:num w:numId="5">
    <w:abstractNumId w:val="5"/>
  </w:num>
  <w:num w:numId="6">
    <w:abstractNumId w:val="9"/>
  </w:num>
  <w:num w:numId="7">
    <w:abstractNumId w:val="3"/>
  </w:num>
  <w:num w:numId="8">
    <w:abstractNumId w:val="10"/>
  </w:num>
  <w:num w:numId="9">
    <w:abstractNumId w:val="1"/>
  </w:num>
  <w:num w:numId="10">
    <w:abstractNumId w:val="0"/>
  </w:num>
  <w:num w:numId="11">
    <w:abstractNumId w:val="4"/>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20EC7"/>
    <w:rsid w:val="00021C70"/>
    <w:rsid w:val="00022715"/>
    <w:rsid w:val="00024AC6"/>
    <w:rsid w:val="00026F23"/>
    <w:rsid w:val="000276A7"/>
    <w:rsid w:val="000277AC"/>
    <w:rsid w:val="000329A2"/>
    <w:rsid w:val="00032D94"/>
    <w:rsid w:val="00035A27"/>
    <w:rsid w:val="00036C73"/>
    <w:rsid w:val="000374D7"/>
    <w:rsid w:val="000400E4"/>
    <w:rsid w:val="0004253B"/>
    <w:rsid w:val="00045B39"/>
    <w:rsid w:val="0005252A"/>
    <w:rsid w:val="0005423A"/>
    <w:rsid w:val="00057018"/>
    <w:rsid w:val="00057DE7"/>
    <w:rsid w:val="000611E3"/>
    <w:rsid w:val="000618FE"/>
    <w:rsid w:val="00061ABB"/>
    <w:rsid w:val="00062CC5"/>
    <w:rsid w:val="00070317"/>
    <w:rsid w:val="00070675"/>
    <w:rsid w:val="000766E7"/>
    <w:rsid w:val="00076D0E"/>
    <w:rsid w:val="0007763B"/>
    <w:rsid w:val="00080552"/>
    <w:rsid w:val="00080ADE"/>
    <w:rsid w:val="00081616"/>
    <w:rsid w:val="00082FDB"/>
    <w:rsid w:val="000853D4"/>
    <w:rsid w:val="000865AA"/>
    <w:rsid w:val="00087263"/>
    <w:rsid w:val="00091F9C"/>
    <w:rsid w:val="0009776B"/>
    <w:rsid w:val="000A377B"/>
    <w:rsid w:val="000A5467"/>
    <w:rsid w:val="000A6063"/>
    <w:rsid w:val="000B0D84"/>
    <w:rsid w:val="000B2E5D"/>
    <w:rsid w:val="000B2F39"/>
    <w:rsid w:val="000B50B5"/>
    <w:rsid w:val="000B5339"/>
    <w:rsid w:val="000B54E5"/>
    <w:rsid w:val="000C0090"/>
    <w:rsid w:val="000C0C52"/>
    <w:rsid w:val="000C1853"/>
    <w:rsid w:val="000C4394"/>
    <w:rsid w:val="000C4C77"/>
    <w:rsid w:val="000C50AA"/>
    <w:rsid w:val="000D145E"/>
    <w:rsid w:val="000D14E2"/>
    <w:rsid w:val="000D5F5D"/>
    <w:rsid w:val="000D68AC"/>
    <w:rsid w:val="000D7A4D"/>
    <w:rsid w:val="000E0EEC"/>
    <w:rsid w:val="000E168E"/>
    <w:rsid w:val="000E3D86"/>
    <w:rsid w:val="000F0BA4"/>
    <w:rsid w:val="000F1EC4"/>
    <w:rsid w:val="000F29D1"/>
    <w:rsid w:val="000F6152"/>
    <w:rsid w:val="000F6249"/>
    <w:rsid w:val="00100F77"/>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3EFE"/>
    <w:rsid w:val="0014644B"/>
    <w:rsid w:val="00153932"/>
    <w:rsid w:val="001546F5"/>
    <w:rsid w:val="00156082"/>
    <w:rsid w:val="00161D10"/>
    <w:rsid w:val="00164597"/>
    <w:rsid w:val="001675AF"/>
    <w:rsid w:val="00170556"/>
    <w:rsid w:val="00170D87"/>
    <w:rsid w:val="00170E0F"/>
    <w:rsid w:val="00173F5C"/>
    <w:rsid w:val="00175224"/>
    <w:rsid w:val="001767A5"/>
    <w:rsid w:val="00180051"/>
    <w:rsid w:val="00182B07"/>
    <w:rsid w:val="0018460D"/>
    <w:rsid w:val="00186EAB"/>
    <w:rsid w:val="00187ECB"/>
    <w:rsid w:val="001901D0"/>
    <w:rsid w:val="00191B34"/>
    <w:rsid w:val="001925C8"/>
    <w:rsid w:val="00192716"/>
    <w:rsid w:val="00192C2A"/>
    <w:rsid w:val="00193550"/>
    <w:rsid w:val="00194C95"/>
    <w:rsid w:val="0019698F"/>
    <w:rsid w:val="001A54DD"/>
    <w:rsid w:val="001B08C7"/>
    <w:rsid w:val="001B296D"/>
    <w:rsid w:val="001B29C7"/>
    <w:rsid w:val="001B3C85"/>
    <w:rsid w:val="001B501B"/>
    <w:rsid w:val="001B6A93"/>
    <w:rsid w:val="001B745F"/>
    <w:rsid w:val="001D015A"/>
    <w:rsid w:val="001D3DFC"/>
    <w:rsid w:val="001D4EA8"/>
    <w:rsid w:val="001D66D5"/>
    <w:rsid w:val="001D6965"/>
    <w:rsid w:val="001E22F1"/>
    <w:rsid w:val="001E3D5F"/>
    <w:rsid w:val="001E3FBF"/>
    <w:rsid w:val="001E4209"/>
    <w:rsid w:val="001E44AC"/>
    <w:rsid w:val="001E5305"/>
    <w:rsid w:val="001E5D83"/>
    <w:rsid w:val="001E6A39"/>
    <w:rsid w:val="001F045E"/>
    <w:rsid w:val="001F25C4"/>
    <w:rsid w:val="001F2BE0"/>
    <w:rsid w:val="001F353D"/>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7D9"/>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4AC3"/>
    <w:rsid w:val="0024551C"/>
    <w:rsid w:val="0025264B"/>
    <w:rsid w:val="0025428A"/>
    <w:rsid w:val="002542AA"/>
    <w:rsid w:val="00255003"/>
    <w:rsid w:val="00255182"/>
    <w:rsid w:val="00257823"/>
    <w:rsid w:val="00263C8C"/>
    <w:rsid w:val="002645E4"/>
    <w:rsid w:val="002679C9"/>
    <w:rsid w:val="00270DB3"/>
    <w:rsid w:val="00271F07"/>
    <w:rsid w:val="002743F2"/>
    <w:rsid w:val="0027623E"/>
    <w:rsid w:val="00276C5D"/>
    <w:rsid w:val="00281834"/>
    <w:rsid w:val="002831C1"/>
    <w:rsid w:val="00285397"/>
    <w:rsid w:val="0028590C"/>
    <w:rsid w:val="00287D46"/>
    <w:rsid w:val="00290416"/>
    <w:rsid w:val="00295432"/>
    <w:rsid w:val="002A0285"/>
    <w:rsid w:val="002A2A64"/>
    <w:rsid w:val="002A3F19"/>
    <w:rsid w:val="002A6FA3"/>
    <w:rsid w:val="002A7325"/>
    <w:rsid w:val="002B0728"/>
    <w:rsid w:val="002B1317"/>
    <w:rsid w:val="002B47AF"/>
    <w:rsid w:val="002B7DA9"/>
    <w:rsid w:val="002B7F6D"/>
    <w:rsid w:val="002C00F6"/>
    <w:rsid w:val="002C0240"/>
    <w:rsid w:val="002C4A25"/>
    <w:rsid w:val="002C4BCE"/>
    <w:rsid w:val="002C7224"/>
    <w:rsid w:val="002D1619"/>
    <w:rsid w:val="002D20B9"/>
    <w:rsid w:val="002D6D20"/>
    <w:rsid w:val="002E1ABC"/>
    <w:rsid w:val="002E3DC6"/>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2FBA"/>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8A1"/>
    <w:rsid w:val="00396E90"/>
    <w:rsid w:val="003A1549"/>
    <w:rsid w:val="003A285A"/>
    <w:rsid w:val="003A2887"/>
    <w:rsid w:val="003A375A"/>
    <w:rsid w:val="003A43AB"/>
    <w:rsid w:val="003A6435"/>
    <w:rsid w:val="003B0E4E"/>
    <w:rsid w:val="003B0E4F"/>
    <w:rsid w:val="003B3F0C"/>
    <w:rsid w:val="003B4BD8"/>
    <w:rsid w:val="003C0CBE"/>
    <w:rsid w:val="003C2A23"/>
    <w:rsid w:val="003C5664"/>
    <w:rsid w:val="003C59A8"/>
    <w:rsid w:val="003C6F57"/>
    <w:rsid w:val="003C7F98"/>
    <w:rsid w:val="003D157E"/>
    <w:rsid w:val="003D1987"/>
    <w:rsid w:val="003D2162"/>
    <w:rsid w:val="003D47CB"/>
    <w:rsid w:val="003D654E"/>
    <w:rsid w:val="003E0649"/>
    <w:rsid w:val="003E255B"/>
    <w:rsid w:val="003E3701"/>
    <w:rsid w:val="003E5B34"/>
    <w:rsid w:val="003E6537"/>
    <w:rsid w:val="003E70DD"/>
    <w:rsid w:val="003F0CAF"/>
    <w:rsid w:val="003F324C"/>
    <w:rsid w:val="003F7018"/>
    <w:rsid w:val="003F79EC"/>
    <w:rsid w:val="0040257E"/>
    <w:rsid w:val="00403729"/>
    <w:rsid w:val="004041EF"/>
    <w:rsid w:val="00404530"/>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2"/>
    <w:rsid w:val="00434FAE"/>
    <w:rsid w:val="00435342"/>
    <w:rsid w:val="004372BB"/>
    <w:rsid w:val="004376B0"/>
    <w:rsid w:val="00445316"/>
    <w:rsid w:val="00445D0A"/>
    <w:rsid w:val="00447FBA"/>
    <w:rsid w:val="004501B9"/>
    <w:rsid w:val="00453CFE"/>
    <w:rsid w:val="00454843"/>
    <w:rsid w:val="004556BB"/>
    <w:rsid w:val="00455F65"/>
    <w:rsid w:val="004578A2"/>
    <w:rsid w:val="00457FFE"/>
    <w:rsid w:val="00460FA7"/>
    <w:rsid w:val="00461BF2"/>
    <w:rsid w:val="004625DF"/>
    <w:rsid w:val="0046273D"/>
    <w:rsid w:val="004627B9"/>
    <w:rsid w:val="00463191"/>
    <w:rsid w:val="004678E9"/>
    <w:rsid w:val="00467E69"/>
    <w:rsid w:val="00471166"/>
    <w:rsid w:val="00473E24"/>
    <w:rsid w:val="00474C76"/>
    <w:rsid w:val="00477DC5"/>
    <w:rsid w:val="00480982"/>
    <w:rsid w:val="00483C09"/>
    <w:rsid w:val="0048655B"/>
    <w:rsid w:val="00486655"/>
    <w:rsid w:val="0049280D"/>
    <w:rsid w:val="00492BA9"/>
    <w:rsid w:val="004935C2"/>
    <w:rsid w:val="00496374"/>
    <w:rsid w:val="004A40C5"/>
    <w:rsid w:val="004A59C1"/>
    <w:rsid w:val="004A7830"/>
    <w:rsid w:val="004B2DF6"/>
    <w:rsid w:val="004B2FF6"/>
    <w:rsid w:val="004B4E91"/>
    <w:rsid w:val="004B5797"/>
    <w:rsid w:val="004B7412"/>
    <w:rsid w:val="004B7436"/>
    <w:rsid w:val="004C222D"/>
    <w:rsid w:val="004C3DD1"/>
    <w:rsid w:val="004C3F71"/>
    <w:rsid w:val="004D5196"/>
    <w:rsid w:val="004D5CC6"/>
    <w:rsid w:val="004D6DB4"/>
    <w:rsid w:val="004E09B8"/>
    <w:rsid w:val="004E1737"/>
    <w:rsid w:val="004F303D"/>
    <w:rsid w:val="004F38CD"/>
    <w:rsid w:val="004F5D36"/>
    <w:rsid w:val="004F6195"/>
    <w:rsid w:val="00504EBB"/>
    <w:rsid w:val="0050659B"/>
    <w:rsid w:val="005130A9"/>
    <w:rsid w:val="005141D4"/>
    <w:rsid w:val="00514932"/>
    <w:rsid w:val="005153F7"/>
    <w:rsid w:val="00515952"/>
    <w:rsid w:val="005220A8"/>
    <w:rsid w:val="005224C1"/>
    <w:rsid w:val="005231DA"/>
    <w:rsid w:val="00530625"/>
    <w:rsid w:val="0053079B"/>
    <w:rsid w:val="0053153F"/>
    <w:rsid w:val="00531C9F"/>
    <w:rsid w:val="005328D4"/>
    <w:rsid w:val="00533EEB"/>
    <w:rsid w:val="00534AE7"/>
    <w:rsid w:val="005361AF"/>
    <w:rsid w:val="00536822"/>
    <w:rsid w:val="00536954"/>
    <w:rsid w:val="0053728E"/>
    <w:rsid w:val="00540563"/>
    <w:rsid w:val="00540606"/>
    <w:rsid w:val="005411AC"/>
    <w:rsid w:val="00541870"/>
    <w:rsid w:val="005436EC"/>
    <w:rsid w:val="00543DD3"/>
    <w:rsid w:val="00544A37"/>
    <w:rsid w:val="00545971"/>
    <w:rsid w:val="00550147"/>
    <w:rsid w:val="00550AC2"/>
    <w:rsid w:val="00551FDB"/>
    <w:rsid w:val="00554D18"/>
    <w:rsid w:val="00564382"/>
    <w:rsid w:val="00564E3C"/>
    <w:rsid w:val="0056501A"/>
    <w:rsid w:val="00565024"/>
    <w:rsid w:val="00571AD4"/>
    <w:rsid w:val="00573886"/>
    <w:rsid w:val="00573EE2"/>
    <w:rsid w:val="005766D5"/>
    <w:rsid w:val="00577D19"/>
    <w:rsid w:val="00590190"/>
    <w:rsid w:val="005907CD"/>
    <w:rsid w:val="0059586E"/>
    <w:rsid w:val="00597875"/>
    <w:rsid w:val="005A2139"/>
    <w:rsid w:val="005A37E5"/>
    <w:rsid w:val="005A4EB8"/>
    <w:rsid w:val="005A50EB"/>
    <w:rsid w:val="005A5BBA"/>
    <w:rsid w:val="005A5F08"/>
    <w:rsid w:val="005B3143"/>
    <w:rsid w:val="005B31D7"/>
    <w:rsid w:val="005B460E"/>
    <w:rsid w:val="005C0BC2"/>
    <w:rsid w:val="005C150C"/>
    <w:rsid w:val="005C318A"/>
    <w:rsid w:val="005D3285"/>
    <w:rsid w:val="005D52F3"/>
    <w:rsid w:val="005D75B2"/>
    <w:rsid w:val="005E1193"/>
    <w:rsid w:val="005E14B1"/>
    <w:rsid w:val="005E5A67"/>
    <w:rsid w:val="005E61BF"/>
    <w:rsid w:val="005E7301"/>
    <w:rsid w:val="005E7865"/>
    <w:rsid w:val="005E7EC0"/>
    <w:rsid w:val="005F2D95"/>
    <w:rsid w:val="005F6BD8"/>
    <w:rsid w:val="005F7E72"/>
    <w:rsid w:val="005F7EAE"/>
    <w:rsid w:val="0060397A"/>
    <w:rsid w:val="0060554F"/>
    <w:rsid w:val="006135FD"/>
    <w:rsid w:val="0061438C"/>
    <w:rsid w:val="006166CE"/>
    <w:rsid w:val="0062060D"/>
    <w:rsid w:val="006218E4"/>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4259"/>
    <w:rsid w:val="00664867"/>
    <w:rsid w:val="00667012"/>
    <w:rsid w:val="00675867"/>
    <w:rsid w:val="006768F0"/>
    <w:rsid w:val="00677078"/>
    <w:rsid w:val="00681F49"/>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1EDF"/>
    <w:rsid w:val="006D1F87"/>
    <w:rsid w:val="006D2B43"/>
    <w:rsid w:val="006D39DF"/>
    <w:rsid w:val="006D65EC"/>
    <w:rsid w:val="006E26DC"/>
    <w:rsid w:val="006E6A2F"/>
    <w:rsid w:val="006E70A0"/>
    <w:rsid w:val="006F32FB"/>
    <w:rsid w:val="006F4298"/>
    <w:rsid w:val="006F66F1"/>
    <w:rsid w:val="006F7641"/>
    <w:rsid w:val="007046C5"/>
    <w:rsid w:val="00704CBA"/>
    <w:rsid w:val="00704D83"/>
    <w:rsid w:val="007052FC"/>
    <w:rsid w:val="00705D83"/>
    <w:rsid w:val="00707E44"/>
    <w:rsid w:val="00710AF5"/>
    <w:rsid w:val="00710E0C"/>
    <w:rsid w:val="007131CE"/>
    <w:rsid w:val="00713AF1"/>
    <w:rsid w:val="00716355"/>
    <w:rsid w:val="0072112C"/>
    <w:rsid w:val="0072112F"/>
    <w:rsid w:val="00724267"/>
    <w:rsid w:val="00725BF5"/>
    <w:rsid w:val="00727B95"/>
    <w:rsid w:val="007320FB"/>
    <w:rsid w:val="007362E3"/>
    <w:rsid w:val="007408D1"/>
    <w:rsid w:val="00741E71"/>
    <w:rsid w:val="00743390"/>
    <w:rsid w:val="00743627"/>
    <w:rsid w:val="00743E6A"/>
    <w:rsid w:val="00744C4D"/>
    <w:rsid w:val="0074636A"/>
    <w:rsid w:val="00750450"/>
    <w:rsid w:val="00753B64"/>
    <w:rsid w:val="007563D8"/>
    <w:rsid w:val="0076114C"/>
    <w:rsid w:val="00762590"/>
    <w:rsid w:val="0076280C"/>
    <w:rsid w:val="007630EF"/>
    <w:rsid w:val="007648F0"/>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D0C39"/>
    <w:rsid w:val="007D14AE"/>
    <w:rsid w:val="007D325D"/>
    <w:rsid w:val="007D6231"/>
    <w:rsid w:val="007E3027"/>
    <w:rsid w:val="007E38CD"/>
    <w:rsid w:val="007E5614"/>
    <w:rsid w:val="007E6E9A"/>
    <w:rsid w:val="007E768B"/>
    <w:rsid w:val="007F13CC"/>
    <w:rsid w:val="007F2512"/>
    <w:rsid w:val="007F2DE8"/>
    <w:rsid w:val="007F3E94"/>
    <w:rsid w:val="007F4493"/>
    <w:rsid w:val="007F4C72"/>
    <w:rsid w:val="007F5903"/>
    <w:rsid w:val="007F64D9"/>
    <w:rsid w:val="007F71F9"/>
    <w:rsid w:val="008011E7"/>
    <w:rsid w:val="0080323F"/>
    <w:rsid w:val="00805BDB"/>
    <w:rsid w:val="008063BB"/>
    <w:rsid w:val="00812394"/>
    <w:rsid w:val="008123FF"/>
    <w:rsid w:val="0081387C"/>
    <w:rsid w:val="00814072"/>
    <w:rsid w:val="0081474E"/>
    <w:rsid w:val="008171F9"/>
    <w:rsid w:val="008200C4"/>
    <w:rsid w:val="00826BAD"/>
    <w:rsid w:val="0083053E"/>
    <w:rsid w:val="008317A3"/>
    <w:rsid w:val="00831B5E"/>
    <w:rsid w:val="00832F5B"/>
    <w:rsid w:val="00837ECF"/>
    <w:rsid w:val="00841AC4"/>
    <w:rsid w:val="00845A34"/>
    <w:rsid w:val="00850AB7"/>
    <w:rsid w:val="00852192"/>
    <w:rsid w:val="00852BBB"/>
    <w:rsid w:val="00856806"/>
    <w:rsid w:val="00856D3C"/>
    <w:rsid w:val="00857BC8"/>
    <w:rsid w:val="00860609"/>
    <w:rsid w:val="00863360"/>
    <w:rsid w:val="00863FC3"/>
    <w:rsid w:val="0087199F"/>
    <w:rsid w:val="00871CBD"/>
    <w:rsid w:val="00874C1A"/>
    <w:rsid w:val="00877EBC"/>
    <w:rsid w:val="00880B97"/>
    <w:rsid w:val="00881800"/>
    <w:rsid w:val="00883A3E"/>
    <w:rsid w:val="008845ED"/>
    <w:rsid w:val="0088579E"/>
    <w:rsid w:val="00885B2F"/>
    <w:rsid w:val="008875C1"/>
    <w:rsid w:val="00891E25"/>
    <w:rsid w:val="008926E5"/>
    <w:rsid w:val="008926F3"/>
    <w:rsid w:val="008953F0"/>
    <w:rsid w:val="008A04D3"/>
    <w:rsid w:val="008A0BD0"/>
    <w:rsid w:val="008A4116"/>
    <w:rsid w:val="008A60F1"/>
    <w:rsid w:val="008B2EEE"/>
    <w:rsid w:val="008B30CD"/>
    <w:rsid w:val="008B3925"/>
    <w:rsid w:val="008B4E8C"/>
    <w:rsid w:val="008B4F0F"/>
    <w:rsid w:val="008C000E"/>
    <w:rsid w:val="008C04FA"/>
    <w:rsid w:val="008C1795"/>
    <w:rsid w:val="008C2254"/>
    <w:rsid w:val="008C3938"/>
    <w:rsid w:val="008C3A59"/>
    <w:rsid w:val="008C4B0D"/>
    <w:rsid w:val="008E1286"/>
    <w:rsid w:val="008E19F3"/>
    <w:rsid w:val="008E1F4A"/>
    <w:rsid w:val="008E694A"/>
    <w:rsid w:val="008E79E2"/>
    <w:rsid w:val="008F08A1"/>
    <w:rsid w:val="008F0C4A"/>
    <w:rsid w:val="008F1824"/>
    <w:rsid w:val="008F2AEC"/>
    <w:rsid w:val="008F36CB"/>
    <w:rsid w:val="008F3C6D"/>
    <w:rsid w:val="008F6AAF"/>
    <w:rsid w:val="00901DB4"/>
    <w:rsid w:val="00901E1F"/>
    <w:rsid w:val="0090292E"/>
    <w:rsid w:val="0090656A"/>
    <w:rsid w:val="009066E9"/>
    <w:rsid w:val="00906E67"/>
    <w:rsid w:val="0091135A"/>
    <w:rsid w:val="009144B1"/>
    <w:rsid w:val="00915ADA"/>
    <w:rsid w:val="00916B03"/>
    <w:rsid w:val="00920391"/>
    <w:rsid w:val="0092097A"/>
    <w:rsid w:val="00921003"/>
    <w:rsid w:val="009222C9"/>
    <w:rsid w:val="009228CF"/>
    <w:rsid w:val="0092416B"/>
    <w:rsid w:val="00925499"/>
    <w:rsid w:val="00930569"/>
    <w:rsid w:val="00931F18"/>
    <w:rsid w:val="00932625"/>
    <w:rsid w:val="009343CC"/>
    <w:rsid w:val="009344C2"/>
    <w:rsid w:val="00934B3E"/>
    <w:rsid w:val="00934CD7"/>
    <w:rsid w:val="00935CE8"/>
    <w:rsid w:val="009412B0"/>
    <w:rsid w:val="00944750"/>
    <w:rsid w:val="00944E57"/>
    <w:rsid w:val="009462A7"/>
    <w:rsid w:val="0094645B"/>
    <w:rsid w:val="0094705C"/>
    <w:rsid w:val="00954814"/>
    <w:rsid w:val="00957739"/>
    <w:rsid w:val="00957B41"/>
    <w:rsid w:val="009631E0"/>
    <w:rsid w:val="009649D2"/>
    <w:rsid w:val="009660BD"/>
    <w:rsid w:val="009674F1"/>
    <w:rsid w:val="009750FA"/>
    <w:rsid w:val="009771E2"/>
    <w:rsid w:val="009771E6"/>
    <w:rsid w:val="00977540"/>
    <w:rsid w:val="009834E2"/>
    <w:rsid w:val="00983BFD"/>
    <w:rsid w:val="00985DC8"/>
    <w:rsid w:val="009917AF"/>
    <w:rsid w:val="009A0029"/>
    <w:rsid w:val="009A4FC0"/>
    <w:rsid w:val="009A52BA"/>
    <w:rsid w:val="009A63A0"/>
    <w:rsid w:val="009A69B1"/>
    <w:rsid w:val="009A700C"/>
    <w:rsid w:val="009B1D25"/>
    <w:rsid w:val="009C0ECA"/>
    <w:rsid w:val="009C16D4"/>
    <w:rsid w:val="009C45BA"/>
    <w:rsid w:val="009C7948"/>
    <w:rsid w:val="009C79BD"/>
    <w:rsid w:val="009D01A2"/>
    <w:rsid w:val="009D1D17"/>
    <w:rsid w:val="009D2197"/>
    <w:rsid w:val="009D24BB"/>
    <w:rsid w:val="009D44DD"/>
    <w:rsid w:val="009D64B2"/>
    <w:rsid w:val="009D729E"/>
    <w:rsid w:val="009D7493"/>
    <w:rsid w:val="009E233F"/>
    <w:rsid w:val="009E24B0"/>
    <w:rsid w:val="009E2575"/>
    <w:rsid w:val="009E317D"/>
    <w:rsid w:val="009E31C0"/>
    <w:rsid w:val="009E3B52"/>
    <w:rsid w:val="009E5992"/>
    <w:rsid w:val="009F2CB2"/>
    <w:rsid w:val="009F342D"/>
    <w:rsid w:val="009F3DA2"/>
    <w:rsid w:val="009F59EE"/>
    <w:rsid w:val="009F6CFC"/>
    <w:rsid w:val="00A008B8"/>
    <w:rsid w:val="00A00D89"/>
    <w:rsid w:val="00A04BAE"/>
    <w:rsid w:val="00A04EC0"/>
    <w:rsid w:val="00A069E2"/>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1C39"/>
    <w:rsid w:val="00A350E5"/>
    <w:rsid w:val="00A36CBA"/>
    <w:rsid w:val="00A36D79"/>
    <w:rsid w:val="00A3783E"/>
    <w:rsid w:val="00A41EA4"/>
    <w:rsid w:val="00A43785"/>
    <w:rsid w:val="00A43AC5"/>
    <w:rsid w:val="00A44FE0"/>
    <w:rsid w:val="00A4618A"/>
    <w:rsid w:val="00A500F9"/>
    <w:rsid w:val="00A50D03"/>
    <w:rsid w:val="00A522F5"/>
    <w:rsid w:val="00A53799"/>
    <w:rsid w:val="00A551C6"/>
    <w:rsid w:val="00A55209"/>
    <w:rsid w:val="00A566B1"/>
    <w:rsid w:val="00A61269"/>
    <w:rsid w:val="00A624BA"/>
    <w:rsid w:val="00A64F9A"/>
    <w:rsid w:val="00A672BC"/>
    <w:rsid w:val="00A712B2"/>
    <w:rsid w:val="00A720B2"/>
    <w:rsid w:val="00A74214"/>
    <w:rsid w:val="00A7796E"/>
    <w:rsid w:val="00A812F9"/>
    <w:rsid w:val="00A86544"/>
    <w:rsid w:val="00A879DE"/>
    <w:rsid w:val="00A9085F"/>
    <w:rsid w:val="00A92C95"/>
    <w:rsid w:val="00A93A25"/>
    <w:rsid w:val="00A95A73"/>
    <w:rsid w:val="00AA0920"/>
    <w:rsid w:val="00AA3055"/>
    <w:rsid w:val="00AA469A"/>
    <w:rsid w:val="00AA5141"/>
    <w:rsid w:val="00AA6E6D"/>
    <w:rsid w:val="00AA715C"/>
    <w:rsid w:val="00AA7977"/>
    <w:rsid w:val="00AA79D9"/>
    <w:rsid w:val="00AB0126"/>
    <w:rsid w:val="00AB50FF"/>
    <w:rsid w:val="00AB6239"/>
    <w:rsid w:val="00AC4BEC"/>
    <w:rsid w:val="00AC57BB"/>
    <w:rsid w:val="00AC614D"/>
    <w:rsid w:val="00AD0323"/>
    <w:rsid w:val="00AD1F39"/>
    <w:rsid w:val="00AD4295"/>
    <w:rsid w:val="00AD4BC3"/>
    <w:rsid w:val="00AD647D"/>
    <w:rsid w:val="00AE02FD"/>
    <w:rsid w:val="00AE267B"/>
    <w:rsid w:val="00AE2698"/>
    <w:rsid w:val="00AE313F"/>
    <w:rsid w:val="00AE34F4"/>
    <w:rsid w:val="00AF042F"/>
    <w:rsid w:val="00AF412F"/>
    <w:rsid w:val="00B00C49"/>
    <w:rsid w:val="00B01601"/>
    <w:rsid w:val="00B0200B"/>
    <w:rsid w:val="00B03105"/>
    <w:rsid w:val="00B03461"/>
    <w:rsid w:val="00B0766F"/>
    <w:rsid w:val="00B07F42"/>
    <w:rsid w:val="00B10787"/>
    <w:rsid w:val="00B11974"/>
    <w:rsid w:val="00B12CF8"/>
    <w:rsid w:val="00B13035"/>
    <w:rsid w:val="00B225A2"/>
    <w:rsid w:val="00B244B9"/>
    <w:rsid w:val="00B24559"/>
    <w:rsid w:val="00B27020"/>
    <w:rsid w:val="00B27178"/>
    <w:rsid w:val="00B310C3"/>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AF0"/>
    <w:rsid w:val="00B72C6B"/>
    <w:rsid w:val="00B72E16"/>
    <w:rsid w:val="00B73012"/>
    <w:rsid w:val="00B83D7B"/>
    <w:rsid w:val="00B85620"/>
    <w:rsid w:val="00B91131"/>
    <w:rsid w:val="00B94E88"/>
    <w:rsid w:val="00B95BB2"/>
    <w:rsid w:val="00B95EBA"/>
    <w:rsid w:val="00B97151"/>
    <w:rsid w:val="00BA037E"/>
    <w:rsid w:val="00BA04AB"/>
    <w:rsid w:val="00BA23D8"/>
    <w:rsid w:val="00BA35C9"/>
    <w:rsid w:val="00BA3EE0"/>
    <w:rsid w:val="00BA786D"/>
    <w:rsid w:val="00BB0AA7"/>
    <w:rsid w:val="00BB4D49"/>
    <w:rsid w:val="00BB537C"/>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4A23"/>
    <w:rsid w:val="00BE7068"/>
    <w:rsid w:val="00BE768F"/>
    <w:rsid w:val="00C03192"/>
    <w:rsid w:val="00C10C80"/>
    <w:rsid w:val="00C11CD5"/>
    <w:rsid w:val="00C22046"/>
    <w:rsid w:val="00C23E32"/>
    <w:rsid w:val="00C251C4"/>
    <w:rsid w:val="00C266F9"/>
    <w:rsid w:val="00C27759"/>
    <w:rsid w:val="00C314C1"/>
    <w:rsid w:val="00C31917"/>
    <w:rsid w:val="00C37B8E"/>
    <w:rsid w:val="00C40571"/>
    <w:rsid w:val="00C40D7F"/>
    <w:rsid w:val="00C41741"/>
    <w:rsid w:val="00C41DD9"/>
    <w:rsid w:val="00C427DA"/>
    <w:rsid w:val="00C42C49"/>
    <w:rsid w:val="00C42FAF"/>
    <w:rsid w:val="00C47FE5"/>
    <w:rsid w:val="00C521D9"/>
    <w:rsid w:val="00C52C56"/>
    <w:rsid w:val="00C56053"/>
    <w:rsid w:val="00C568FB"/>
    <w:rsid w:val="00C56D0A"/>
    <w:rsid w:val="00C7063D"/>
    <w:rsid w:val="00C71320"/>
    <w:rsid w:val="00C7255C"/>
    <w:rsid w:val="00C72FDA"/>
    <w:rsid w:val="00C734F1"/>
    <w:rsid w:val="00C73AA7"/>
    <w:rsid w:val="00C73DAB"/>
    <w:rsid w:val="00C76BF4"/>
    <w:rsid w:val="00C76F3B"/>
    <w:rsid w:val="00C85569"/>
    <w:rsid w:val="00C863A3"/>
    <w:rsid w:val="00C864DC"/>
    <w:rsid w:val="00C866E4"/>
    <w:rsid w:val="00C90075"/>
    <w:rsid w:val="00C915B4"/>
    <w:rsid w:val="00C92177"/>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C3679"/>
    <w:rsid w:val="00CC721B"/>
    <w:rsid w:val="00CD18B3"/>
    <w:rsid w:val="00CD3324"/>
    <w:rsid w:val="00CD5FBC"/>
    <w:rsid w:val="00CD6162"/>
    <w:rsid w:val="00CE3B40"/>
    <w:rsid w:val="00CE4309"/>
    <w:rsid w:val="00CE6C6E"/>
    <w:rsid w:val="00CF42B9"/>
    <w:rsid w:val="00CF580B"/>
    <w:rsid w:val="00CF7819"/>
    <w:rsid w:val="00D01832"/>
    <w:rsid w:val="00D033AD"/>
    <w:rsid w:val="00D04527"/>
    <w:rsid w:val="00D201A6"/>
    <w:rsid w:val="00D21C96"/>
    <w:rsid w:val="00D30854"/>
    <w:rsid w:val="00D31127"/>
    <w:rsid w:val="00D33134"/>
    <w:rsid w:val="00D366B5"/>
    <w:rsid w:val="00D4052C"/>
    <w:rsid w:val="00D43DD3"/>
    <w:rsid w:val="00D447AC"/>
    <w:rsid w:val="00D4538C"/>
    <w:rsid w:val="00D4539F"/>
    <w:rsid w:val="00D458F0"/>
    <w:rsid w:val="00D45D3C"/>
    <w:rsid w:val="00D472C6"/>
    <w:rsid w:val="00D5079D"/>
    <w:rsid w:val="00D50B73"/>
    <w:rsid w:val="00D535DF"/>
    <w:rsid w:val="00D54957"/>
    <w:rsid w:val="00D55BD2"/>
    <w:rsid w:val="00D57CA6"/>
    <w:rsid w:val="00D6041B"/>
    <w:rsid w:val="00D60D98"/>
    <w:rsid w:val="00D61018"/>
    <w:rsid w:val="00D6265B"/>
    <w:rsid w:val="00D66D12"/>
    <w:rsid w:val="00D6773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690A"/>
    <w:rsid w:val="00DA073A"/>
    <w:rsid w:val="00DA08E6"/>
    <w:rsid w:val="00DA244F"/>
    <w:rsid w:val="00DA441B"/>
    <w:rsid w:val="00DA50BA"/>
    <w:rsid w:val="00DA5330"/>
    <w:rsid w:val="00DA55A8"/>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68B5"/>
    <w:rsid w:val="00DD7FC1"/>
    <w:rsid w:val="00DE62D6"/>
    <w:rsid w:val="00DE7740"/>
    <w:rsid w:val="00DF0000"/>
    <w:rsid w:val="00DF020C"/>
    <w:rsid w:val="00DF05CC"/>
    <w:rsid w:val="00DF16F7"/>
    <w:rsid w:val="00DF4BD2"/>
    <w:rsid w:val="00DF5A2C"/>
    <w:rsid w:val="00DF7709"/>
    <w:rsid w:val="00DF7D1B"/>
    <w:rsid w:val="00E003F9"/>
    <w:rsid w:val="00E00DC6"/>
    <w:rsid w:val="00E01A0A"/>
    <w:rsid w:val="00E02B4A"/>
    <w:rsid w:val="00E058A3"/>
    <w:rsid w:val="00E06422"/>
    <w:rsid w:val="00E11439"/>
    <w:rsid w:val="00E151F3"/>
    <w:rsid w:val="00E161C6"/>
    <w:rsid w:val="00E17539"/>
    <w:rsid w:val="00E17D0C"/>
    <w:rsid w:val="00E21CDE"/>
    <w:rsid w:val="00E225BA"/>
    <w:rsid w:val="00E2483C"/>
    <w:rsid w:val="00E26CF0"/>
    <w:rsid w:val="00E30987"/>
    <w:rsid w:val="00E31346"/>
    <w:rsid w:val="00E33BF5"/>
    <w:rsid w:val="00E35966"/>
    <w:rsid w:val="00E36C23"/>
    <w:rsid w:val="00E376F8"/>
    <w:rsid w:val="00E40550"/>
    <w:rsid w:val="00E40650"/>
    <w:rsid w:val="00E409BF"/>
    <w:rsid w:val="00E4121F"/>
    <w:rsid w:val="00E41C99"/>
    <w:rsid w:val="00E423B5"/>
    <w:rsid w:val="00E4313E"/>
    <w:rsid w:val="00E43F59"/>
    <w:rsid w:val="00E448C8"/>
    <w:rsid w:val="00E45D9D"/>
    <w:rsid w:val="00E461E4"/>
    <w:rsid w:val="00E47FF9"/>
    <w:rsid w:val="00E518BB"/>
    <w:rsid w:val="00E56A60"/>
    <w:rsid w:val="00E57F9B"/>
    <w:rsid w:val="00E65A9A"/>
    <w:rsid w:val="00E6726D"/>
    <w:rsid w:val="00E76043"/>
    <w:rsid w:val="00E77BCA"/>
    <w:rsid w:val="00E81433"/>
    <w:rsid w:val="00E81C95"/>
    <w:rsid w:val="00E8372E"/>
    <w:rsid w:val="00E84B41"/>
    <w:rsid w:val="00E852A3"/>
    <w:rsid w:val="00E93958"/>
    <w:rsid w:val="00EA01CC"/>
    <w:rsid w:val="00EA0A92"/>
    <w:rsid w:val="00EA0C1C"/>
    <w:rsid w:val="00EA3819"/>
    <w:rsid w:val="00EA477A"/>
    <w:rsid w:val="00EA4F68"/>
    <w:rsid w:val="00EA57EB"/>
    <w:rsid w:val="00EA674F"/>
    <w:rsid w:val="00EB1036"/>
    <w:rsid w:val="00EB4746"/>
    <w:rsid w:val="00EB4785"/>
    <w:rsid w:val="00EB48E6"/>
    <w:rsid w:val="00EB716B"/>
    <w:rsid w:val="00EC3BED"/>
    <w:rsid w:val="00EC72E9"/>
    <w:rsid w:val="00EC7BC1"/>
    <w:rsid w:val="00EC7F0E"/>
    <w:rsid w:val="00ED1BBB"/>
    <w:rsid w:val="00ED2D1F"/>
    <w:rsid w:val="00ED47B9"/>
    <w:rsid w:val="00ED58E9"/>
    <w:rsid w:val="00ED79D6"/>
    <w:rsid w:val="00EE1831"/>
    <w:rsid w:val="00EE3451"/>
    <w:rsid w:val="00EE3C70"/>
    <w:rsid w:val="00EE63BE"/>
    <w:rsid w:val="00EE6922"/>
    <w:rsid w:val="00EE6E06"/>
    <w:rsid w:val="00EE6F99"/>
    <w:rsid w:val="00EF0284"/>
    <w:rsid w:val="00EF18D9"/>
    <w:rsid w:val="00EF1AE7"/>
    <w:rsid w:val="00EF2F7C"/>
    <w:rsid w:val="00EF318B"/>
    <w:rsid w:val="00EF6D8C"/>
    <w:rsid w:val="00F01A8D"/>
    <w:rsid w:val="00F01BFC"/>
    <w:rsid w:val="00F02356"/>
    <w:rsid w:val="00F02D95"/>
    <w:rsid w:val="00F101B3"/>
    <w:rsid w:val="00F10A3C"/>
    <w:rsid w:val="00F13FDA"/>
    <w:rsid w:val="00F14982"/>
    <w:rsid w:val="00F14B6E"/>
    <w:rsid w:val="00F20B64"/>
    <w:rsid w:val="00F20D55"/>
    <w:rsid w:val="00F210E1"/>
    <w:rsid w:val="00F21D05"/>
    <w:rsid w:val="00F250B8"/>
    <w:rsid w:val="00F253CD"/>
    <w:rsid w:val="00F25676"/>
    <w:rsid w:val="00F2598D"/>
    <w:rsid w:val="00F259AE"/>
    <w:rsid w:val="00F30F02"/>
    <w:rsid w:val="00F311EB"/>
    <w:rsid w:val="00F31B7E"/>
    <w:rsid w:val="00F336A2"/>
    <w:rsid w:val="00F33826"/>
    <w:rsid w:val="00F33D58"/>
    <w:rsid w:val="00F34E7C"/>
    <w:rsid w:val="00F3561E"/>
    <w:rsid w:val="00F36EC6"/>
    <w:rsid w:val="00F4229F"/>
    <w:rsid w:val="00F43A8C"/>
    <w:rsid w:val="00F44AEB"/>
    <w:rsid w:val="00F45620"/>
    <w:rsid w:val="00F465B7"/>
    <w:rsid w:val="00F46BBD"/>
    <w:rsid w:val="00F479A2"/>
    <w:rsid w:val="00F51B95"/>
    <w:rsid w:val="00F5432C"/>
    <w:rsid w:val="00F5470D"/>
    <w:rsid w:val="00F5611C"/>
    <w:rsid w:val="00F56253"/>
    <w:rsid w:val="00F637FB"/>
    <w:rsid w:val="00F640A4"/>
    <w:rsid w:val="00F66B41"/>
    <w:rsid w:val="00F712AB"/>
    <w:rsid w:val="00F77D7D"/>
    <w:rsid w:val="00F800F5"/>
    <w:rsid w:val="00F80CD0"/>
    <w:rsid w:val="00F82DDB"/>
    <w:rsid w:val="00F838FF"/>
    <w:rsid w:val="00F83CDB"/>
    <w:rsid w:val="00F8401D"/>
    <w:rsid w:val="00F8771B"/>
    <w:rsid w:val="00F87E05"/>
    <w:rsid w:val="00F90003"/>
    <w:rsid w:val="00F9173C"/>
    <w:rsid w:val="00F94180"/>
    <w:rsid w:val="00F95752"/>
    <w:rsid w:val="00FA04F3"/>
    <w:rsid w:val="00FA1C73"/>
    <w:rsid w:val="00FA3302"/>
    <w:rsid w:val="00FA69C2"/>
    <w:rsid w:val="00FA6B22"/>
    <w:rsid w:val="00FA6E63"/>
    <w:rsid w:val="00FA73E5"/>
    <w:rsid w:val="00FB18D0"/>
    <w:rsid w:val="00FB2ED6"/>
    <w:rsid w:val="00FB3309"/>
    <w:rsid w:val="00FB53F1"/>
    <w:rsid w:val="00FB65BA"/>
    <w:rsid w:val="00FC0973"/>
    <w:rsid w:val="00FC2216"/>
    <w:rsid w:val="00FC23FE"/>
    <w:rsid w:val="00FC2522"/>
    <w:rsid w:val="00FC309B"/>
    <w:rsid w:val="00FC5B56"/>
    <w:rsid w:val="00FC7D97"/>
    <w:rsid w:val="00FC7DA9"/>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151334288">
      <w:bodyDiv w:val="1"/>
      <w:marLeft w:val="0"/>
      <w:marRight w:val="0"/>
      <w:marTop w:val="0"/>
      <w:marBottom w:val="0"/>
      <w:divBdr>
        <w:top w:val="none" w:sz="0" w:space="0" w:color="auto"/>
        <w:left w:val="none" w:sz="0" w:space="0" w:color="auto"/>
        <w:bottom w:val="none" w:sz="0" w:space="0" w:color="auto"/>
        <w:right w:val="none" w:sz="0" w:space="0" w:color="auto"/>
      </w:divBdr>
    </w:div>
    <w:div w:id="181625473">
      <w:bodyDiv w:val="1"/>
      <w:marLeft w:val="0"/>
      <w:marRight w:val="0"/>
      <w:marTop w:val="0"/>
      <w:marBottom w:val="0"/>
      <w:divBdr>
        <w:top w:val="none" w:sz="0" w:space="0" w:color="auto"/>
        <w:left w:val="none" w:sz="0" w:space="0" w:color="auto"/>
        <w:bottom w:val="none" w:sz="0" w:space="0" w:color="auto"/>
        <w:right w:val="none" w:sz="0" w:space="0" w:color="auto"/>
      </w:divBdr>
      <w:divsChild>
        <w:div w:id="1740320161">
          <w:marLeft w:val="0"/>
          <w:marRight w:val="0"/>
          <w:marTop w:val="0"/>
          <w:marBottom w:val="0"/>
          <w:divBdr>
            <w:top w:val="none" w:sz="0" w:space="0" w:color="auto"/>
            <w:left w:val="none" w:sz="0" w:space="0" w:color="auto"/>
            <w:bottom w:val="none" w:sz="0" w:space="0" w:color="auto"/>
            <w:right w:val="none" w:sz="0" w:space="0" w:color="auto"/>
          </w:divBdr>
          <w:divsChild>
            <w:div w:id="1151946120">
              <w:marLeft w:val="0"/>
              <w:marRight w:val="0"/>
              <w:marTop w:val="0"/>
              <w:marBottom w:val="0"/>
              <w:divBdr>
                <w:top w:val="none" w:sz="0" w:space="0" w:color="auto"/>
                <w:left w:val="none" w:sz="0" w:space="0" w:color="auto"/>
                <w:bottom w:val="none" w:sz="0" w:space="0" w:color="auto"/>
                <w:right w:val="none" w:sz="0" w:space="0" w:color="auto"/>
              </w:divBdr>
              <w:divsChild>
                <w:div w:id="25453510">
                  <w:marLeft w:val="0"/>
                  <w:marRight w:val="0"/>
                  <w:marTop w:val="0"/>
                  <w:marBottom w:val="0"/>
                  <w:divBdr>
                    <w:top w:val="none" w:sz="0" w:space="0" w:color="auto"/>
                    <w:left w:val="none" w:sz="0" w:space="0" w:color="auto"/>
                    <w:bottom w:val="none" w:sz="0" w:space="0" w:color="auto"/>
                    <w:right w:val="none" w:sz="0" w:space="0" w:color="auto"/>
                  </w:divBdr>
                  <w:divsChild>
                    <w:div w:id="1540241522">
                      <w:marLeft w:val="0"/>
                      <w:marRight w:val="0"/>
                      <w:marTop w:val="0"/>
                      <w:marBottom w:val="0"/>
                      <w:divBdr>
                        <w:top w:val="none" w:sz="0" w:space="0" w:color="auto"/>
                        <w:left w:val="none" w:sz="0" w:space="0" w:color="auto"/>
                        <w:bottom w:val="none" w:sz="0" w:space="0" w:color="auto"/>
                        <w:right w:val="none" w:sz="0" w:space="0" w:color="auto"/>
                      </w:divBdr>
                      <w:divsChild>
                        <w:div w:id="776369963">
                          <w:marLeft w:val="0"/>
                          <w:marRight w:val="0"/>
                          <w:marTop w:val="0"/>
                          <w:marBottom w:val="0"/>
                          <w:divBdr>
                            <w:top w:val="none" w:sz="0" w:space="0" w:color="auto"/>
                            <w:left w:val="none" w:sz="0" w:space="0" w:color="auto"/>
                            <w:bottom w:val="none" w:sz="0" w:space="0" w:color="auto"/>
                            <w:right w:val="none" w:sz="0" w:space="0" w:color="auto"/>
                          </w:divBdr>
                          <w:divsChild>
                            <w:div w:id="19177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1425086">
      <w:bodyDiv w:val="1"/>
      <w:marLeft w:val="0"/>
      <w:marRight w:val="0"/>
      <w:marTop w:val="0"/>
      <w:marBottom w:val="0"/>
      <w:divBdr>
        <w:top w:val="none" w:sz="0" w:space="0" w:color="auto"/>
        <w:left w:val="none" w:sz="0" w:space="0" w:color="auto"/>
        <w:bottom w:val="none" w:sz="0" w:space="0" w:color="auto"/>
        <w:right w:val="none" w:sz="0" w:space="0" w:color="auto"/>
      </w:divBdr>
    </w:div>
    <w:div w:id="235557152">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48380583">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400832100">
          <w:marLeft w:val="0"/>
          <w:marRight w:val="0"/>
          <w:marTop w:val="0"/>
          <w:marBottom w:val="0"/>
          <w:divBdr>
            <w:top w:val="none" w:sz="0" w:space="0" w:color="auto"/>
            <w:left w:val="none" w:sz="0" w:space="0" w:color="auto"/>
            <w:bottom w:val="none" w:sz="0" w:space="0" w:color="auto"/>
            <w:right w:val="none" w:sz="0" w:space="0" w:color="auto"/>
          </w:divBdr>
          <w:divsChild>
            <w:div w:id="446974766">
              <w:marLeft w:val="0"/>
              <w:marRight w:val="0"/>
              <w:marTop w:val="0"/>
              <w:marBottom w:val="0"/>
              <w:divBdr>
                <w:top w:val="none" w:sz="0" w:space="0" w:color="auto"/>
                <w:left w:val="none" w:sz="0" w:space="0" w:color="auto"/>
                <w:bottom w:val="none" w:sz="0" w:space="0" w:color="auto"/>
                <w:right w:val="none" w:sz="0" w:space="0" w:color="auto"/>
              </w:divBdr>
              <w:divsChild>
                <w:div w:id="113598995">
                  <w:marLeft w:val="0"/>
                  <w:marRight w:val="0"/>
                  <w:marTop w:val="0"/>
                  <w:marBottom w:val="0"/>
                  <w:divBdr>
                    <w:top w:val="none" w:sz="0" w:space="0" w:color="auto"/>
                    <w:left w:val="none" w:sz="0" w:space="0" w:color="auto"/>
                    <w:bottom w:val="none" w:sz="0" w:space="0" w:color="auto"/>
                    <w:right w:val="none" w:sz="0" w:space="0" w:color="auto"/>
                  </w:divBdr>
                  <w:divsChild>
                    <w:div w:id="1244342809">
                      <w:marLeft w:val="0"/>
                      <w:marRight w:val="0"/>
                      <w:marTop w:val="0"/>
                      <w:marBottom w:val="0"/>
                      <w:divBdr>
                        <w:top w:val="none" w:sz="0" w:space="0" w:color="auto"/>
                        <w:left w:val="none" w:sz="0" w:space="0" w:color="auto"/>
                        <w:bottom w:val="none" w:sz="0" w:space="0" w:color="auto"/>
                        <w:right w:val="none" w:sz="0" w:space="0" w:color="auto"/>
                      </w:divBdr>
                      <w:divsChild>
                        <w:div w:id="617759047">
                          <w:marLeft w:val="0"/>
                          <w:marRight w:val="0"/>
                          <w:marTop w:val="0"/>
                          <w:marBottom w:val="0"/>
                          <w:divBdr>
                            <w:top w:val="none" w:sz="0" w:space="0" w:color="auto"/>
                            <w:left w:val="none" w:sz="0" w:space="0" w:color="auto"/>
                            <w:bottom w:val="none" w:sz="0" w:space="0" w:color="auto"/>
                            <w:right w:val="none" w:sz="0" w:space="0" w:color="auto"/>
                          </w:divBdr>
                          <w:divsChild>
                            <w:div w:id="833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6420">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lenka.kuzel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74348-49F4-4AA1-A40C-E84E03A9B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1025</Words>
  <Characters>6051</Characters>
  <Application>Microsoft Office Word</Application>
  <DocSecurity>0</DocSecurity>
  <Lines>50</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4</cp:revision>
  <dcterms:created xsi:type="dcterms:W3CDTF">2025-04-16T06:32:00Z</dcterms:created>
  <dcterms:modified xsi:type="dcterms:W3CDTF">2025-04-16T08:12:00Z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