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14DBE9" w14:textId="6E0639B0" w:rsidR="00677C07" w:rsidRDefault="00677C07">
      <w:pPr>
        <w:rPr>
          <w:highlight w:val="yellow"/>
        </w:rPr>
      </w:pPr>
    </w:p>
    <w:sdt>
      <w:sdtPr>
        <w:rPr>
          <w:highlight w:val="yellow"/>
        </w:rPr>
        <w:id w:val="120037484"/>
        <w:docPartObj>
          <w:docPartGallery w:val="Cover Pages"/>
          <w:docPartUnique/>
        </w:docPartObj>
      </w:sdtPr>
      <w:sdtEndPr>
        <w:rPr>
          <w:rFonts w:ascii="Arial" w:hAnsi="Arial" w:cs="Arial"/>
          <w:sz w:val="20"/>
          <w:szCs w:val="20"/>
        </w:rPr>
      </w:sdtEndPr>
      <w:sdtContent>
        <w:p w14:paraId="7ED014A1" w14:textId="55F827D2" w:rsidR="00D80B6D" w:rsidRPr="00B346ED" w:rsidRDefault="00D80B6D" w:rsidP="00B346ED">
          <w:pPr>
            <w:rPr>
              <w:highlight w:val="yellow"/>
            </w:rPr>
          </w:pPr>
        </w:p>
        <w:p w14:paraId="0FB45B67" w14:textId="77777777" w:rsidR="00D80B6D" w:rsidRPr="007443AD" w:rsidRDefault="00D80B6D" w:rsidP="00D80B6D">
          <w:pPr>
            <w:spacing w:before="230"/>
            <w:ind w:left="165"/>
            <w:jc w:val="center"/>
            <w:rPr>
              <w:rFonts w:asciiTheme="minorHAnsi" w:hAnsiTheme="minorHAnsi" w:cstheme="minorHAnsi"/>
              <w:sz w:val="24"/>
            </w:rPr>
          </w:pPr>
          <w:r w:rsidRPr="007443AD">
            <w:rPr>
              <w:rFonts w:asciiTheme="minorHAnsi" w:hAnsiTheme="minorHAnsi" w:cstheme="minorHAnsi"/>
              <w:b/>
              <w:sz w:val="24"/>
            </w:rPr>
            <w:t>INDEX HYPOTEČNÍCH ÚVĚRŮ</w:t>
          </w:r>
          <w:r w:rsidRPr="007443AD">
            <w:rPr>
              <w:rFonts w:asciiTheme="minorHAnsi" w:hAnsiTheme="minorHAnsi" w:cstheme="minorHAnsi"/>
              <w:sz w:val="24"/>
            </w:rPr>
            <w:t xml:space="preserve"> | </w:t>
          </w:r>
          <w:r w:rsidRPr="007443AD">
            <w:rPr>
              <w:rFonts w:asciiTheme="minorHAnsi" w:hAnsiTheme="minorHAnsi" w:cstheme="minorHAnsi"/>
              <w:b/>
              <w:sz w:val="24"/>
            </w:rPr>
            <w:t xml:space="preserve">FIXINDEX </w:t>
          </w:r>
        </w:p>
        <w:p w14:paraId="03C4DE47" w14:textId="137DE246" w:rsidR="0009776B" w:rsidRDefault="00D80B6D" w:rsidP="005F65A1">
          <w:pPr>
            <w:spacing w:before="230"/>
            <w:ind w:left="165"/>
            <w:jc w:val="center"/>
            <w:rPr>
              <w:rFonts w:asciiTheme="minorHAnsi" w:hAnsiTheme="minorHAnsi" w:cstheme="minorHAnsi"/>
              <w:sz w:val="24"/>
            </w:rPr>
          </w:pPr>
          <w:r w:rsidRPr="007443AD">
            <w:rPr>
              <w:rFonts w:asciiTheme="minorHAnsi" w:hAnsiTheme="minorHAnsi" w:cstheme="minorHAnsi"/>
              <w:sz w:val="24"/>
            </w:rPr>
            <w:t xml:space="preserve">INDEX PODÍLOVÝCH FONDŮ </w:t>
          </w:r>
        </w:p>
        <w:p w14:paraId="5F5E486E" w14:textId="2A454C45" w:rsidR="004B5B94" w:rsidRPr="007443AD" w:rsidRDefault="004B5B94" w:rsidP="005F65A1">
          <w:pPr>
            <w:spacing w:before="230"/>
            <w:ind w:left="165"/>
            <w:jc w:val="center"/>
            <w:rPr>
              <w:rFonts w:asciiTheme="minorHAnsi" w:hAnsiTheme="minorHAnsi" w:cstheme="minorHAnsi"/>
              <w:sz w:val="24"/>
            </w:rPr>
          </w:pPr>
          <w:r>
            <w:rPr>
              <w:rFonts w:asciiTheme="minorHAnsi" w:hAnsiTheme="minorHAnsi" w:cstheme="minorHAnsi"/>
              <w:sz w:val="24"/>
            </w:rPr>
            <w:t>REALINDEX</w:t>
          </w:r>
        </w:p>
        <w:p w14:paraId="32900BCE" w14:textId="5904F9FC" w:rsidR="00D80B6D" w:rsidRPr="007443AD" w:rsidRDefault="00D80B6D" w:rsidP="00D80B6D">
          <w:pPr>
            <w:spacing w:before="230"/>
            <w:ind w:left="165"/>
            <w:jc w:val="center"/>
            <w:rPr>
              <w:rFonts w:asciiTheme="minorHAnsi" w:hAnsiTheme="minorHAnsi" w:cstheme="minorHAnsi"/>
              <w:sz w:val="24"/>
            </w:rPr>
          </w:pPr>
          <w:r w:rsidRPr="007443AD">
            <w:rPr>
              <w:rFonts w:asciiTheme="minorHAnsi" w:hAnsiTheme="minorHAnsi" w:cstheme="minorHAnsi"/>
              <w:sz w:val="24"/>
            </w:rPr>
            <w:t>P</w:t>
          </w:r>
          <w:r w:rsidR="005F65A1" w:rsidRPr="007443AD">
            <w:rPr>
              <w:rFonts w:asciiTheme="minorHAnsi" w:hAnsiTheme="minorHAnsi" w:cstheme="minorHAnsi"/>
              <w:sz w:val="24"/>
            </w:rPr>
            <w:t>OV</w:t>
          </w:r>
          <w:r w:rsidRPr="007443AD">
            <w:rPr>
              <w:rFonts w:asciiTheme="minorHAnsi" w:hAnsiTheme="minorHAnsi" w:cstheme="minorHAnsi"/>
              <w:sz w:val="24"/>
            </w:rPr>
            <w:t xml:space="preserve">INDEX </w:t>
          </w:r>
        </w:p>
        <w:p w14:paraId="5B21B8A6" w14:textId="77777777" w:rsidR="00D80B6D" w:rsidRPr="007443AD" w:rsidRDefault="00D80B6D" w:rsidP="00D80B6D">
          <w:pPr>
            <w:spacing w:before="230"/>
            <w:ind w:left="165"/>
            <w:jc w:val="center"/>
            <w:rPr>
              <w:rFonts w:asciiTheme="minorHAnsi" w:hAnsiTheme="minorHAnsi" w:cstheme="minorHAnsi"/>
              <w:sz w:val="24"/>
            </w:rPr>
          </w:pPr>
          <w:r w:rsidRPr="007443AD">
            <w:rPr>
              <w:rFonts w:asciiTheme="minorHAnsi" w:hAnsiTheme="minorHAnsi" w:cstheme="minorHAnsi"/>
              <w:sz w:val="24"/>
            </w:rPr>
            <w:t xml:space="preserve">INDEX SPOTŘEBITELSKÝCH ÚVĚRŮ  </w:t>
          </w:r>
        </w:p>
        <w:p w14:paraId="720CCDBB" w14:textId="77777777" w:rsidR="00D80B6D" w:rsidRPr="00D84B7D" w:rsidRDefault="00D80B6D" w:rsidP="00D80B6D">
          <w:pPr>
            <w:pStyle w:val="Zkladntext"/>
            <w:spacing w:before="240"/>
            <w:rPr>
              <w:sz w:val="20"/>
              <w:highlight w:val="yellow"/>
            </w:rPr>
          </w:pPr>
        </w:p>
        <w:p w14:paraId="703D71F2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00494A3A" w14:textId="40EC1AD5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16B1498C" w14:textId="45784D03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2A5F355C" w14:textId="332F57EA" w:rsidR="00D80B6D" w:rsidRPr="00D84B7D" w:rsidRDefault="00B420F4" w:rsidP="00D80B6D">
          <w:pPr>
            <w:pStyle w:val="Zkladntext"/>
            <w:rPr>
              <w:sz w:val="20"/>
              <w:highlight w:val="yellow"/>
            </w:rPr>
          </w:pPr>
          <w:r w:rsidRPr="00D84B7D">
            <w:rPr>
              <w:noProof/>
              <w:sz w:val="20"/>
              <w:highlight w:val="yellow"/>
              <w:lang w:bidi="ar-SA"/>
            </w:rPr>
            <w:drawing>
              <wp:anchor distT="0" distB="0" distL="114300" distR="114300" simplePos="0" relativeHeight="251661312" behindDoc="1" locked="0" layoutInCell="1" allowOverlap="1" wp14:anchorId="5D272556" wp14:editId="765BB4A2">
                <wp:simplePos x="0" y="0"/>
                <wp:positionH relativeFrom="margin">
                  <wp:posOffset>2004402</wp:posOffset>
                </wp:positionH>
                <wp:positionV relativeFrom="paragraph">
                  <wp:posOffset>33752</wp:posOffset>
                </wp:positionV>
                <wp:extent cx="2715895" cy="2537460"/>
                <wp:effectExtent l="0" t="0" r="8255" b="0"/>
                <wp:wrapTight wrapText="bothSides">
                  <wp:wrapPolygon edited="0">
                    <wp:start x="0" y="0"/>
                    <wp:lineTo x="0" y="21405"/>
                    <wp:lineTo x="21514" y="21405"/>
                    <wp:lineTo x="21514" y="0"/>
                    <wp:lineTo x="0" y="0"/>
                  </wp:wrapPolygon>
                </wp:wrapTight>
                <wp:docPr id="123" name="Obrázek 1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900" t="40856" r="4590"/>
                        <a:stretch/>
                      </pic:blipFill>
                      <pic:spPr bwMode="auto">
                        <a:xfrm>
                          <a:off x="0" y="0"/>
                          <a:ext cx="2715895" cy="2537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218EE6CB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0238B3AB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54516A42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5266363A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363B2E28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17667B44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sz w:val="20"/>
              <w:highlight w:val="yellow"/>
            </w:rPr>
          </w:pPr>
        </w:p>
        <w:p w14:paraId="5193A529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2833FE59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DB157BF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47803C2A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D90E1D0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A33B823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0D2BECD0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9288FB9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41E93D5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41A343C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C52C42D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E3CDF25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40495E64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9B6F4E6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ADDFBD6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CB27DF8" w14:textId="77777777" w:rsidR="007B358E" w:rsidRPr="00D84B7D" w:rsidRDefault="007B358E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A61C564" w14:textId="77777777" w:rsidR="0068617E" w:rsidRPr="00D84B7D" w:rsidRDefault="0068617E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414E639" w14:textId="77777777" w:rsidR="0068617E" w:rsidRPr="00D84B7D" w:rsidRDefault="0068617E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660AEB6" w14:textId="77777777" w:rsidR="005B7E46" w:rsidRDefault="005B7E46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51D468A4" w14:textId="77777777" w:rsidR="005B7E46" w:rsidRDefault="005B7E46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2F2ED302" w14:textId="77777777" w:rsidR="005B7E46" w:rsidRDefault="005B7E46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6C828C12" w14:textId="77777777" w:rsidR="005B7E46" w:rsidRDefault="005B7E46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49B23CF7" w14:textId="77777777" w:rsidR="005B7E46" w:rsidRDefault="005B7E46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17EC9300" w14:textId="77777777" w:rsidR="005B7E46" w:rsidRDefault="005B7E46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11132A3F" w14:textId="5D367D7A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  <w:r w:rsidRPr="00D84B7D">
            <w:rPr>
              <w:rFonts w:ascii="Arial" w:hAnsi="Arial" w:cs="Arial"/>
              <w:b/>
              <w:sz w:val="20"/>
            </w:rPr>
            <w:t>O společnosti Broker Consulting</w:t>
          </w:r>
        </w:p>
        <w:p w14:paraId="27485CC6" w14:textId="77777777" w:rsidR="00D80B6D" w:rsidRPr="005B7E46" w:rsidRDefault="00D80B6D" w:rsidP="00D80B6D">
          <w:pPr>
            <w:jc w:val="both"/>
            <w:rPr>
              <w:rFonts w:asciiTheme="minorHAnsi" w:hAnsiTheme="minorHAnsi" w:cstheme="minorHAnsi"/>
              <w:sz w:val="20"/>
              <w:szCs w:val="20"/>
            </w:rPr>
          </w:pPr>
        </w:p>
        <w:p w14:paraId="08070DCC" w14:textId="1339148C" w:rsidR="00792EE9" w:rsidRPr="005B7E46" w:rsidRDefault="00792EE9" w:rsidP="00792EE9">
          <w:pPr>
            <w:jc w:val="both"/>
            <w:rPr>
              <w:rStyle w:val="dn"/>
              <w:rFonts w:asciiTheme="minorHAnsi" w:hAnsiTheme="minorHAnsi" w:cstheme="minorHAnsi"/>
              <w:sz w:val="20"/>
              <w:szCs w:val="20"/>
            </w:rPr>
          </w:pPr>
          <w:r w:rsidRPr="005B7E46">
            <w:rPr>
              <w:rFonts w:asciiTheme="minorHAnsi" w:hAnsiTheme="minorHAnsi" w:cstheme="minorHAnsi"/>
              <w:sz w:val="20"/>
              <w:szCs w:val="20"/>
            </w:rPr>
            <w:t>Broker Consulting je jednou z největších společností na českém a slovenském trhu, která poskytuje služby v oblasti financí a realit. Od rok</w:t>
          </w:r>
          <w:r w:rsidR="001734B4">
            <w:rPr>
              <w:rFonts w:asciiTheme="minorHAnsi" w:hAnsiTheme="minorHAnsi" w:cstheme="minorHAnsi"/>
              <w:sz w:val="20"/>
              <w:szCs w:val="20"/>
            </w:rPr>
            <w:t>u 1998 získala důvěru více než 7</w:t>
          </w:r>
          <w:r w:rsidRPr="005B7E46">
            <w:rPr>
              <w:rFonts w:asciiTheme="minorHAnsi" w:hAnsiTheme="minorHAnsi" w:cstheme="minorHAnsi"/>
              <w:sz w:val="20"/>
              <w:szCs w:val="20"/>
            </w:rPr>
            <w:t>00 000 klientů. Poskytuje také služby přes 4 000 firmám. Distribuci služeb zajišťuje přibližně 2 000 konzultantů (profesionální konzultanti, zaměstnanci, konzultanti v zapracování v ČR i SR</w:t>
          </w:r>
          <w:r w:rsidR="00B8133C">
            <w:rPr>
              <w:rFonts w:asciiTheme="minorHAnsi" w:hAnsiTheme="minorHAnsi" w:cstheme="minorHAnsi"/>
              <w:sz w:val="20"/>
              <w:szCs w:val="20"/>
            </w:rPr>
            <w:t>) ve více než 150 kancelářích</w:t>
          </w:r>
          <w:r w:rsidR="00CD6257" w:rsidRPr="005B7E46">
            <w:rPr>
              <w:rFonts w:asciiTheme="minorHAnsi" w:hAnsiTheme="minorHAnsi" w:cstheme="minorHAnsi"/>
              <w:sz w:val="20"/>
              <w:szCs w:val="20"/>
            </w:rPr>
            <w:t xml:space="preserve"> </w:t>
          </w:r>
          <w:r w:rsidR="00B8133C">
            <w:rPr>
              <w:rFonts w:asciiTheme="minorHAnsi" w:hAnsiTheme="minorHAnsi" w:cstheme="minorHAnsi"/>
              <w:sz w:val="20"/>
              <w:szCs w:val="20"/>
            </w:rPr>
            <w:t>a na několika desítkách poboček</w:t>
          </w:r>
          <w:r w:rsidR="00B2198E">
            <w:rPr>
              <w:rFonts w:asciiTheme="minorHAnsi" w:hAnsiTheme="minorHAnsi" w:cstheme="minorHAnsi"/>
              <w:sz w:val="20"/>
              <w:szCs w:val="20"/>
            </w:rPr>
            <w:t xml:space="preserve"> Broker Point Premium</w:t>
          </w:r>
          <w:r w:rsidRPr="005B7E46">
            <w:rPr>
              <w:rFonts w:asciiTheme="minorHAnsi" w:hAnsiTheme="minorHAnsi" w:cstheme="minorHAnsi"/>
              <w:sz w:val="20"/>
              <w:szCs w:val="20"/>
            </w:rPr>
            <w:t>. Společnost uvedla na český a slovenský trh řadu inovací. Jednalo se například o investice do otevřených podílových fondů se zamykáním zisků nebo unikátní produkty životního dopojištění, které umožňují pojistit smrt a invaliditu za zlomek obvyklých cen. Bankovní, finanční a realitní</w:t>
          </w:r>
          <w:r w:rsidR="00B2198E">
            <w:rPr>
              <w:rFonts w:asciiTheme="minorHAnsi" w:hAnsiTheme="minorHAnsi" w:cstheme="minorHAnsi"/>
              <w:sz w:val="20"/>
              <w:szCs w:val="20"/>
            </w:rPr>
            <w:t xml:space="preserve"> služby společně, to je Broker Point Premium</w:t>
          </w:r>
          <w:r w:rsidR="004D6BA6">
            <w:rPr>
              <w:rFonts w:asciiTheme="minorHAnsi" w:hAnsiTheme="minorHAnsi" w:cstheme="minorHAnsi"/>
              <w:sz w:val="20"/>
              <w:szCs w:val="20"/>
            </w:rPr>
            <w:t>,</w:t>
          </w:r>
          <w:r w:rsidR="00961519" w:rsidRPr="00961519">
            <w:rPr>
              <w:rFonts w:asciiTheme="minorHAnsi" w:hAnsiTheme="minorHAnsi" w:cstheme="minorHAnsi"/>
              <w:sz w:val="20"/>
              <w:szCs w:val="20"/>
            </w:rPr>
            <w:t xml:space="preserve"> </w:t>
          </w:r>
          <w:r w:rsidR="00961519">
            <w:rPr>
              <w:rFonts w:asciiTheme="minorHAnsi" w:hAnsiTheme="minorHAnsi" w:cstheme="minorHAnsi"/>
              <w:sz w:val="20"/>
              <w:szCs w:val="20"/>
            </w:rPr>
            <w:t xml:space="preserve">jehož přináší společnost Broker Consulting, která za vedení franšízy a její podporu získala ocenění </w:t>
          </w:r>
          <w:r w:rsidR="00961519" w:rsidRPr="00A0680F">
            <w:rPr>
              <w:rFonts w:asciiTheme="minorHAnsi" w:hAnsiTheme="minorHAnsi" w:cstheme="minorHAnsi"/>
              <w:b/>
              <w:color w:val="FF0000"/>
              <w:sz w:val="20"/>
              <w:szCs w:val="20"/>
            </w:rPr>
            <w:t>Franchisor roku 2022</w:t>
          </w:r>
          <w:r w:rsidR="00961519" w:rsidRPr="00A0680F">
            <w:rPr>
              <w:rFonts w:asciiTheme="minorHAnsi" w:hAnsiTheme="minorHAnsi" w:cstheme="minorHAnsi"/>
              <w:color w:val="FF0000"/>
              <w:sz w:val="20"/>
              <w:szCs w:val="20"/>
            </w:rPr>
            <w:t xml:space="preserve"> </w:t>
          </w:r>
          <w:r w:rsidR="00961519">
            <w:rPr>
              <w:rFonts w:asciiTheme="minorHAnsi" w:hAnsiTheme="minorHAnsi" w:cstheme="minorHAnsi"/>
              <w:sz w:val="20"/>
              <w:szCs w:val="20"/>
            </w:rPr>
            <w:t>od České asociace franchisingu</w:t>
          </w:r>
          <w:r w:rsidR="008D373A" w:rsidRPr="005B7E46">
            <w:rPr>
              <w:rFonts w:asciiTheme="minorHAnsi" w:hAnsiTheme="minorHAnsi" w:cstheme="minorHAnsi"/>
              <w:sz w:val="20"/>
              <w:szCs w:val="20"/>
            </w:rPr>
            <w:t xml:space="preserve">. </w:t>
          </w:r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Více na </w:t>
          </w:r>
          <w:hyperlink r:id="rId9" w:history="1">
            <w:r w:rsidR="007B232E"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bcas.cz</w:t>
            </w:r>
          </w:hyperlink>
          <w:r w:rsidRPr="005B7E46">
            <w:rPr>
              <w:rStyle w:val="Hypertextovodkaz"/>
              <w:rFonts w:asciiTheme="minorHAnsi" w:hAnsiTheme="minorHAnsi" w:cstheme="minorHAnsi"/>
              <w:color w:val="auto"/>
              <w:sz w:val="20"/>
              <w:szCs w:val="20"/>
              <w:u w:val="none"/>
            </w:rPr>
            <w:t xml:space="preserve">, </w:t>
          </w:r>
          <w:hyperlink r:id="rId10" w:history="1">
            <w:r w:rsidR="00B2198E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brokerpointy</w:t>
            </w:r>
            <w:r w:rsidR="007B232E"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.cz</w:t>
            </w:r>
          </w:hyperlink>
          <w:r w:rsidR="007B232E" w:rsidRPr="005B7E46">
            <w:rPr>
              <w:rStyle w:val="Hypertextovodkaz"/>
              <w:rFonts w:asciiTheme="minorHAnsi" w:hAnsiTheme="minorHAnsi" w:cstheme="minorHAnsi"/>
              <w:color w:val="auto"/>
              <w:sz w:val="20"/>
              <w:szCs w:val="20"/>
              <w:u w:val="none"/>
            </w:rPr>
            <w:t xml:space="preserve">, </w:t>
          </w:r>
          <w:r w:rsidR="00B2198E">
            <w:rPr>
              <w:rStyle w:val="Hypertextovodkaz"/>
              <w:rFonts w:asciiTheme="minorHAnsi" w:hAnsiTheme="minorHAnsi" w:cstheme="minorHAnsi"/>
              <w:color w:val="auto"/>
              <w:sz w:val="20"/>
              <w:szCs w:val="20"/>
              <w:u w:val="none"/>
            </w:rPr>
            <w:t>brokerpoint</w:t>
          </w:r>
          <w:hyperlink r:id="rId11" w:history="1">
            <w:r w:rsidR="007B232E"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.tv</w:t>
            </w:r>
          </w:hyperlink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a na </w:t>
          </w:r>
          <w:hyperlink r:id="rId12" w:history="1">
            <w:r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realityspolu.cz</w:t>
            </w:r>
          </w:hyperlink>
          <w:r w:rsidR="007B232E" w:rsidRPr="005B7E46">
            <w:rPr>
              <w:rStyle w:val="Hypertextovodkaz"/>
              <w:rFonts w:asciiTheme="minorHAnsi" w:hAnsiTheme="minorHAnsi" w:cstheme="minorHAnsi"/>
              <w:color w:val="auto"/>
              <w:sz w:val="20"/>
              <w:szCs w:val="20"/>
              <w:u w:val="none"/>
            </w:rPr>
            <w:t xml:space="preserve">. </w:t>
          </w:r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Navštivte také náš </w:t>
          </w:r>
          <w:hyperlink r:id="rId13" w:history="1">
            <w:r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Facebook</w:t>
            </w:r>
          </w:hyperlink>
          <w:r w:rsidR="005B7E46"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, </w:t>
          </w:r>
          <w:hyperlink r:id="rId14" w:history="1">
            <w:r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LinkedIN</w:t>
            </w:r>
          </w:hyperlink>
          <w:r w:rsidR="005B7E46"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Broker Consulting, Twitter </w:t>
          </w:r>
          <w:r w:rsidR="005B7E46" w:rsidRPr="005B7E46">
            <w:rPr>
              <w:rFonts w:asciiTheme="minorHAnsi" w:hAnsiTheme="minorHAnsi" w:cstheme="minorHAnsi"/>
              <w:sz w:val="20"/>
              <w:szCs w:val="20"/>
              <w:shd w:val="clear" w:color="auto" w:fill="FFFFFF"/>
            </w:rPr>
            <w:t xml:space="preserve">@BC_oficialni, </w:t>
          </w:r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</w:t>
          </w:r>
          <w:hyperlink r:id="rId15" w:history="1">
            <w:r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Facebook</w:t>
            </w:r>
          </w:hyperlink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a </w:t>
          </w:r>
          <w:hyperlink r:id="rId16" w:history="1">
            <w:r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LinkedI</w:t>
            </w:r>
          </w:hyperlink>
          <w:r w:rsidRPr="005B7E46">
            <w:rPr>
              <w:rStyle w:val="Hypertextovodkaz"/>
              <w:rFonts w:asciiTheme="minorHAnsi" w:hAnsiTheme="minorHAnsi" w:cstheme="minorHAnsi"/>
              <w:color w:val="auto"/>
              <w:sz w:val="20"/>
              <w:szCs w:val="20"/>
            </w:rPr>
            <w:t>N</w:t>
          </w:r>
          <w:r w:rsidR="00B2198E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Broker Point Premium</w:t>
          </w:r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. </w:t>
          </w:r>
        </w:p>
        <w:p w14:paraId="3F0EC976" w14:textId="3496D289" w:rsidR="00D80B6D" w:rsidRPr="006545F8" w:rsidRDefault="00D80B6D" w:rsidP="0068617E">
          <w:pPr>
            <w:pStyle w:val="Zkladntext"/>
            <w:jc w:val="both"/>
            <w:rPr>
              <w:rFonts w:ascii="Arial" w:hAnsi="Arial" w:cs="Arial"/>
              <w:sz w:val="20"/>
              <w:highlight w:val="yellow"/>
            </w:rPr>
            <w:sectPr w:rsidR="00D80B6D" w:rsidRPr="006545F8" w:rsidSect="00D80B6D">
              <w:headerReference w:type="default" r:id="rId17"/>
              <w:footerReference w:type="default" r:id="rId18"/>
              <w:pgSz w:w="11910" w:h="16840"/>
              <w:pgMar w:top="960" w:right="740" w:bottom="0" w:left="720" w:header="708" w:footer="708" w:gutter="0"/>
              <w:cols w:space="708"/>
            </w:sectPr>
          </w:pPr>
        </w:p>
        <w:p w14:paraId="35539C65" w14:textId="0F6CA0E6" w:rsidR="00D31127" w:rsidRPr="006545F8" w:rsidRDefault="00AD3A41" w:rsidP="0025264B">
          <w:pPr>
            <w:rPr>
              <w:rFonts w:ascii="Arial" w:hAnsi="Arial" w:cs="Arial"/>
              <w:sz w:val="20"/>
              <w:szCs w:val="20"/>
              <w:highlight w:val="yellow"/>
            </w:rPr>
            <w:sectPr w:rsidR="00D31127" w:rsidRPr="006545F8" w:rsidSect="00D80B6D">
              <w:headerReference w:type="even" r:id="rId19"/>
              <w:headerReference w:type="default" r:id="rId20"/>
              <w:footerReference w:type="even" r:id="rId21"/>
              <w:footerReference w:type="default" r:id="rId22"/>
              <w:headerReference w:type="first" r:id="rId23"/>
              <w:footerReference w:type="first" r:id="rId24"/>
              <w:pgSz w:w="11910" w:h="16840"/>
              <w:pgMar w:top="1418" w:right="740" w:bottom="420" w:left="720" w:header="340" w:footer="223" w:gutter="0"/>
              <w:pgNumType w:start="0"/>
              <w:cols w:space="708"/>
              <w:titlePg/>
              <w:docGrid w:linePitch="299"/>
            </w:sectPr>
          </w:pPr>
        </w:p>
      </w:sdtContent>
    </w:sdt>
    <w:p w14:paraId="4B733A80" w14:textId="77777777" w:rsidR="0033486B" w:rsidRDefault="0033486B" w:rsidP="0033486B">
      <w:pPr>
        <w:rPr>
          <w:rFonts w:ascii="Arial" w:hAnsi="Arial" w:cs="Arial"/>
          <w:b/>
          <w:sz w:val="24"/>
          <w:szCs w:val="24"/>
        </w:rPr>
      </w:pPr>
    </w:p>
    <w:p w14:paraId="56DD820A" w14:textId="63EFA5FF" w:rsidR="0033486B" w:rsidRPr="0033486B" w:rsidRDefault="0033486B" w:rsidP="0033486B">
      <w:pPr>
        <w:jc w:val="center"/>
        <w:rPr>
          <w:rFonts w:ascii="Arial" w:hAnsi="Arial" w:cs="Arial"/>
          <w:b/>
          <w:sz w:val="32"/>
          <w:szCs w:val="32"/>
        </w:rPr>
      </w:pPr>
      <w:r w:rsidRPr="0033486B">
        <w:rPr>
          <w:rFonts w:ascii="Arial" w:hAnsi="Arial" w:cs="Arial"/>
          <w:b/>
          <w:sz w:val="32"/>
          <w:szCs w:val="32"/>
        </w:rPr>
        <w:t>Průměrné sazby hypoték dál pozvolna klesají, v únoru se zastavily na hodnotě 4,83 procent</w:t>
      </w:r>
      <w:r w:rsidR="008D7922">
        <w:rPr>
          <w:rFonts w:ascii="Arial" w:hAnsi="Arial" w:cs="Arial"/>
          <w:b/>
          <w:sz w:val="32"/>
          <w:szCs w:val="32"/>
        </w:rPr>
        <w:t>a</w:t>
      </w:r>
    </w:p>
    <w:p w14:paraId="4518FBBC" w14:textId="77777777" w:rsidR="005D72FA" w:rsidRDefault="005D72FA" w:rsidP="005D72FA">
      <w:pPr>
        <w:ind w:left="360"/>
        <w:jc w:val="center"/>
        <w:rPr>
          <w:rFonts w:ascii="Arial" w:hAnsi="Arial" w:cs="Arial"/>
          <w:b/>
          <w:sz w:val="32"/>
          <w:szCs w:val="32"/>
          <w:lang w:eastAsia="en-US"/>
        </w:rPr>
      </w:pPr>
    </w:p>
    <w:p w14:paraId="2418F130" w14:textId="1E9815C5" w:rsidR="000E2BE4" w:rsidRPr="00715ECC" w:rsidRDefault="000E2BE4" w:rsidP="005D72FA">
      <w:pPr>
        <w:rPr>
          <w:rFonts w:ascii="Arial" w:hAnsi="Arial" w:cs="Arial"/>
          <w:sz w:val="20"/>
          <w:szCs w:val="20"/>
          <w:lang w:eastAsia="en-US"/>
        </w:rPr>
      </w:pPr>
    </w:p>
    <w:p w14:paraId="39C824B5" w14:textId="51C36A23" w:rsidR="00B06DED" w:rsidRPr="00B944D1" w:rsidRDefault="005D72FA" w:rsidP="006500E5">
      <w:pPr>
        <w:jc w:val="both"/>
        <w:rPr>
          <w:rFonts w:ascii="Arial" w:hAnsi="Arial" w:cs="Arial"/>
          <w:b/>
          <w:sz w:val="20"/>
          <w:szCs w:val="20"/>
        </w:rPr>
      </w:pPr>
      <w:r w:rsidRPr="00B944D1">
        <w:rPr>
          <w:rFonts w:ascii="Arial" w:hAnsi="Arial" w:cs="Arial"/>
          <w:i/>
          <w:sz w:val="20"/>
          <w:szCs w:val="20"/>
          <w:lang w:eastAsia="en-US"/>
        </w:rPr>
        <w:t xml:space="preserve">Praha, </w:t>
      </w:r>
      <w:r w:rsidR="0038491C">
        <w:rPr>
          <w:rFonts w:ascii="Arial" w:hAnsi="Arial" w:cs="Arial"/>
          <w:i/>
          <w:sz w:val="20"/>
          <w:szCs w:val="20"/>
          <w:lang w:eastAsia="en-US"/>
        </w:rPr>
        <w:t>3</w:t>
      </w:r>
      <w:r w:rsidRPr="00B944D1">
        <w:rPr>
          <w:rFonts w:ascii="Arial" w:hAnsi="Arial" w:cs="Arial"/>
          <w:i/>
          <w:sz w:val="20"/>
          <w:szCs w:val="20"/>
          <w:lang w:eastAsia="en-US"/>
        </w:rPr>
        <w:t xml:space="preserve">. </w:t>
      </w:r>
      <w:r w:rsidR="0038491C">
        <w:rPr>
          <w:rFonts w:ascii="Arial" w:hAnsi="Arial" w:cs="Arial"/>
          <w:i/>
          <w:sz w:val="20"/>
          <w:szCs w:val="20"/>
          <w:lang w:eastAsia="en-US"/>
        </w:rPr>
        <w:t>března</w:t>
      </w:r>
      <w:r w:rsidRPr="00B944D1">
        <w:rPr>
          <w:rFonts w:ascii="Arial" w:hAnsi="Arial" w:cs="Arial"/>
          <w:i/>
          <w:sz w:val="20"/>
          <w:szCs w:val="20"/>
          <w:lang w:eastAsia="en-US"/>
        </w:rPr>
        <w:t xml:space="preserve"> 2025</w:t>
      </w:r>
      <w:r w:rsidRPr="00B944D1">
        <w:rPr>
          <w:rFonts w:ascii="Arial" w:hAnsi="Arial" w:cs="Arial"/>
          <w:b/>
          <w:sz w:val="20"/>
          <w:szCs w:val="20"/>
          <w:lang w:eastAsia="en-US"/>
        </w:rPr>
        <w:t xml:space="preserve"> </w:t>
      </w:r>
      <w:r w:rsidRPr="00B944D1">
        <w:rPr>
          <w:rFonts w:ascii="Calibri" w:eastAsia="Times New Roman" w:hAnsi="Calibri" w:cs="Calibri"/>
          <w:sz w:val="21"/>
          <w:szCs w:val="21"/>
        </w:rPr>
        <w:t>–</w:t>
      </w:r>
      <w:r w:rsidRPr="00B944D1">
        <w:rPr>
          <w:rFonts w:ascii="Calibri" w:hAnsi="Calibri" w:cs="Calibri"/>
          <w:sz w:val="21"/>
          <w:szCs w:val="21"/>
        </w:rPr>
        <w:t xml:space="preserve"> </w:t>
      </w:r>
      <w:r w:rsidR="0033486B" w:rsidRPr="00B944D1">
        <w:rPr>
          <w:rFonts w:ascii="Arial" w:hAnsi="Arial" w:cs="Arial"/>
          <w:b/>
          <w:sz w:val="20"/>
          <w:szCs w:val="20"/>
        </w:rPr>
        <w:t>Situace na hypotečním trhu je poměrně stabilní. Průměrné úrokové sazby ani v únoru nevybočily ze zaběhnutého tempa a klesaly velmi pozvolně, o čemž vypovídají data Broker Consulting indexu hypotečních úvěrů. Zatímco na počátku rok</w:t>
      </w:r>
      <w:bookmarkStart w:id="0" w:name="_GoBack"/>
      <w:bookmarkEnd w:id="0"/>
      <w:r w:rsidR="0033486B" w:rsidRPr="00B944D1">
        <w:rPr>
          <w:rFonts w:ascii="Arial" w:hAnsi="Arial" w:cs="Arial"/>
          <w:b/>
          <w:sz w:val="20"/>
          <w:szCs w:val="20"/>
        </w:rPr>
        <w:t xml:space="preserve">u dosahoval index hodnoty 4,92 procenta, v únoru se </w:t>
      </w:r>
      <w:r w:rsidR="00B06DED" w:rsidRPr="00B944D1">
        <w:rPr>
          <w:rFonts w:ascii="Arial" w:hAnsi="Arial" w:cs="Arial"/>
          <w:b/>
          <w:sz w:val="20"/>
          <w:szCs w:val="20"/>
        </w:rPr>
        <w:t xml:space="preserve">zastavil na hodnotě </w:t>
      </w:r>
      <w:r w:rsidR="0033486B" w:rsidRPr="00B944D1">
        <w:rPr>
          <w:rFonts w:ascii="Arial" w:hAnsi="Arial" w:cs="Arial"/>
          <w:b/>
          <w:sz w:val="20"/>
          <w:szCs w:val="20"/>
        </w:rPr>
        <w:t xml:space="preserve">4,83 </w:t>
      </w:r>
      <w:r w:rsidR="00B06DED" w:rsidRPr="00B944D1">
        <w:rPr>
          <w:rFonts w:ascii="Arial" w:hAnsi="Arial" w:cs="Arial"/>
          <w:b/>
          <w:sz w:val="20"/>
          <w:szCs w:val="20"/>
        </w:rPr>
        <w:t xml:space="preserve">procenta, tedy o 0,09 procentního bodu níže. </w:t>
      </w:r>
      <w:r w:rsidR="006500E5" w:rsidRPr="00B944D1">
        <w:rPr>
          <w:rFonts w:ascii="Arial" w:hAnsi="Arial" w:cs="Arial"/>
          <w:b/>
          <w:sz w:val="20"/>
          <w:szCs w:val="20"/>
        </w:rPr>
        <w:t xml:space="preserve">Předstihový ukazatel nezměněn na hodnotě 5,05 procenta. </w:t>
      </w:r>
      <w:r w:rsidR="00B06DED" w:rsidRPr="00B944D1">
        <w:rPr>
          <w:rFonts w:ascii="Arial" w:hAnsi="Arial" w:cs="Arial"/>
          <w:b/>
          <w:sz w:val="20"/>
          <w:szCs w:val="20"/>
        </w:rPr>
        <w:t>Nejblíže letošní únorové hodnotě byly úrokové sazby naposledy v květnu roku 2022, kdy vystoupaly na 4,75 procenta.</w:t>
      </w:r>
    </w:p>
    <w:p w14:paraId="60E7B976" w14:textId="77777777" w:rsidR="00B06DED" w:rsidRPr="00B944D1" w:rsidRDefault="00B06DED" w:rsidP="006500E5">
      <w:pPr>
        <w:jc w:val="both"/>
        <w:rPr>
          <w:rFonts w:ascii="Arial" w:hAnsi="Arial" w:cs="Arial"/>
          <w:b/>
          <w:sz w:val="20"/>
          <w:szCs w:val="20"/>
        </w:rPr>
      </w:pPr>
    </w:p>
    <w:p w14:paraId="0468EA58" w14:textId="546212FC" w:rsidR="00B06DED" w:rsidRPr="00B944D1" w:rsidRDefault="00B06DED" w:rsidP="006500E5">
      <w:pPr>
        <w:jc w:val="both"/>
        <w:rPr>
          <w:rFonts w:ascii="Arial" w:hAnsi="Arial" w:cs="Arial"/>
          <w:sz w:val="20"/>
          <w:szCs w:val="20"/>
        </w:rPr>
      </w:pPr>
      <w:r w:rsidRPr="00B944D1">
        <w:rPr>
          <w:rFonts w:ascii="Arial" w:hAnsi="Arial" w:cs="Arial"/>
          <w:sz w:val="20"/>
          <w:szCs w:val="20"/>
        </w:rPr>
        <w:t xml:space="preserve">Z dat </w:t>
      </w:r>
      <w:r w:rsidR="006500E5" w:rsidRPr="00B944D1">
        <w:rPr>
          <w:rFonts w:ascii="Arial" w:hAnsi="Arial" w:cs="Arial"/>
          <w:sz w:val="20"/>
          <w:szCs w:val="20"/>
        </w:rPr>
        <w:t>Broker Consulting indexu hypotečních úvěrů</w:t>
      </w:r>
      <w:r w:rsidRPr="00B944D1">
        <w:rPr>
          <w:rFonts w:ascii="Arial" w:hAnsi="Arial" w:cs="Arial"/>
          <w:sz w:val="20"/>
          <w:szCs w:val="20"/>
        </w:rPr>
        <w:t xml:space="preserve"> vyplývá, že v únoru loňského roku byly sazby na úrovni 5,53 procenta. Meziroční rozdíl tak činí 0,7 procentního bodu, tedy naprosto stejně, jak tomu bylo při meziročním srovnání lednových hodnot. </w:t>
      </w:r>
    </w:p>
    <w:p w14:paraId="4D0C46D4" w14:textId="77777777" w:rsidR="00B06DED" w:rsidRPr="00B944D1" w:rsidRDefault="00B06DED" w:rsidP="006500E5">
      <w:pPr>
        <w:jc w:val="both"/>
        <w:rPr>
          <w:rFonts w:ascii="Arial" w:hAnsi="Arial" w:cs="Arial"/>
          <w:sz w:val="20"/>
          <w:szCs w:val="20"/>
        </w:rPr>
      </w:pPr>
    </w:p>
    <w:p w14:paraId="70351280" w14:textId="2A0AE220" w:rsidR="00A83C11" w:rsidRPr="00B944D1" w:rsidRDefault="00A83C11" w:rsidP="006500E5">
      <w:pPr>
        <w:jc w:val="both"/>
        <w:rPr>
          <w:rFonts w:ascii="Arial" w:hAnsi="Arial" w:cs="Arial"/>
          <w:sz w:val="20"/>
          <w:szCs w:val="20"/>
        </w:rPr>
      </w:pPr>
      <w:r w:rsidRPr="00B944D1">
        <w:rPr>
          <w:rFonts w:ascii="Arial" w:hAnsi="Arial" w:cs="Arial"/>
          <w:i/>
          <w:sz w:val="20"/>
          <w:szCs w:val="20"/>
        </w:rPr>
        <w:t>„</w:t>
      </w:r>
      <w:r w:rsidR="00B06DED" w:rsidRPr="00B944D1">
        <w:rPr>
          <w:rFonts w:ascii="Arial" w:hAnsi="Arial" w:cs="Arial"/>
          <w:i/>
          <w:sz w:val="20"/>
          <w:szCs w:val="20"/>
        </w:rPr>
        <w:t>Při pohledu na vývoj</w:t>
      </w:r>
      <w:r w:rsidR="00B944D1">
        <w:rPr>
          <w:rFonts w:ascii="Arial" w:hAnsi="Arial" w:cs="Arial"/>
          <w:i/>
          <w:sz w:val="20"/>
          <w:szCs w:val="20"/>
        </w:rPr>
        <w:t xml:space="preserve"> </w:t>
      </w:r>
      <w:r w:rsidR="00B944D1" w:rsidRPr="00B944D1">
        <w:rPr>
          <w:rFonts w:ascii="Arial" w:hAnsi="Arial" w:cs="Arial"/>
          <w:i/>
          <w:sz w:val="20"/>
          <w:szCs w:val="20"/>
        </w:rPr>
        <w:t>úrokových sazeb</w:t>
      </w:r>
      <w:r w:rsidR="00B944D1">
        <w:rPr>
          <w:rFonts w:ascii="Arial" w:hAnsi="Arial" w:cs="Arial"/>
          <w:i/>
          <w:sz w:val="20"/>
          <w:szCs w:val="20"/>
        </w:rPr>
        <w:t xml:space="preserve"> hypoték</w:t>
      </w:r>
      <w:r w:rsidR="00B06DED" w:rsidRPr="00B944D1">
        <w:rPr>
          <w:rFonts w:ascii="Arial" w:hAnsi="Arial" w:cs="Arial"/>
          <w:i/>
          <w:sz w:val="20"/>
          <w:szCs w:val="20"/>
        </w:rPr>
        <w:t xml:space="preserve"> v posledních měsících se tak n</w:t>
      </w:r>
      <w:r w:rsidR="00F437AA" w:rsidRPr="00B944D1">
        <w:rPr>
          <w:rFonts w:ascii="Arial" w:hAnsi="Arial" w:cs="Arial"/>
          <w:i/>
          <w:sz w:val="20"/>
          <w:szCs w:val="20"/>
        </w:rPr>
        <w:t xml:space="preserve">aplňuje náš předpoklad </w:t>
      </w:r>
      <w:r w:rsidR="00B944D1">
        <w:rPr>
          <w:rFonts w:ascii="Arial" w:hAnsi="Arial" w:cs="Arial"/>
          <w:i/>
          <w:sz w:val="20"/>
          <w:szCs w:val="20"/>
        </w:rPr>
        <w:t xml:space="preserve">jejich </w:t>
      </w:r>
      <w:r w:rsidR="00F437AA" w:rsidRPr="00B944D1">
        <w:rPr>
          <w:rFonts w:ascii="Arial" w:hAnsi="Arial" w:cs="Arial"/>
          <w:i/>
          <w:sz w:val="20"/>
          <w:szCs w:val="20"/>
        </w:rPr>
        <w:t xml:space="preserve">mírného snižování. Tento velmi </w:t>
      </w:r>
      <w:r w:rsidRPr="00B944D1">
        <w:rPr>
          <w:rFonts w:ascii="Arial" w:hAnsi="Arial" w:cs="Arial"/>
          <w:i/>
          <w:sz w:val="20"/>
          <w:szCs w:val="20"/>
        </w:rPr>
        <w:t>pozvolný</w:t>
      </w:r>
      <w:r w:rsidR="00F437AA" w:rsidRPr="00B944D1">
        <w:rPr>
          <w:rFonts w:ascii="Arial" w:hAnsi="Arial" w:cs="Arial"/>
          <w:i/>
          <w:sz w:val="20"/>
          <w:szCs w:val="20"/>
        </w:rPr>
        <w:t xml:space="preserve"> pokles či stagnace sazeb bude pravděpodobně trvat i v následujících měsících</w:t>
      </w:r>
      <w:r w:rsidRPr="00B944D1">
        <w:rPr>
          <w:rFonts w:ascii="Arial" w:hAnsi="Arial" w:cs="Arial"/>
          <w:i/>
          <w:sz w:val="20"/>
          <w:szCs w:val="20"/>
        </w:rPr>
        <w:t>,“</w:t>
      </w:r>
      <w:r w:rsidRPr="00B944D1">
        <w:rPr>
          <w:rFonts w:ascii="Arial" w:hAnsi="Arial" w:cs="Arial"/>
          <w:sz w:val="20"/>
          <w:szCs w:val="20"/>
        </w:rPr>
        <w:t xml:space="preserve"> očekává </w:t>
      </w:r>
      <w:r w:rsidRPr="00B944D1">
        <w:rPr>
          <w:rFonts w:ascii="Arial" w:hAnsi="Arial" w:cs="Arial"/>
          <w:b/>
          <w:sz w:val="20"/>
          <w:szCs w:val="20"/>
        </w:rPr>
        <w:t>Michaela Pudilová, analytička hypotečních a spotřebitelských úvěrů společnosti Broker Consulting.</w:t>
      </w:r>
      <w:r w:rsidRPr="00B944D1">
        <w:rPr>
          <w:rFonts w:ascii="Arial" w:hAnsi="Arial" w:cs="Arial"/>
          <w:sz w:val="20"/>
          <w:szCs w:val="20"/>
        </w:rPr>
        <w:t xml:space="preserve"> </w:t>
      </w:r>
    </w:p>
    <w:p w14:paraId="7114F4FB" w14:textId="77777777" w:rsidR="00A83C11" w:rsidRPr="00B944D1" w:rsidRDefault="00A83C11" w:rsidP="006500E5">
      <w:pPr>
        <w:jc w:val="both"/>
        <w:rPr>
          <w:rFonts w:ascii="Arial" w:hAnsi="Arial" w:cs="Arial"/>
          <w:sz w:val="20"/>
          <w:szCs w:val="20"/>
        </w:rPr>
      </w:pPr>
    </w:p>
    <w:p w14:paraId="7C1A3A00" w14:textId="0B409385" w:rsidR="002A1EF2" w:rsidRPr="00B944D1" w:rsidRDefault="00A83C11" w:rsidP="006500E5">
      <w:pPr>
        <w:jc w:val="both"/>
        <w:rPr>
          <w:rFonts w:ascii="Arial" w:hAnsi="Arial" w:cs="Arial"/>
          <w:sz w:val="20"/>
          <w:szCs w:val="20"/>
        </w:rPr>
      </w:pPr>
      <w:r w:rsidRPr="00B944D1">
        <w:rPr>
          <w:rFonts w:ascii="Arial" w:hAnsi="Arial" w:cs="Arial"/>
          <w:sz w:val="20"/>
          <w:szCs w:val="20"/>
        </w:rPr>
        <w:t xml:space="preserve">V únoru </w:t>
      </w:r>
      <w:r w:rsidR="00F437AA" w:rsidRPr="00B944D1">
        <w:rPr>
          <w:rFonts w:ascii="Arial" w:hAnsi="Arial" w:cs="Arial"/>
          <w:sz w:val="20"/>
          <w:szCs w:val="20"/>
        </w:rPr>
        <w:t xml:space="preserve">Česká národní banka snížila dvoutýdenní repo sazbu o čtvrt procentního bodu na 3,75 </w:t>
      </w:r>
      <w:r w:rsidRPr="00B944D1">
        <w:rPr>
          <w:rFonts w:ascii="Arial" w:hAnsi="Arial" w:cs="Arial"/>
          <w:sz w:val="20"/>
          <w:szCs w:val="20"/>
        </w:rPr>
        <w:t>procenta</w:t>
      </w:r>
      <w:r w:rsidR="00B944D1">
        <w:rPr>
          <w:rFonts w:ascii="Arial" w:hAnsi="Arial" w:cs="Arial"/>
          <w:sz w:val="20"/>
          <w:szCs w:val="20"/>
        </w:rPr>
        <w:t xml:space="preserve">. Od </w:t>
      </w:r>
      <w:r w:rsidR="00F437AA" w:rsidRPr="00B944D1">
        <w:rPr>
          <w:rFonts w:ascii="Arial" w:hAnsi="Arial" w:cs="Arial"/>
          <w:sz w:val="20"/>
          <w:szCs w:val="20"/>
        </w:rPr>
        <w:t xml:space="preserve">prosince 2021 se </w:t>
      </w:r>
      <w:r w:rsidR="006500E5" w:rsidRPr="00B944D1">
        <w:rPr>
          <w:rFonts w:ascii="Arial" w:hAnsi="Arial" w:cs="Arial"/>
          <w:sz w:val="20"/>
          <w:szCs w:val="20"/>
        </w:rPr>
        <w:t xml:space="preserve">tato sazba </w:t>
      </w:r>
      <w:r w:rsidR="00F437AA" w:rsidRPr="00B944D1">
        <w:rPr>
          <w:rFonts w:ascii="Arial" w:hAnsi="Arial" w:cs="Arial"/>
          <w:sz w:val="20"/>
          <w:szCs w:val="20"/>
        </w:rPr>
        <w:t>poprvé dos</w:t>
      </w:r>
      <w:r w:rsidR="006500E5" w:rsidRPr="00B944D1">
        <w:rPr>
          <w:rFonts w:ascii="Arial" w:hAnsi="Arial" w:cs="Arial"/>
          <w:sz w:val="20"/>
          <w:szCs w:val="20"/>
        </w:rPr>
        <w:t xml:space="preserve">tala pod čtyřprocentní hranici. </w:t>
      </w:r>
      <w:r w:rsidR="00F437AA" w:rsidRPr="00B944D1">
        <w:rPr>
          <w:rFonts w:ascii="Arial" w:hAnsi="Arial" w:cs="Arial"/>
          <w:sz w:val="20"/>
          <w:szCs w:val="20"/>
        </w:rPr>
        <w:t xml:space="preserve">ČNB tedy i letos navázala na předchozí snižování </w:t>
      </w:r>
      <w:r w:rsidRPr="00B944D1">
        <w:rPr>
          <w:rFonts w:ascii="Arial" w:hAnsi="Arial" w:cs="Arial"/>
          <w:sz w:val="20"/>
          <w:szCs w:val="20"/>
        </w:rPr>
        <w:t>dvoutýdenní repo</w:t>
      </w:r>
      <w:r w:rsidR="00F437AA" w:rsidRPr="00B944D1">
        <w:rPr>
          <w:rFonts w:ascii="Arial" w:hAnsi="Arial" w:cs="Arial"/>
          <w:sz w:val="20"/>
          <w:szCs w:val="20"/>
        </w:rPr>
        <w:t> </w:t>
      </w:r>
      <w:r w:rsidRPr="00B944D1">
        <w:rPr>
          <w:rFonts w:ascii="Arial" w:hAnsi="Arial" w:cs="Arial"/>
          <w:sz w:val="20"/>
          <w:szCs w:val="20"/>
        </w:rPr>
        <w:t>sazby, které jsme sledovali b</w:t>
      </w:r>
      <w:r w:rsidR="00F437AA" w:rsidRPr="00B944D1">
        <w:rPr>
          <w:rFonts w:ascii="Arial" w:hAnsi="Arial" w:cs="Arial"/>
          <w:sz w:val="20"/>
          <w:szCs w:val="20"/>
        </w:rPr>
        <w:t xml:space="preserve">ěhem celého </w:t>
      </w:r>
      <w:r w:rsidRPr="00B944D1">
        <w:rPr>
          <w:rFonts w:ascii="Arial" w:hAnsi="Arial" w:cs="Arial"/>
          <w:sz w:val="20"/>
          <w:szCs w:val="20"/>
        </w:rPr>
        <w:t xml:space="preserve">minulého roku. Loni v únoru tato </w:t>
      </w:r>
      <w:r w:rsidR="00F437AA" w:rsidRPr="00B944D1">
        <w:rPr>
          <w:rFonts w:ascii="Arial" w:hAnsi="Arial" w:cs="Arial"/>
          <w:sz w:val="20"/>
          <w:szCs w:val="20"/>
        </w:rPr>
        <w:t xml:space="preserve">sazba dosahovala 6,25 </w:t>
      </w:r>
      <w:r w:rsidRPr="00B944D1">
        <w:rPr>
          <w:rFonts w:ascii="Arial" w:hAnsi="Arial" w:cs="Arial"/>
          <w:sz w:val="20"/>
          <w:szCs w:val="20"/>
        </w:rPr>
        <w:t>procenta</w:t>
      </w:r>
      <w:r w:rsidR="00F437AA" w:rsidRPr="00B944D1">
        <w:rPr>
          <w:rFonts w:ascii="Arial" w:hAnsi="Arial" w:cs="Arial"/>
          <w:sz w:val="20"/>
          <w:szCs w:val="20"/>
        </w:rPr>
        <w:t>.</w:t>
      </w:r>
      <w:r w:rsidRPr="00B944D1">
        <w:rPr>
          <w:rFonts w:ascii="Arial" w:hAnsi="Arial" w:cs="Arial"/>
          <w:sz w:val="20"/>
          <w:szCs w:val="20"/>
        </w:rPr>
        <w:t xml:space="preserve"> </w:t>
      </w:r>
      <w:r w:rsidRPr="00B944D1">
        <w:rPr>
          <w:rFonts w:ascii="Arial" w:hAnsi="Arial" w:cs="Arial"/>
          <w:i/>
          <w:sz w:val="20"/>
          <w:szCs w:val="20"/>
        </w:rPr>
        <w:t xml:space="preserve">„Z pohledu žadatelů o hypotéku </w:t>
      </w:r>
      <w:r w:rsidR="006500E5" w:rsidRPr="00B944D1">
        <w:rPr>
          <w:rFonts w:ascii="Arial" w:hAnsi="Arial" w:cs="Arial"/>
          <w:i/>
          <w:sz w:val="20"/>
          <w:szCs w:val="20"/>
        </w:rPr>
        <w:t>však snížení repo sazby</w:t>
      </w:r>
      <w:r w:rsidRPr="00B944D1">
        <w:rPr>
          <w:rFonts w:ascii="Arial" w:hAnsi="Arial" w:cs="Arial"/>
          <w:i/>
          <w:sz w:val="20"/>
          <w:szCs w:val="20"/>
        </w:rPr>
        <w:t xml:space="preserve"> </w:t>
      </w:r>
      <w:r w:rsidR="00B944D1" w:rsidRPr="00B944D1">
        <w:rPr>
          <w:rFonts w:ascii="Arial" w:hAnsi="Arial" w:cs="Arial"/>
          <w:i/>
          <w:sz w:val="20"/>
          <w:szCs w:val="20"/>
        </w:rPr>
        <w:t xml:space="preserve">přinese </w:t>
      </w:r>
      <w:r w:rsidRPr="00B944D1">
        <w:rPr>
          <w:rFonts w:ascii="Arial" w:hAnsi="Arial" w:cs="Arial"/>
          <w:i/>
          <w:sz w:val="20"/>
          <w:szCs w:val="20"/>
        </w:rPr>
        <w:t xml:space="preserve">pravděpodobně jen nepatrnou </w:t>
      </w:r>
      <w:r w:rsidR="006500E5" w:rsidRPr="00B944D1">
        <w:rPr>
          <w:rFonts w:ascii="Arial" w:hAnsi="Arial" w:cs="Arial"/>
          <w:i/>
          <w:sz w:val="20"/>
          <w:szCs w:val="20"/>
        </w:rPr>
        <w:t>změnu</w:t>
      </w:r>
      <w:r w:rsidRPr="00B944D1">
        <w:rPr>
          <w:rFonts w:ascii="Arial" w:hAnsi="Arial" w:cs="Arial"/>
          <w:i/>
          <w:sz w:val="20"/>
          <w:szCs w:val="20"/>
        </w:rPr>
        <w:t xml:space="preserve"> v delším horizontu. </w:t>
      </w:r>
      <w:r w:rsidR="002A1EF2" w:rsidRPr="00B944D1">
        <w:rPr>
          <w:rFonts w:ascii="Arial" w:hAnsi="Arial" w:cs="Arial"/>
          <w:i/>
          <w:sz w:val="20"/>
          <w:szCs w:val="20"/>
        </w:rPr>
        <w:t xml:space="preserve">Jediné, co by mohlo způsobit </w:t>
      </w:r>
      <w:r w:rsidRPr="00B944D1">
        <w:rPr>
          <w:rFonts w:ascii="Arial" w:hAnsi="Arial" w:cs="Arial"/>
          <w:i/>
          <w:sz w:val="20"/>
          <w:szCs w:val="20"/>
        </w:rPr>
        <w:t xml:space="preserve">znatelný </w:t>
      </w:r>
      <w:r w:rsidR="002A1EF2" w:rsidRPr="00B944D1">
        <w:rPr>
          <w:rFonts w:ascii="Arial" w:hAnsi="Arial" w:cs="Arial"/>
          <w:i/>
          <w:sz w:val="20"/>
          <w:szCs w:val="20"/>
        </w:rPr>
        <w:t xml:space="preserve">pokles úrokových sazeb u hypoték, je </w:t>
      </w:r>
      <w:r w:rsidR="006500E5" w:rsidRPr="00B944D1">
        <w:rPr>
          <w:rFonts w:ascii="Arial" w:hAnsi="Arial" w:cs="Arial"/>
          <w:i/>
          <w:sz w:val="20"/>
          <w:szCs w:val="20"/>
        </w:rPr>
        <w:t xml:space="preserve">opravdu výrazný </w:t>
      </w:r>
      <w:r w:rsidR="002A1EF2" w:rsidRPr="00B944D1">
        <w:rPr>
          <w:rFonts w:ascii="Arial" w:hAnsi="Arial" w:cs="Arial"/>
          <w:i/>
          <w:sz w:val="20"/>
          <w:szCs w:val="20"/>
        </w:rPr>
        <w:t xml:space="preserve">konkurenční boj mezi bankami, nebo dramatické snížení všech úrokových sazeb. </w:t>
      </w:r>
      <w:r w:rsidR="006500E5" w:rsidRPr="00B944D1">
        <w:rPr>
          <w:rFonts w:ascii="Arial" w:hAnsi="Arial" w:cs="Arial"/>
          <w:i/>
          <w:sz w:val="20"/>
          <w:szCs w:val="20"/>
        </w:rPr>
        <w:t>Ovšem ani jedna z těchto situací se v současnosti neodehrává</w:t>
      </w:r>
      <w:r w:rsidR="00B944D1">
        <w:rPr>
          <w:rFonts w:ascii="Arial" w:hAnsi="Arial" w:cs="Arial"/>
          <w:i/>
          <w:sz w:val="20"/>
          <w:szCs w:val="20"/>
        </w:rPr>
        <w:t xml:space="preserve"> a zatím se k ní neschyluje</w:t>
      </w:r>
      <w:r w:rsidR="006500E5" w:rsidRPr="00B944D1">
        <w:rPr>
          <w:rFonts w:ascii="Arial" w:hAnsi="Arial" w:cs="Arial"/>
          <w:i/>
          <w:sz w:val="20"/>
          <w:szCs w:val="20"/>
        </w:rPr>
        <w:t xml:space="preserve">,“ </w:t>
      </w:r>
      <w:r w:rsidR="006500E5" w:rsidRPr="00B944D1">
        <w:rPr>
          <w:rFonts w:ascii="Arial" w:hAnsi="Arial" w:cs="Arial"/>
          <w:sz w:val="20"/>
          <w:szCs w:val="20"/>
        </w:rPr>
        <w:t xml:space="preserve">shrnuje Michaela Pudilová. </w:t>
      </w:r>
      <w:r w:rsidR="002A1EF2" w:rsidRPr="00B944D1">
        <w:rPr>
          <w:rFonts w:ascii="Arial" w:hAnsi="Arial" w:cs="Arial"/>
          <w:sz w:val="20"/>
          <w:szCs w:val="20"/>
        </w:rPr>
        <w:t xml:space="preserve"> </w:t>
      </w:r>
      <w:r w:rsidR="00B944D1">
        <w:rPr>
          <w:rFonts w:ascii="Arial" w:hAnsi="Arial" w:cs="Arial"/>
          <w:sz w:val="20"/>
          <w:szCs w:val="20"/>
        </w:rPr>
        <w:t xml:space="preserve"> </w:t>
      </w:r>
    </w:p>
    <w:p w14:paraId="7FD8A852" w14:textId="5E5BD8C8" w:rsidR="0010225E" w:rsidRPr="00B944D1" w:rsidRDefault="0010225E" w:rsidP="006500E5">
      <w:pPr>
        <w:jc w:val="both"/>
        <w:rPr>
          <w:rFonts w:ascii="Arial" w:hAnsi="Arial" w:cs="Arial"/>
          <w:sz w:val="20"/>
          <w:szCs w:val="20"/>
        </w:rPr>
      </w:pPr>
    </w:p>
    <w:p w14:paraId="76736D97" w14:textId="53688FB6" w:rsidR="006500E5" w:rsidRPr="00B944D1" w:rsidRDefault="0010225E" w:rsidP="006500E5">
      <w:pPr>
        <w:jc w:val="both"/>
        <w:rPr>
          <w:rFonts w:ascii="Arial" w:hAnsi="Arial" w:cs="Arial"/>
          <w:sz w:val="20"/>
          <w:szCs w:val="20"/>
        </w:rPr>
      </w:pPr>
      <w:r w:rsidRPr="00B944D1"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 wp14:anchorId="6D5E168D" wp14:editId="2F979136">
            <wp:extent cx="6635750" cy="3140710"/>
            <wp:effectExtent l="0" t="0" r="0" b="2540"/>
            <wp:docPr id="7" name="Obrázek 7" descr="C:\Users\tkunova\Documents\2025\TZ\_indexy\hypo index\za únor\GRAF BC Index hypotecnich uveru - unor 20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kunova\Documents\2025\TZ\_indexy\hypo index\za únor\GRAF BC Index hypotecnich uveru - unor 2025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314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B4768" w14:textId="35792F27" w:rsidR="006500E5" w:rsidRPr="00B944D1" w:rsidRDefault="006500E5" w:rsidP="006500E5">
      <w:pPr>
        <w:jc w:val="both"/>
        <w:rPr>
          <w:rFonts w:ascii="Arial" w:hAnsi="Arial" w:cs="Arial"/>
          <w:b/>
          <w:sz w:val="20"/>
          <w:szCs w:val="20"/>
        </w:rPr>
      </w:pPr>
      <w:r w:rsidRPr="00B944D1">
        <w:rPr>
          <w:rFonts w:ascii="Arial" w:hAnsi="Arial" w:cs="Arial"/>
          <w:b/>
          <w:sz w:val="20"/>
          <w:szCs w:val="20"/>
        </w:rPr>
        <w:t>Hypotéka na rekonstrukci</w:t>
      </w:r>
    </w:p>
    <w:p w14:paraId="310085D0" w14:textId="77777777" w:rsidR="002A1EF2" w:rsidRPr="00B944D1" w:rsidRDefault="002A1EF2" w:rsidP="006500E5">
      <w:pPr>
        <w:jc w:val="both"/>
        <w:rPr>
          <w:rFonts w:ascii="Arial" w:hAnsi="Arial" w:cs="Arial"/>
          <w:sz w:val="20"/>
          <w:szCs w:val="20"/>
        </w:rPr>
      </w:pPr>
    </w:p>
    <w:p w14:paraId="64B3B864" w14:textId="781F399D" w:rsidR="00F437AA" w:rsidRPr="00B944D1" w:rsidRDefault="00F437AA" w:rsidP="006500E5">
      <w:pPr>
        <w:jc w:val="both"/>
        <w:rPr>
          <w:rFonts w:ascii="Arial" w:hAnsi="Arial" w:cs="Arial"/>
          <w:i/>
          <w:sz w:val="20"/>
          <w:szCs w:val="20"/>
        </w:rPr>
      </w:pPr>
      <w:r w:rsidRPr="00B944D1">
        <w:rPr>
          <w:rFonts w:ascii="Arial" w:hAnsi="Arial" w:cs="Arial"/>
          <w:sz w:val="20"/>
          <w:szCs w:val="20"/>
        </w:rPr>
        <w:t>Hypot</w:t>
      </w:r>
      <w:r w:rsidR="006500E5" w:rsidRPr="00B944D1">
        <w:rPr>
          <w:rFonts w:ascii="Arial" w:hAnsi="Arial" w:cs="Arial"/>
          <w:sz w:val="20"/>
          <w:szCs w:val="20"/>
        </w:rPr>
        <w:t xml:space="preserve">eční úvěr je možné využít vedle nejčastějšího důvodu, tedy financování nového bydlení, </w:t>
      </w:r>
      <w:r w:rsidRPr="00B944D1">
        <w:rPr>
          <w:rFonts w:ascii="Arial" w:hAnsi="Arial" w:cs="Arial"/>
          <w:sz w:val="20"/>
          <w:szCs w:val="20"/>
        </w:rPr>
        <w:t xml:space="preserve">také na rekonstrukci </w:t>
      </w:r>
      <w:r w:rsidR="005B1FAB" w:rsidRPr="00B944D1">
        <w:rPr>
          <w:rFonts w:ascii="Arial" w:hAnsi="Arial" w:cs="Arial"/>
          <w:sz w:val="20"/>
          <w:szCs w:val="20"/>
        </w:rPr>
        <w:t xml:space="preserve">stávajícího </w:t>
      </w:r>
      <w:r w:rsidRPr="00B944D1">
        <w:rPr>
          <w:rFonts w:ascii="Arial" w:hAnsi="Arial" w:cs="Arial"/>
          <w:sz w:val="20"/>
          <w:szCs w:val="20"/>
        </w:rPr>
        <w:t>bydlení.</w:t>
      </w:r>
      <w:r w:rsidRPr="00B944D1">
        <w:rPr>
          <w:rFonts w:ascii="Arial" w:hAnsi="Arial" w:cs="Arial"/>
          <w:i/>
          <w:sz w:val="20"/>
          <w:szCs w:val="20"/>
        </w:rPr>
        <w:t xml:space="preserve"> </w:t>
      </w:r>
      <w:r w:rsidR="0010225E" w:rsidRPr="00B944D1">
        <w:rPr>
          <w:rFonts w:ascii="Arial" w:hAnsi="Arial" w:cs="Arial"/>
          <w:i/>
          <w:sz w:val="20"/>
          <w:szCs w:val="20"/>
        </w:rPr>
        <w:t>„</w:t>
      </w:r>
      <w:r w:rsidRPr="00B944D1">
        <w:rPr>
          <w:rFonts w:ascii="Arial" w:hAnsi="Arial" w:cs="Arial"/>
          <w:i/>
          <w:sz w:val="20"/>
          <w:szCs w:val="20"/>
        </w:rPr>
        <w:t>Obzvlášť v</w:t>
      </w:r>
      <w:r w:rsidR="006500E5" w:rsidRPr="00B944D1">
        <w:rPr>
          <w:rFonts w:ascii="Arial" w:hAnsi="Arial" w:cs="Arial"/>
          <w:i/>
          <w:sz w:val="20"/>
          <w:szCs w:val="20"/>
        </w:rPr>
        <w:t xml:space="preserve"> covidovém</w:t>
      </w:r>
      <w:r w:rsidRPr="00B944D1">
        <w:rPr>
          <w:rFonts w:ascii="Arial" w:hAnsi="Arial" w:cs="Arial"/>
          <w:i/>
          <w:sz w:val="20"/>
          <w:szCs w:val="20"/>
        </w:rPr>
        <w:t> období</w:t>
      </w:r>
      <w:r w:rsidR="006500E5" w:rsidRPr="00B944D1">
        <w:rPr>
          <w:rFonts w:ascii="Arial" w:hAnsi="Arial" w:cs="Arial"/>
          <w:i/>
          <w:sz w:val="20"/>
          <w:szCs w:val="20"/>
        </w:rPr>
        <w:t xml:space="preserve">, kdy lidé </w:t>
      </w:r>
      <w:r w:rsidR="0010225E" w:rsidRPr="00B944D1">
        <w:rPr>
          <w:rFonts w:ascii="Arial" w:hAnsi="Arial" w:cs="Arial"/>
          <w:i/>
          <w:sz w:val="20"/>
          <w:szCs w:val="20"/>
        </w:rPr>
        <w:t xml:space="preserve">trávili </w:t>
      </w:r>
      <w:r w:rsidR="006500E5" w:rsidRPr="00B944D1">
        <w:rPr>
          <w:rFonts w:ascii="Arial" w:hAnsi="Arial" w:cs="Arial"/>
          <w:i/>
          <w:sz w:val="20"/>
          <w:szCs w:val="20"/>
        </w:rPr>
        <w:t>více čas</w:t>
      </w:r>
      <w:r w:rsidR="0010225E" w:rsidRPr="00B944D1">
        <w:rPr>
          <w:rFonts w:ascii="Arial" w:hAnsi="Arial" w:cs="Arial"/>
          <w:i/>
          <w:sz w:val="20"/>
          <w:szCs w:val="20"/>
        </w:rPr>
        <w:t>u</w:t>
      </w:r>
      <w:r w:rsidR="006500E5" w:rsidRPr="00B944D1">
        <w:rPr>
          <w:rFonts w:ascii="Arial" w:hAnsi="Arial" w:cs="Arial"/>
          <w:i/>
          <w:sz w:val="20"/>
          <w:szCs w:val="20"/>
        </w:rPr>
        <w:t xml:space="preserve"> doma,</w:t>
      </w:r>
      <w:r w:rsidRPr="00B944D1">
        <w:rPr>
          <w:rFonts w:ascii="Arial" w:hAnsi="Arial" w:cs="Arial"/>
          <w:i/>
          <w:sz w:val="20"/>
          <w:szCs w:val="20"/>
        </w:rPr>
        <w:t xml:space="preserve"> byl tento účel úvěru velmi rozšířen</w:t>
      </w:r>
      <w:r w:rsidR="006500E5" w:rsidRPr="00B944D1">
        <w:rPr>
          <w:rFonts w:ascii="Arial" w:hAnsi="Arial" w:cs="Arial"/>
          <w:i/>
          <w:sz w:val="20"/>
          <w:szCs w:val="20"/>
        </w:rPr>
        <w:t>ý</w:t>
      </w:r>
      <w:r w:rsidRPr="00B944D1">
        <w:rPr>
          <w:rFonts w:ascii="Arial" w:hAnsi="Arial" w:cs="Arial"/>
          <w:i/>
          <w:sz w:val="20"/>
          <w:szCs w:val="20"/>
        </w:rPr>
        <w:t>.</w:t>
      </w:r>
    </w:p>
    <w:p w14:paraId="2384CFA3" w14:textId="6639E392" w:rsidR="00F437AA" w:rsidRPr="00B944D1" w:rsidRDefault="00F437AA" w:rsidP="006500E5">
      <w:pPr>
        <w:jc w:val="both"/>
        <w:rPr>
          <w:rFonts w:ascii="Arial" w:hAnsi="Arial" w:cs="Arial"/>
          <w:sz w:val="20"/>
          <w:szCs w:val="20"/>
        </w:rPr>
      </w:pPr>
      <w:r w:rsidRPr="00B944D1">
        <w:rPr>
          <w:rFonts w:ascii="Arial" w:hAnsi="Arial" w:cs="Arial"/>
          <w:i/>
          <w:sz w:val="20"/>
          <w:szCs w:val="20"/>
        </w:rPr>
        <w:t>Může se jednat o rekonstrukci bytu nebo domu například ve</w:t>
      </w:r>
      <w:r w:rsidR="0010225E" w:rsidRPr="00B944D1">
        <w:rPr>
          <w:rFonts w:ascii="Arial" w:hAnsi="Arial" w:cs="Arial"/>
          <w:i/>
          <w:sz w:val="20"/>
          <w:szCs w:val="20"/>
        </w:rPr>
        <w:t xml:space="preserve"> formě nové koupelny či kuchyně anebo změny způsobu vytápění </w:t>
      </w:r>
      <w:r w:rsidRPr="00B944D1">
        <w:rPr>
          <w:rFonts w:ascii="Arial" w:hAnsi="Arial" w:cs="Arial"/>
          <w:i/>
          <w:sz w:val="20"/>
          <w:szCs w:val="20"/>
        </w:rPr>
        <w:t xml:space="preserve">pořízením tepelného čerpadla. </w:t>
      </w:r>
      <w:r w:rsidR="0010225E" w:rsidRPr="00B944D1">
        <w:rPr>
          <w:rFonts w:ascii="Arial" w:hAnsi="Arial" w:cs="Arial"/>
          <w:i/>
          <w:sz w:val="20"/>
          <w:szCs w:val="20"/>
        </w:rPr>
        <w:t xml:space="preserve">Samozřejmostí jsou dnes hypoteční úvěry na </w:t>
      </w:r>
      <w:r w:rsidRPr="00B944D1">
        <w:rPr>
          <w:rFonts w:ascii="Arial" w:hAnsi="Arial" w:cs="Arial"/>
          <w:i/>
          <w:sz w:val="20"/>
          <w:szCs w:val="20"/>
        </w:rPr>
        <w:t>výměny oken, vestavě</w:t>
      </w:r>
      <w:r w:rsidR="0010225E" w:rsidRPr="00B944D1">
        <w:rPr>
          <w:rFonts w:ascii="Arial" w:hAnsi="Arial" w:cs="Arial"/>
          <w:i/>
          <w:sz w:val="20"/>
          <w:szCs w:val="20"/>
        </w:rPr>
        <w:t xml:space="preserve">né skříně, klimatizace nebo krb,“ </w:t>
      </w:r>
      <w:r w:rsidR="0010225E" w:rsidRPr="00B944D1">
        <w:rPr>
          <w:rFonts w:ascii="Arial" w:hAnsi="Arial" w:cs="Arial"/>
          <w:sz w:val="20"/>
          <w:szCs w:val="20"/>
        </w:rPr>
        <w:t xml:space="preserve">vyjmenovává možnosti využití hypotéky na rekonstrukci Michaela Pudilová. </w:t>
      </w:r>
    </w:p>
    <w:p w14:paraId="55DC4EA6" w14:textId="77777777" w:rsidR="0010225E" w:rsidRPr="00B944D1" w:rsidRDefault="0010225E" w:rsidP="006500E5">
      <w:pPr>
        <w:jc w:val="both"/>
        <w:rPr>
          <w:rFonts w:ascii="Arial" w:hAnsi="Arial" w:cs="Arial"/>
          <w:sz w:val="20"/>
          <w:szCs w:val="20"/>
        </w:rPr>
      </w:pPr>
    </w:p>
    <w:p w14:paraId="4F96EFFF" w14:textId="36E6FE13" w:rsidR="0010225E" w:rsidRPr="00B944D1" w:rsidRDefault="00F437AA" w:rsidP="0010225E">
      <w:pPr>
        <w:jc w:val="both"/>
        <w:rPr>
          <w:rFonts w:ascii="Arial" w:hAnsi="Arial" w:cs="Arial"/>
          <w:sz w:val="20"/>
          <w:szCs w:val="20"/>
        </w:rPr>
      </w:pPr>
      <w:r w:rsidRPr="00B944D1">
        <w:rPr>
          <w:rFonts w:ascii="Arial" w:hAnsi="Arial" w:cs="Arial"/>
          <w:sz w:val="20"/>
          <w:szCs w:val="20"/>
        </w:rPr>
        <w:t xml:space="preserve">Do účelu rekonstrukce lze </w:t>
      </w:r>
      <w:r w:rsidR="0010225E" w:rsidRPr="00B944D1">
        <w:rPr>
          <w:rFonts w:ascii="Arial" w:hAnsi="Arial" w:cs="Arial"/>
          <w:sz w:val="20"/>
          <w:szCs w:val="20"/>
        </w:rPr>
        <w:t>také</w:t>
      </w:r>
      <w:r w:rsidRPr="00B944D1">
        <w:rPr>
          <w:rFonts w:ascii="Arial" w:hAnsi="Arial" w:cs="Arial"/>
          <w:sz w:val="20"/>
          <w:szCs w:val="20"/>
        </w:rPr>
        <w:t xml:space="preserve"> </w:t>
      </w:r>
      <w:r w:rsidR="005B1FAB">
        <w:rPr>
          <w:rFonts w:ascii="Arial" w:hAnsi="Arial" w:cs="Arial"/>
          <w:sz w:val="20"/>
          <w:szCs w:val="20"/>
        </w:rPr>
        <w:t xml:space="preserve">zahrnout </w:t>
      </w:r>
      <w:r w:rsidRPr="00B944D1">
        <w:rPr>
          <w:rFonts w:ascii="Arial" w:hAnsi="Arial" w:cs="Arial"/>
          <w:sz w:val="20"/>
          <w:szCs w:val="20"/>
        </w:rPr>
        <w:t>venkovní úpravy kolem domu</w:t>
      </w:r>
      <w:r w:rsidR="0010225E" w:rsidRPr="00B944D1">
        <w:rPr>
          <w:rFonts w:ascii="Arial" w:hAnsi="Arial" w:cs="Arial"/>
          <w:sz w:val="20"/>
          <w:szCs w:val="20"/>
        </w:rPr>
        <w:t xml:space="preserve">, jako jsou chodníky, plot, či </w:t>
      </w:r>
      <w:r w:rsidRPr="00B944D1">
        <w:rPr>
          <w:rFonts w:ascii="Arial" w:hAnsi="Arial" w:cs="Arial"/>
          <w:sz w:val="20"/>
          <w:szCs w:val="20"/>
        </w:rPr>
        <w:t>dokonce zabudovaný bazén.</w:t>
      </w:r>
      <w:r w:rsidR="0010225E" w:rsidRPr="00B944D1">
        <w:rPr>
          <w:rFonts w:ascii="Arial" w:hAnsi="Arial" w:cs="Arial"/>
          <w:sz w:val="20"/>
          <w:szCs w:val="20"/>
        </w:rPr>
        <w:t xml:space="preserve"> </w:t>
      </w:r>
      <w:r w:rsidRPr="00B944D1">
        <w:rPr>
          <w:rFonts w:ascii="Arial" w:hAnsi="Arial" w:cs="Arial"/>
          <w:sz w:val="20"/>
          <w:szCs w:val="20"/>
        </w:rPr>
        <w:t>Další možností je</w:t>
      </w:r>
      <w:r w:rsidR="0010225E" w:rsidRPr="00B944D1">
        <w:rPr>
          <w:rFonts w:ascii="Arial" w:hAnsi="Arial" w:cs="Arial"/>
          <w:sz w:val="20"/>
          <w:szCs w:val="20"/>
        </w:rPr>
        <w:t xml:space="preserve"> podle Pudilové</w:t>
      </w:r>
      <w:r w:rsidRPr="00B944D1">
        <w:rPr>
          <w:rFonts w:ascii="Arial" w:hAnsi="Arial" w:cs="Arial"/>
          <w:sz w:val="20"/>
          <w:szCs w:val="20"/>
        </w:rPr>
        <w:t xml:space="preserve"> i zpětné proplacení rekonst</w:t>
      </w:r>
      <w:r w:rsidR="0010225E" w:rsidRPr="00B944D1">
        <w:rPr>
          <w:rFonts w:ascii="Arial" w:hAnsi="Arial" w:cs="Arial"/>
          <w:sz w:val="20"/>
          <w:szCs w:val="20"/>
        </w:rPr>
        <w:t>rukce, která již byla provedena</w:t>
      </w:r>
      <w:r w:rsidRPr="00B944D1">
        <w:rPr>
          <w:rFonts w:ascii="Arial" w:hAnsi="Arial" w:cs="Arial"/>
          <w:sz w:val="20"/>
          <w:szCs w:val="20"/>
        </w:rPr>
        <w:t xml:space="preserve">, pokud </w:t>
      </w:r>
      <w:r w:rsidR="0010225E" w:rsidRPr="00B944D1">
        <w:rPr>
          <w:rFonts w:ascii="Arial" w:hAnsi="Arial" w:cs="Arial"/>
          <w:sz w:val="20"/>
          <w:szCs w:val="20"/>
        </w:rPr>
        <w:t xml:space="preserve">žadatel </w:t>
      </w:r>
      <w:r w:rsidRPr="00B944D1">
        <w:rPr>
          <w:rFonts w:ascii="Arial" w:hAnsi="Arial" w:cs="Arial"/>
          <w:sz w:val="20"/>
          <w:szCs w:val="20"/>
        </w:rPr>
        <w:t>bance předlož</w:t>
      </w:r>
      <w:r w:rsidR="0010225E" w:rsidRPr="00B944D1">
        <w:rPr>
          <w:rFonts w:ascii="Arial" w:hAnsi="Arial" w:cs="Arial"/>
          <w:sz w:val="20"/>
          <w:szCs w:val="20"/>
        </w:rPr>
        <w:t>í</w:t>
      </w:r>
      <w:r w:rsidRPr="00B944D1">
        <w:rPr>
          <w:rFonts w:ascii="Arial" w:hAnsi="Arial" w:cs="Arial"/>
          <w:sz w:val="20"/>
          <w:szCs w:val="20"/>
        </w:rPr>
        <w:t xml:space="preserve"> veškeré požadované doklady.</w:t>
      </w:r>
      <w:r w:rsidR="005B1FAB">
        <w:rPr>
          <w:rFonts w:ascii="Arial" w:hAnsi="Arial" w:cs="Arial"/>
          <w:sz w:val="20"/>
          <w:szCs w:val="20"/>
        </w:rPr>
        <w:t xml:space="preserve"> </w:t>
      </w:r>
    </w:p>
    <w:p w14:paraId="50404EFD" w14:textId="77777777" w:rsidR="00E26488" w:rsidRPr="00B944D1" w:rsidRDefault="00E26488" w:rsidP="005D72FA">
      <w:pPr>
        <w:pBdr>
          <w:top w:val="single" w:sz="4" w:space="1" w:color="auto"/>
        </w:pBdr>
        <w:spacing w:before="240" w:after="120"/>
        <w:jc w:val="both"/>
        <w:rPr>
          <w:rFonts w:ascii="Arial" w:hAnsi="Arial" w:cs="Arial"/>
          <w:sz w:val="10"/>
          <w:szCs w:val="10"/>
        </w:rPr>
      </w:pPr>
    </w:p>
    <w:p w14:paraId="06153168" w14:textId="1E697F2B" w:rsidR="00236A37" w:rsidRPr="00B944D1" w:rsidRDefault="00C42CA5" w:rsidP="005D72FA">
      <w:pPr>
        <w:pBdr>
          <w:top w:val="single" w:sz="4" w:space="1" w:color="auto"/>
        </w:pBdr>
        <w:spacing w:before="240" w:after="120"/>
        <w:jc w:val="both"/>
        <w:rPr>
          <w:rFonts w:ascii="Arial" w:hAnsi="Arial" w:cs="Arial"/>
          <w:sz w:val="18"/>
          <w:szCs w:val="18"/>
        </w:rPr>
      </w:pPr>
      <w:r w:rsidRPr="00B944D1">
        <w:rPr>
          <w:rFonts w:ascii="Arial" w:hAnsi="Arial" w:cs="Arial"/>
          <w:sz w:val="18"/>
          <w:szCs w:val="18"/>
        </w:rPr>
        <w:t xml:space="preserve">Broker </w:t>
      </w:r>
      <w:r w:rsidR="00C36E55" w:rsidRPr="00B944D1">
        <w:rPr>
          <w:rFonts w:ascii="Arial" w:hAnsi="Arial" w:cs="Arial"/>
          <w:sz w:val="18"/>
          <w:szCs w:val="18"/>
        </w:rPr>
        <w:t>Con</w:t>
      </w:r>
      <w:r w:rsidR="007B0955" w:rsidRPr="00B944D1">
        <w:rPr>
          <w:rFonts w:ascii="Arial" w:hAnsi="Arial" w:cs="Arial"/>
          <w:sz w:val="18"/>
          <w:szCs w:val="18"/>
        </w:rPr>
        <w:t>sultin</w:t>
      </w:r>
      <w:r w:rsidRPr="00B944D1">
        <w:rPr>
          <w:rFonts w:ascii="Arial" w:hAnsi="Arial" w:cs="Arial"/>
          <w:sz w:val="18"/>
          <w:szCs w:val="18"/>
        </w:rPr>
        <w:t>g Index hypotečních úvěrů je analytický nástroj</w:t>
      </w:r>
      <w:r w:rsidR="00113603" w:rsidRPr="00B944D1">
        <w:rPr>
          <w:rFonts w:ascii="Arial" w:hAnsi="Arial" w:cs="Arial"/>
          <w:sz w:val="18"/>
          <w:szCs w:val="18"/>
        </w:rPr>
        <w:t xml:space="preserve"> znázorňující</w:t>
      </w:r>
      <w:r w:rsidRPr="00B944D1">
        <w:rPr>
          <w:rFonts w:ascii="Arial" w:hAnsi="Arial" w:cs="Arial"/>
          <w:sz w:val="18"/>
          <w:szCs w:val="18"/>
        </w:rPr>
        <w:t xml:space="preserve"> průměrnou úrokovou sazbu u hypotečních úvěrů, </w:t>
      </w:r>
      <w:r w:rsidR="00113603" w:rsidRPr="00B944D1">
        <w:rPr>
          <w:rFonts w:ascii="Arial" w:hAnsi="Arial" w:cs="Arial"/>
          <w:sz w:val="18"/>
          <w:szCs w:val="18"/>
        </w:rPr>
        <w:t>které</w:t>
      </w:r>
      <w:r w:rsidRPr="00B944D1">
        <w:rPr>
          <w:rFonts w:ascii="Arial" w:hAnsi="Arial" w:cs="Arial"/>
          <w:sz w:val="18"/>
          <w:szCs w:val="18"/>
        </w:rPr>
        <w:t xml:space="preserve"> zprostředkovali konzultanti Brok</w:t>
      </w:r>
      <w:r w:rsidR="00776A31" w:rsidRPr="00B944D1">
        <w:rPr>
          <w:rFonts w:ascii="Arial" w:hAnsi="Arial" w:cs="Arial"/>
          <w:sz w:val="18"/>
          <w:szCs w:val="18"/>
        </w:rPr>
        <w:t>er Consulting a pobočky Broker Point nebo Broker Point Premium</w:t>
      </w:r>
      <w:r w:rsidRPr="00B944D1">
        <w:rPr>
          <w:rFonts w:ascii="Arial" w:hAnsi="Arial" w:cs="Arial"/>
          <w:sz w:val="18"/>
          <w:szCs w:val="18"/>
        </w:rPr>
        <w:t xml:space="preserve"> u kteréhokoli poskytovatele hypotečních úvěrů. Jedná se o vážený aritmetický průměr, kdy hlavní vahou je objem úvěru. Tedy čím vyšší úvěr, tím jeho sazba </w:t>
      </w:r>
      <w:r w:rsidR="00113603" w:rsidRPr="00B944D1">
        <w:rPr>
          <w:rFonts w:ascii="Arial" w:hAnsi="Arial" w:cs="Arial"/>
          <w:sz w:val="18"/>
          <w:szCs w:val="18"/>
        </w:rPr>
        <w:t xml:space="preserve">vstupuje </w:t>
      </w:r>
      <w:r w:rsidRPr="00B944D1">
        <w:rPr>
          <w:rFonts w:ascii="Arial" w:hAnsi="Arial" w:cs="Arial"/>
          <w:sz w:val="18"/>
          <w:szCs w:val="18"/>
        </w:rPr>
        <w:t xml:space="preserve">do indexu větší vahou. </w:t>
      </w:r>
      <w:r w:rsidRPr="00B944D1">
        <w:rPr>
          <w:rFonts w:ascii="Arial" w:hAnsi="Arial" w:cs="Arial"/>
          <w:b/>
          <w:sz w:val="18"/>
          <w:szCs w:val="18"/>
        </w:rPr>
        <w:t xml:space="preserve">Výhodou metody výpočtu </w:t>
      </w:r>
      <w:r w:rsidR="00C7532A" w:rsidRPr="00B944D1">
        <w:rPr>
          <w:rFonts w:ascii="Arial" w:hAnsi="Arial" w:cs="Arial"/>
          <w:b/>
          <w:sz w:val="18"/>
          <w:szCs w:val="18"/>
        </w:rPr>
        <w:t xml:space="preserve">indexu </w:t>
      </w:r>
      <w:r w:rsidRPr="00B944D1">
        <w:rPr>
          <w:rFonts w:ascii="Arial" w:hAnsi="Arial" w:cs="Arial"/>
          <w:b/>
          <w:sz w:val="18"/>
          <w:szCs w:val="18"/>
        </w:rPr>
        <w:t>je skutečnost, že se do statistiky dostávají pouze skutečně schválené úvěry, a to bez výjimky všechny.</w:t>
      </w:r>
      <w:r w:rsidRPr="00B944D1">
        <w:rPr>
          <w:rFonts w:ascii="Arial" w:hAnsi="Arial" w:cs="Arial"/>
          <w:sz w:val="18"/>
          <w:szCs w:val="18"/>
        </w:rPr>
        <w:t xml:space="preserve"> Nemůže tak dojít ke zkreslení informací a index není závislý na dodávkách třetích stran. </w:t>
      </w:r>
    </w:p>
    <w:p w14:paraId="70EFA666" w14:textId="4A6CAE48" w:rsidR="002E6DB6" w:rsidRPr="00B944D1" w:rsidRDefault="00C42CA5" w:rsidP="005D72FA">
      <w:pPr>
        <w:spacing w:after="120"/>
        <w:jc w:val="both"/>
        <w:rPr>
          <w:rFonts w:ascii="Arial" w:hAnsi="Arial" w:cs="Arial"/>
          <w:sz w:val="18"/>
          <w:szCs w:val="18"/>
        </w:rPr>
      </w:pPr>
      <w:r w:rsidRPr="00B944D1">
        <w:rPr>
          <w:rFonts w:ascii="Arial" w:hAnsi="Arial" w:cs="Arial"/>
          <w:sz w:val="18"/>
          <w:szCs w:val="18"/>
        </w:rPr>
        <w:t>V principu se Broker Consulting Index hypotečních úvěrů počítá ze sazeb, které jsou v danou chvíli pro daného klienta nejnižší na trhu</w:t>
      </w:r>
      <w:r w:rsidR="00FA2D1E" w:rsidRPr="00B944D1">
        <w:rPr>
          <w:rFonts w:ascii="Arial" w:hAnsi="Arial" w:cs="Arial"/>
          <w:sz w:val="18"/>
          <w:szCs w:val="18"/>
        </w:rPr>
        <w:t>,</w:t>
      </w:r>
      <w:r w:rsidRPr="00B944D1">
        <w:rPr>
          <w:rFonts w:ascii="Arial" w:hAnsi="Arial" w:cs="Arial"/>
          <w:sz w:val="18"/>
          <w:szCs w:val="18"/>
        </w:rPr>
        <w:t xml:space="preserve"> </w:t>
      </w:r>
      <w:r w:rsidR="00FA2D1E" w:rsidRPr="00B944D1">
        <w:rPr>
          <w:rFonts w:ascii="Arial" w:hAnsi="Arial" w:cs="Arial"/>
          <w:sz w:val="18"/>
          <w:szCs w:val="18"/>
        </w:rPr>
        <w:t>a</w:t>
      </w:r>
      <w:r w:rsidRPr="00B944D1">
        <w:rPr>
          <w:rFonts w:ascii="Arial" w:hAnsi="Arial" w:cs="Arial"/>
          <w:sz w:val="18"/>
          <w:szCs w:val="18"/>
        </w:rPr>
        <w:t xml:space="preserve">nebo se nejnižší hranici přibližují, neboť klient si vybírá z mnoha možností, které mu trh v danou chvíli nabízí. A většinou si vybírá právě nejnižší sazbu úvěru, který i v jiných parametrech splňuje jejich podmínky. Broker Consulting ročně zprostředkuje úvěry v objemu přesahujícím 13 miliard korun. </w:t>
      </w:r>
    </w:p>
    <w:p w14:paraId="0584C559" w14:textId="4D0B2D71" w:rsidR="00C21F84" w:rsidRPr="00B944D1" w:rsidRDefault="002E6DB6" w:rsidP="005D72FA">
      <w:pPr>
        <w:pBdr>
          <w:bottom w:val="single" w:sz="4" w:space="1" w:color="auto"/>
        </w:pBdr>
        <w:spacing w:after="120"/>
        <w:jc w:val="both"/>
        <w:rPr>
          <w:rFonts w:ascii="Arial" w:hAnsi="Arial" w:cs="Arial"/>
          <w:sz w:val="18"/>
          <w:szCs w:val="18"/>
        </w:rPr>
      </w:pPr>
      <w:r w:rsidRPr="00B944D1">
        <w:rPr>
          <w:rFonts w:ascii="Arial" w:hAnsi="Arial" w:cs="Arial"/>
          <w:sz w:val="18"/>
          <w:szCs w:val="18"/>
        </w:rPr>
        <w:t>Předstihový ukazatel Broker Consulting Indexu hypotečních úvěrů a jeho výpočet rea</w:t>
      </w:r>
      <w:r w:rsidR="008C75D3" w:rsidRPr="00B944D1">
        <w:rPr>
          <w:rFonts w:ascii="Arial" w:hAnsi="Arial" w:cs="Arial"/>
          <w:sz w:val="18"/>
          <w:szCs w:val="18"/>
        </w:rPr>
        <w:t>guje na potřebu aktuálního výhledu výše sazeb, ve kterém se budou v daném měsíci poskytovat hypoteční úvěry zprostředkovávané od většiny bankovních institucí v tuzemsku. Ve výpočtu jde o aritmetick</w:t>
      </w:r>
      <w:r w:rsidR="00057F54" w:rsidRPr="00B944D1">
        <w:rPr>
          <w:rFonts w:ascii="Arial" w:hAnsi="Arial" w:cs="Arial"/>
          <w:sz w:val="18"/>
          <w:szCs w:val="18"/>
        </w:rPr>
        <w:t>ý průměr nabízených úrokových sazeb</w:t>
      </w:r>
      <w:r w:rsidR="00807AD4" w:rsidRPr="00B944D1">
        <w:rPr>
          <w:rFonts w:ascii="Arial" w:hAnsi="Arial" w:cs="Arial"/>
          <w:sz w:val="18"/>
          <w:szCs w:val="18"/>
        </w:rPr>
        <w:t xml:space="preserve"> v konkrétním </w:t>
      </w:r>
      <w:r w:rsidR="008C75D3" w:rsidRPr="00B944D1">
        <w:rPr>
          <w:rFonts w:ascii="Arial" w:hAnsi="Arial" w:cs="Arial"/>
          <w:sz w:val="18"/>
          <w:szCs w:val="18"/>
        </w:rPr>
        <w:t>měsíci, ve kterém se zveřejňují hodnoty Broker Consulting Indexu hypotečních úvěrů.</w:t>
      </w:r>
      <w:r w:rsidR="00CC3D3D" w:rsidRPr="00B944D1">
        <w:rPr>
          <w:rFonts w:ascii="Arial" w:hAnsi="Arial" w:cs="Arial"/>
          <w:sz w:val="18"/>
          <w:szCs w:val="18"/>
        </w:rPr>
        <w:t xml:space="preserve"> Vzhledem ke statisti</w:t>
      </w:r>
      <w:r w:rsidR="004919CC" w:rsidRPr="00B944D1">
        <w:rPr>
          <w:rFonts w:ascii="Arial" w:hAnsi="Arial" w:cs="Arial"/>
          <w:sz w:val="18"/>
          <w:szCs w:val="18"/>
        </w:rPr>
        <w:t>ce preferovaných fixací byla při výpoč</w:t>
      </w:r>
      <w:r w:rsidR="00CC3D3D" w:rsidRPr="00B944D1">
        <w:rPr>
          <w:rFonts w:ascii="Arial" w:hAnsi="Arial" w:cs="Arial"/>
          <w:sz w:val="18"/>
          <w:szCs w:val="18"/>
        </w:rPr>
        <w:t>t</w:t>
      </w:r>
      <w:r w:rsidR="004919CC" w:rsidRPr="00B944D1">
        <w:rPr>
          <w:rFonts w:ascii="Arial" w:hAnsi="Arial" w:cs="Arial"/>
          <w:sz w:val="18"/>
          <w:szCs w:val="18"/>
        </w:rPr>
        <w:t>u zohledněna</w:t>
      </w:r>
      <w:r w:rsidR="00CC3D3D" w:rsidRPr="00B944D1">
        <w:rPr>
          <w:rFonts w:ascii="Arial" w:hAnsi="Arial" w:cs="Arial"/>
          <w:sz w:val="18"/>
          <w:szCs w:val="18"/>
        </w:rPr>
        <w:t xml:space="preserve"> pětiletá fixace úrokových sazeb.</w:t>
      </w:r>
    </w:p>
    <w:p w14:paraId="40DB2650" w14:textId="77777777" w:rsidR="0010225E" w:rsidRPr="005D72FA" w:rsidRDefault="0010225E" w:rsidP="005D72FA">
      <w:pPr>
        <w:pBdr>
          <w:bottom w:val="single" w:sz="4" w:space="1" w:color="auto"/>
        </w:pBdr>
        <w:spacing w:after="120"/>
        <w:jc w:val="both"/>
        <w:rPr>
          <w:rFonts w:ascii="Arial" w:hAnsi="Arial" w:cs="Arial"/>
          <w:sz w:val="18"/>
          <w:szCs w:val="18"/>
        </w:rPr>
      </w:pPr>
    </w:p>
    <w:p w14:paraId="52D376EC" w14:textId="77777777" w:rsidR="005D72FA" w:rsidRPr="005D72FA" w:rsidRDefault="005D72FA" w:rsidP="005D72FA">
      <w:pPr>
        <w:spacing w:after="120"/>
        <w:jc w:val="both"/>
        <w:rPr>
          <w:rFonts w:ascii="Arial" w:hAnsi="Arial" w:cs="Arial"/>
          <w:b/>
          <w:sz w:val="10"/>
          <w:szCs w:val="10"/>
        </w:rPr>
      </w:pPr>
    </w:p>
    <w:p w14:paraId="1920572F" w14:textId="0AA764D2" w:rsidR="005D72FA" w:rsidRPr="005D72FA" w:rsidRDefault="005D72FA" w:rsidP="005D72FA">
      <w:pPr>
        <w:spacing w:after="120"/>
        <w:jc w:val="both"/>
        <w:rPr>
          <w:rFonts w:ascii="Arial" w:hAnsi="Arial" w:cs="Arial"/>
          <w:color w:val="1D1D1B"/>
          <w:w w:val="105"/>
          <w:sz w:val="18"/>
          <w:szCs w:val="18"/>
        </w:rPr>
      </w:pPr>
      <w:r w:rsidRPr="005D72FA">
        <w:rPr>
          <w:rFonts w:ascii="Arial" w:hAnsi="Arial" w:cs="Arial"/>
          <w:b/>
          <w:sz w:val="18"/>
          <w:szCs w:val="18"/>
        </w:rPr>
        <w:t>Poznámka pro média:</w:t>
      </w:r>
      <w:r w:rsidRPr="005D72FA">
        <w:rPr>
          <w:rFonts w:ascii="Arial" w:hAnsi="Arial" w:cs="Arial"/>
          <w:sz w:val="18"/>
          <w:szCs w:val="18"/>
        </w:rPr>
        <w:t xml:space="preserve"> </w:t>
      </w:r>
      <w:r w:rsidRPr="005D72FA">
        <w:rPr>
          <w:rFonts w:ascii="Arial" w:hAnsi="Arial" w:cs="Arial"/>
          <w:color w:val="1D1D1B"/>
          <w:w w:val="105"/>
          <w:sz w:val="18"/>
          <w:szCs w:val="18"/>
        </w:rPr>
        <w:t>Broker</w:t>
      </w:r>
      <w:r w:rsidRPr="005D72FA">
        <w:rPr>
          <w:rFonts w:ascii="Arial" w:hAnsi="Arial" w:cs="Arial"/>
          <w:color w:val="1D1D1B"/>
          <w:spacing w:val="-9"/>
          <w:w w:val="105"/>
          <w:sz w:val="18"/>
          <w:szCs w:val="18"/>
        </w:rPr>
        <w:t xml:space="preserve"> </w:t>
      </w:r>
      <w:r w:rsidRPr="005D72FA">
        <w:rPr>
          <w:rFonts w:ascii="Arial" w:hAnsi="Arial" w:cs="Arial"/>
          <w:color w:val="1D1D1B"/>
          <w:w w:val="105"/>
          <w:sz w:val="18"/>
          <w:szCs w:val="18"/>
        </w:rPr>
        <w:t>Consulting</w:t>
      </w:r>
      <w:r w:rsidRPr="005D72FA">
        <w:rPr>
          <w:rFonts w:ascii="Arial" w:hAnsi="Arial" w:cs="Arial"/>
          <w:color w:val="1D1D1B"/>
          <w:spacing w:val="-8"/>
          <w:w w:val="105"/>
          <w:sz w:val="18"/>
          <w:szCs w:val="18"/>
        </w:rPr>
        <w:t xml:space="preserve"> </w:t>
      </w:r>
      <w:r w:rsidRPr="005D72FA">
        <w:rPr>
          <w:rFonts w:ascii="Arial" w:hAnsi="Arial" w:cs="Arial"/>
          <w:color w:val="1D1D1B"/>
          <w:w w:val="105"/>
          <w:sz w:val="18"/>
          <w:szCs w:val="18"/>
        </w:rPr>
        <w:t>Indexy</w:t>
      </w:r>
      <w:r w:rsidRPr="005D72FA">
        <w:rPr>
          <w:rFonts w:ascii="Arial" w:hAnsi="Arial" w:cs="Arial"/>
          <w:color w:val="1D1D1B"/>
          <w:spacing w:val="-9"/>
          <w:w w:val="105"/>
          <w:sz w:val="18"/>
          <w:szCs w:val="18"/>
        </w:rPr>
        <w:t xml:space="preserve"> </w:t>
      </w:r>
      <w:r w:rsidRPr="005D72FA">
        <w:rPr>
          <w:rFonts w:ascii="Arial" w:hAnsi="Arial" w:cs="Arial"/>
          <w:color w:val="1D1D1B"/>
          <w:w w:val="105"/>
          <w:sz w:val="18"/>
          <w:szCs w:val="18"/>
        </w:rPr>
        <w:t>je</w:t>
      </w:r>
      <w:r w:rsidRPr="005D72FA">
        <w:rPr>
          <w:rFonts w:ascii="Arial" w:hAnsi="Arial" w:cs="Arial"/>
          <w:color w:val="1D1D1B"/>
          <w:spacing w:val="-8"/>
          <w:w w:val="105"/>
          <w:sz w:val="18"/>
          <w:szCs w:val="18"/>
        </w:rPr>
        <w:t xml:space="preserve"> </w:t>
      </w:r>
      <w:r w:rsidRPr="005D72FA">
        <w:rPr>
          <w:rFonts w:ascii="Arial" w:hAnsi="Arial" w:cs="Arial"/>
          <w:color w:val="1D1D1B"/>
          <w:w w:val="105"/>
          <w:sz w:val="18"/>
          <w:szCs w:val="18"/>
        </w:rPr>
        <w:t>možné</w:t>
      </w:r>
      <w:r w:rsidRPr="005D72FA">
        <w:rPr>
          <w:rFonts w:ascii="Arial" w:hAnsi="Arial" w:cs="Arial"/>
          <w:color w:val="1D1D1B"/>
          <w:spacing w:val="-9"/>
          <w:w w:val="105"/>
          <w:sz w:val="18"/>
          <w:szCs w:val="18"/>
        </w:rPr>
        <w:t xml:space="preserve"> </w:t>
      </w:r>
      <w:r w:rsidRPr="005D72FA">
        <w:rPr>
          <w:rFonts w:ascii="Arial" w:hAnsi="Arial" w:cs="Arial"/>
          <w:color w:val="1D1D1B"/>
          <w:w w:val="105"/>
          <w:sz w:val="18"/>
          <w:szCs w:val="18"/>
        </w:rPr>
        <w:t>volně</w:t>
      </w:r>
      <w:r w:rsidRPr="005D72FA">
        <w:rPr>
          <w:rFonts w:ascii="Arial" w:hAnsi="Arial" w:cs="Arial"/>
          <w:color w:val="1D1D1B"/>
          <w:spacing w:val="-8"/>
          <w:w w:val="105"/>
          <w:sz w:val="18"/>
          <w:szCs w:val="18"/>
        </w:rPr>
        <w:t xml:space="preserve"> </w:t>
      </w:r>
      <w:r w:rsidRPr="005D72FA">
        <w:rPr>
          <w:rFonts w:ascii="Arial" w:hAnsi="Arial" w:cs="Arial"/>
          <w:color w:val="1D1D1B"/>
          <w:spacing w:val="2"/>
          <w:w w:val="105"/>
          <w:sz w:val="18"/>
          <w:szCs w:val="18"/>
        </w:rPr>
        <w:t>publikovat</w:t>
      </w:r>
      <w:r w:rsidRPr="005D72FA">
        <w:rPr>
          <w:rFonts w:ascii="Arial" w:hAnsi="Arial" w:cs="Arial"/>
          <w:color w:val="1D1D1B"/>
          <w:spacing w:val="-9"/>
          <w:w w:val="105"/>
          <w:sz w:val="18"/>
          <w:szCs w:val="18"/>
        </w:rPr>
        <w:t xml:space="preserve"> </w:t>
      </w:r>
      <w:r w:rsidRPr="005D72FA">
        <w:rPr>
          <w:rFonts w:ascii="Arial" w:hAnsi="Arial" w:cs="Arial"/>
          <w:color w:val="1D1D1B"/>
          <w:w w:val="105"/>
          <w:sz w:val="18"/>
          <w:szCs w:val="18"/>
        </w:rPr>
        <w:t>pouze</w:t>
      </w:r>
      <w:r w:rsidRPr="005D72FA">
        <w:rPr>
          <w:rFonts w:ascii="Arial" w:hAnsi="Arial" w:cs="Arial"/>
          <w:color w:val="1D1D1B"/>
          <w:spacing w:val="-8"/>
          <w:w w:val="105"/>
          <w:sz w:val="18"/>
          <w:szCs w:val="18"/>
        </w:rPr>
        <w:t xml:space="preserve"> </w:t>
      </w:r>
      <w:r w:rsidRPr="005D72FA">
        <w:rPr>
          <w:rFonts w:ascii="Arial" w:hAnsi="Arial" w:cs="Arial"/>
          <w:color w:val="1D1D1B"/>
          <w:w w:val="105"/>
          <w:sz w:val="18"/>
          <w:szCs w:val="18"/>
        </w:rPr>
        <w:t>s</w:t>
      </w:r>
      <w:r w:rsidRPr="005D72FA">
        <w:rPr>
          <w:rFonts w:ascii="Arial" w:hAnsi="Arial" w:cs="Arial"/>
          <w:color w:val="1D1D1B"/>
          <w:spacing w:val="-9"/>
          <w:w w:val="105"/>
          <w:sz w:val="18"/>
          <w:szCs w:val="18"/>
        </w:rPr>
        <w:t xml:space="preserve"> </w:t>
      </w:r>
      <w:r w:rsidRPr="005D72FA">
        <w:rPr>
          <w:rFonts w:ascii="Arial" w:hAnsi="Arial" w:cs="Arial"/>
          <w:color w:val="1D1D1B"/>
          <w:w w:val="105"/>
          <w:sz w:val="18"/>
          <w:szCs w:val="18"/>
        </w:rPr>
        <w:t>označením</w:t>
      </w:r>
      <w:r w:rsidRPr="005D72FA">
        <w:rPr>
          <w:rFonts w:ascii="Arial" w:hAnsi="Arial" w:cs="Arial"/>
          <w:color w:val="1D1D1B"/>
          <w:spacing w:val="-8"/>
          <w:w w:val="105"/>
          <w:sz w:val="18"/>
          <w:szCs w:val="18"/>
        </w:rPr>
        <w:t xml:space="preserve"> </w:t>
      </w:r>
      <w:r w:rsidRPr="005D72FA">
        <w:rPr>
          <w:rFonts w:ascii="Arial" w:hAnsi="Arial" w:cs="Arial"/>
          <w:color w:val="1D1D1B"/>
          <w:w w:val="105"/>
          <w:sz w:val="18"/>
          <w:szCs w:val="18"/>
        </w:rPr>
        <w:t>„Broker</w:t>
      </w:r>
      <w:r w:rsidRPr="005D72FA">
        <w:rPr>
          <w:rFonts w:ascii="Arial" w:hAnsi="Arial" w:cs="Arial"/>
          <w:color w:val="1D1D1B"/>
          <w:spacing w:val="-9"/>
          <w:w w:val="105"/>
          <w:sz w:val="18"/>
          <w:szCs w:val="18"/>
        </w:rPr>
        <w:t xml:space="preserve"> </w:t>
      </w:r>
      <w:r w:rsidRPr="005D72FA">
        <w:rPr>
          <w:rFonts w:ascii="Arial" w:hAnsi="Arial" w:cs="Arial"/>
          <w:color w:val="1D1D1B"/>
          <w:w w:val="105"/>
          <w:sz w:val="18"/>
          <w:szCs w:val="18"/>
        </w:rPr>
        <w:t>Consulting</w:t>
      </w:r>
      <w:r w:rsidRPr="005D72FA">
        <w:rPr>
          <w:rFonts w:ascii="Arial" w:hAnsi="Arial" w:cs="Arial"/>
          <w:color w:val="1D1D1B"/>
          <w:spacing w:val="-8"/>
          <w:w w:val="105"/>
          <w:sz w:val="18"/>
          <w:szCs w:val="18"/>
        </w:rPr>
        <w:t xml:space="preserve"> </w:t>
      </w:r>
      <w:r w:rsidRPr="005D72FA">
        <w:rPr>
          <w:rFonts w:ascii="Arial" w:hAnsi="Arial" w:cs="Arial"/>
          <w:color w:val="1D1D1B"/>
          <w:w w:val="105"/>
          <w:sz w:val="18"/>
          <w:szCs w:val="18"/>
        </w:rPr>
        <w:t>Index“</w:t>
      </w:r>
      <w:r w:rsidRPr="005D72FA">
        <w:rPr>
          <w:rFonts w:ascii="Arial" w:hAnsi="Arial" w:cs="Arial"/>
          <w:color w:val="1D1D1B"/>
          <w:spacing w:val="-9"/>
          <w:w w:val="105"/>
          <w:sz w:val="18"/>
          <w:szCs w:val="18"/>
        </w:rPr>
        <w:t xml:space="preserve"> </w:t>
      </w:r>
      <w:r w:rsidRPr="005D72FA">
        <w:rPr>
          <w:rFonts w:ascii="Arial" w:hAnsi="Arial" w:cs="Arial"/>
          <w:color w:val="1D1D1B"/>
          <w:spacing w:val="-3"/>
          <w:w w:val="105"/>
          <w:sz w:val="18"/>
          <w:szCs w:val="18"/>
        </w:rPr>
        <w:t>(</w:t>
      </w:r>
      <w:r w:rsidRPr="005D72FA">
        <w:rPr>
          <w:rFonts w:ascii="Arial" w:hAnsi="Arial" w:cs="Arial"/>
          <w:i/>
          <w:color w:val="1D1D1B"/>
          <w:spacing w:val="-3"/>
          <w:w w:val="105"/>
          <w:sz w:val="18"/>
          <w:szCs w:val="18"/>
        </w:rPr>
        <w:t>např.</w:t>
      </w:r>
      <w:r w:rsidRPr="005D72FA">
        <w:rPr>
          <w:rFonts w:ascii="Arial" w:hAnsi="Arial" w:cs="Arial"/>
          <w:i/>
          <w:color w:val="1D1D1B"/>
          <w:spacing w:val="-8"/>
          <w:w w:val="105"/>
          <w:sz w:val="18"/>
          <w:szCs w:val="18"/>
        </w:rPr>
        <w:t xml:space="preserve"> </w:t>
      </w:r>
      <w:r w:rsidRPr="005D72FA">
        <w:rPr>
          <w:rFonts w:ascii="Arial" w:hAnsi="Arial" w:cs="Arial"/>
          <w:i/>
          <w:color w:val="1D1D1B"/>
          <w:w w:val="105"/>
          <w:sz w:val="18"/>
          <w:szCs w:val="18"/>
        </w:rPr>
        <w:t>Broker</w:t>
      </w:r>
      <w:r w:rsidRPr="005D72FA">
        <w:rPr>
          <w:rFonts w:ascii="Arial" w:hAnsi="Arial" w:cs="Arial"/>
          <w:i/>
          <w:color w:val="1D1D1B"/>
          <w:spacing w:val="-9"/>
          <w:w w:val="105"/>
          <w:sz w:val="18"/>
          <w:szCs w:val="18"/>
        </w:rPr>
        <w:t xml:space="preserve"> </w:t>
      </w:r>
      <w:r w:rsidRPr="005D72FA">
        <w:rPr>
          <w:rFonts w:ascii="Arial" w:hAnsi="Arial" w:cs="Arial"/>
          <w:i/>
          <w:color w:val="1D1D1B"/>
          <w:w w:val="105"/>
          <w:sz w:val="18"/>
          <w:szCs w:val="18"/>
        </w:rPr>
        <w:t>Consulting</w:t>
      </w:r>
      <w:r w:rsidRPr="005D72FA">
        <w:rPr>
          <w:rFonts w:ascii="Arial" w:hAnsi="Arial" w:cs="Arial"/>
          <w:i/>
          <w:color w:val="1D1D1B"/>
          <w:spacing w:val="-8"/>
          <w:w w:val="105"/>
          <w:sz w:val="18"/>
          <w:szCs w:val="18"/>
        </w:rPr>
        <w:t xml:space="preserve"> Index </w:t>
      </w:r>
      <w:r w:rsidRPr="005D72FA">
        <w:rPr>
          <w:rFonts w:ascii="Arial" w:hAnsi="Arial" w:cs="Arial"/>
          <w:i/>
          <w:color w:val="1D1D1B"/>
          <w:w w:val="105"/>
          <w:sz w:val="18"/>
          <w:szCs w:val="18"/>
        </w:rPr>
        <w:t>hypoteční</w:t>
      </w:r>
      <w:r w:rsidRPr="005D72FA">
        <w:rPr>
          <w:rFonts w:ascii="Arial" w:hAnsi="Arial" w:cs="Arial"/>
          <w:i/>
          <w:color w:val="1D1D1B"/>
          <w:spacing w:val="-9"/>
          <w:w w:val="105"/>
          <w:sz w:val="18"/>
          <w:szCs w:val="18"/>
        </w:rPr>
        <w:t>ch úvěrů</w:t>
      </w:r>
      <w:r w:rsidRPr="005D72FA">
        <w:rPr>
          <w:rFonts w:ascii="Arial" w:hAnsi="Arial" w:cs="Arial"/>
          <w:i/>
          <w:color w:val="1D1D1B"/>
          <w:w w:val="105"/>
          <w:sz w:val="18"/>
          <w:szCs w:val="18"/>
        </w:rPr>
        <w:t xml:space="preserve">). </w:t>
      </w:r>
      <w:r w:rsidRPr="005D72FA">
        <w:rPr>
          <w:rFonts w:ascii="Arial" w:hAnsi="Arial" w:cs="Arial"/>
          <w:color w:val="1D1D1B"/>
          <w:w w:val="105"/>
          <w:sz w:val="18"/>
          <w:szCs w:val="18"/>
        </w:rPr>
        <w:t xml:space="preserve">Více informací najdete též na webu </w:t>
      </w:r>
      <w:r w:rsidRPr="005D72FA">
        <w:rPr>
          <w:rStyle w:val="Hypertextovodkaz"/>
          <w:rFonts w:ascii="Arial" w:hAnsi="Arial" w:cs="Arial"/>
          <w:w w:val="105"/>
          <w:sz w:val="18"/>
          <w:szCs w:val="18"/>
        </w:rPr>
        <w:t>https://www.bcas.cz/onas/pro-media/</w:t>
      </w:r>
      <w:r w:rsidRPr="005D72FA">
        <w:rPr>
          <w:rFonts w:ascii="Arial" w:hAnsi="Arial" w:cs="Arial"/>
          <w:color w:val="1D1D1B"/>
          <w:w w:val="105"/>
          <w:sz w:val="18"/>
          <w:szCs w:val="18"/>
        </w:rPr>
        <w:t xml:space="preserve">. </w:t>
      </w:r>
    </w:p>
    <w:p w14:paraId="78AD05CE" w14:textId="68512067" w:rsidR="005D72FA" w:rsidRPr="005D72FA" w:rsidRDefault="005D72FA" w:rsidP="005D72FA">
      <w:pPr>
        <w:jc w:val="both"/>
        <w:rPr>
          <w:rFonts w:ascii="Arial" w:hAnsi="Arial" w:cs="Arial"/>
          <w:b/>
          <w:color w:val="1D1D1B"/>
          <w:w w:val="105"/>
          <w:sz w:val="18"/>
          <w:szCs w:val="18"/>
        </w:rPr>
      </w:pPr>
      <w:r w:rsidRPr="005D72FA">
        <w:rPr>
          <w:rFonts w:ascii="Arial" w:hAnsi="Arial" w:cs="Arial"/>
          <w:b/>
          <w:color w:val="FF0000"/>
          <w:w w:val="105"/>
          <w:sz w:val="18"/>
          <w:szCs w:val="18"/>
        </w:rPr>
        <w:t>Broker Consulting Indexy je nyní možné sledovat v interaktivní formě na webu</w:t>
      </w:r>
      <w:r w:rsidRPr="005D72FA">
        <w:rPr>
          <w:rFonts w:ascii="Arial" w:hAnsi="Arial" w:cs="Arial"/>
          <w:w w:val="105"/>
          <w:sz w:val="18"/>
          <w:szCs w:val="18"/>
        </w:rPr>
        <w:t>, kde lze současně exportovat zdrojová data ke grafům. Více dostupné na odkaze</w:t>
      </w:r>
      <w:r w:rsidRPr="005D72FA">
        <w:rPr>
          <w:rFonts w:ascii="Arial" w:hAnsi="Arial" w:cs="Arial"/>
          <w:b/>
          <w:w w:val="105"/>
          <w:sz w:val="18"/>
          <w:szCs w:val="18"/>
        </w:rPr>
        <w:t xml:space="preserve"> </w:t>
      </w:r>
      <w:hyperlink r:id="rId26" w:history="1">
        <w:r w:rsidR="00E26488" w:rsidRPr="00E26488">
          <w:rPr>
            <w:rStyle w:val="Hypertextovodkaz"/>
            <w:rFonts w:ascii="Arial" w:hAnsi="Arial" w:cs="Arial"/>
            <w:sz w:val="18"/>
            <w:szCs w:val="18"/>
          </w:rPr>
          <w:t>https://www.bcas.cz/o-nas/broker-consulting-index-hypotecnich-uveru/</w:t>
        </w:r>
      </w:hyperlink>
      <w:r w:rsidR="00E26488">
        <w:rPr>
          <w:rFonts w:ascii="Arial" w:hAnsi="Arial" w:cs="Arial"/>
          <w:sz w:val="18"/>
          <w:szCs w:val="18"/>
        </w:rPr>
        <w:t>.</w:t>
      </w:r>
      <w:r w:rsidR="00E26488" w:rsidRPr="00E26488">
        <w:rPr>
          <w:rFonts w:ascii="Arial" w:hAnsi="Arial" w:cs="Arial"/>
          <w:sz w:val="18"/>
          <w:szCs w:val="18"/>
        </w:rPr>
        <w:t xml:space="preserve"> </w:t>
      </w:r>
    </w:p>
    <w:p w14:paraId="55FEC2AA" w14:textId="77777777" w:rsidR="005D72FA" w:rsidRDefault="005D72FA" w:rsidP="005D72FA">
      <w:pPr>
        <w:spacing w:before="120"/>
        <w:jc w:val="both"/>
        <w:rPr>
          <w:rFonts w:ascii="Arial" w:eastAsia="Calibri" w:hAnsi="Arial" w:cs="Arial"/>
          <w:b/>
          <w:bCs/>
          <w:noProof/>
          <w:sz w:val="20"/>
          <w:szCs w:val="20"/>
        </w:rPr>
      </w:pPr>
    </w:p>
    <w:p w14:paraId="20C4B6DC" w14:textId="15862323" w:rsidR="005D72FA" w:rsidRPr="00153646" w:rsidRDefault="005D72FA" w:rsidP="005D72FA">
      <w:pPr>
        <w:spacing w:before="120"/>
        <w:rPr>
          <w:rFonts w:ascii="Arial" w:eastAsia="Calibri" w:hAnsi="Arial" w:cs="Arial"/>
          <w:b/>
          <w:bCs/>
          <w:noProof/>
          <w:sz w:val="20"/>
          <w:szCs w:val="20"/>
        </w:rPr>
      </w:pPr>
      <w:r w:rsidRPr="00153646">
        <w:rPr>
          <w:rFonts w:ascii="Arial" w:eastAsia="Calibri" w:hAnsi="Arial" w:cs="Arial"/>
          <w:b/>
          <w:bCs/>
          <w:noProof/>
          <w:sz w:val="20"/>
          <w:szCs w:val="20"/>
        </w:rPr>
        <w:t>Kontakt pro média:</w:t>
      </w:r>
    </w:p>
    <w:p w14:paraId="35A7D5B0" w14:textId="77777777" w:rsidR="005D72FA" w:rsidRDefault="005D72FA" w:rsidP="005D72FA">
      <w:pPr>
        <w:pStyle w:val="Bezmezer"/>
        <w:ind w:right="142"/>
        <w:jc w:val="both"/>
        <w:rPr>
          <w:rFonts w:ascii="Arial" w:eastAsia="F015TEELig" w:hAnsi="Arial" w:cs="Arial"/>
          <w:b/>
          <w:sz w:val="18"/>
          <w:szCs w:val="18"/>
        </w:rPr>
      </w:pPr>
    </w:p>
    <w:p w14:paraId="02BD8A85" w14:textId="77777777" w:rsidR="005D72FA" w:rsidRPr="00E26488" w:rsidRDefault="005D72FA" w:rsidP="005D72FA">
      <w:pPr>
        <w:pStyle w:val="Bezmezer"/>
        <w:ind w:right="142"/>
        <w:jc w:val="both"/>
        <w:rPr>
          <w:rFonts w:ascii="Arial" w:eastAsia="F015TEELig" w:hAnsi="Arial" w:cs="Arial"/>
          <w:sz w:val="18"/>
          <w:szCs w:val="18"/>
        </w:rPr>
      </w:pPr>
      <w:r w:rsidRPr="00E26488">
        <w:rPr>
          <w:rFonts w:ascii="Arial" w:eastAsia="F015TEELig" w:hAnsi="Arial" w:cs="Arial"/>
          <w:sz w:val="18"/>
          <w:szCs w:val="18"/>
        </w:rPr>
        <w:t>Tereza Záhrubská</w:t>
      </w:r>
    </w:p>
    <w:p w14:paraId="3C77D207" w14:textId="77777777" w:rsidR="005D72FA" w:rsidRPr="00E26488" w:rsidRDefault="005D72FA" w:rsidP="005D72FA">
      <w:pPr>
        <w:pStyle w:val="Bezmezer"/>
        <w:ind w:right="142"/>
        <w:jc w:val="both"/>
        <w:rPr>
          <w:rFonts w:ascii="Arial" w:eastAsia="F015TEELig" w:hAnsi="Arial" w:cs="Arial"/>
          <w:sz w:val="18"/>
          <w:szCs w:val="18"/>
        </w:rPr>
      </w:pPr>
      <w:r w:rsidRPr="00E26488">
        <w:rPr>
          <w:rFonts w:ascii="Arial" w:eastAsia="F015TEELig" w:hAnsi="Arial" w:cs="Arial"/>
          <w:sz w:val="18"/>
          <w:szCs w:val="18"/>
        </w:rPr>
        <w:t>Specialistka PR a externí komunikace</w:t>
      </w:r>
    </w:p>
    <w:p w14:paraId="5BC13BD9" w14:textId="77777777" w:rsidR="005D72FA" w:rsidRPr="00E26488" w:rsidRDefault="005D72FA" w:rsidP="005D72FA">
      <w:pPr>
        <w:pStyle w:val="Bezmezer"/>
        <w:ind w:right="142"/>
        <w:jc w:val="both"/>
        <w:rPr>
          <w:rFonts w:ascii="Arial" w:eastAsia="F015TEELig" w:hAnsi="Arial" w:cs="Arial"/>
          <w:sz w:val="18"/>
          <w:szCs w:val="18"/>
        </w:rPr>
      </w:pPr>
      <w:r w:rsidRPr="00E26488">
        <w:rPr>
          <w:rFonts w:ascii="Arial" w:eastAsia="F015TEELig" w:hAnsi="Arial" w:cs="Arial"/>
          <w:sz w:val="18"/>
          <w:szCs w:val="18"/>
        </w:rPr>
        <w:t>Mobil: +420 </w:t>
      </w:r>
      <w:r w:rsidRPr="00E26488">
        <w:rPr>
          <w:rFonts w:ascii="Arial" w:eastAsia="Calibri" w:hAnsi="Arial" w:cs="Arial"/>
          <w:noProof/>
          <w:sz w:val="18"/>
          <w:szCs w:val="18"/>
        </w:rPr>
        <w:t>731 537 716</w:t>
      </w:r>
    </w:p>
    <w:p w14:paraId="1F21D47E" w14:textId="77777777" w:rsidR="005D72FA" w:rsidRPr="00E26488" w:rsidRDefault="005D72FA" w:rsidP="005D72FA">
      <w:pPr>
        <w:pStyle w:val="Bezmezer"/>
        <w:ind w:right="142"/>
        <w:jc w:val="both"/>
        <w:rPr>
          <w:rFonts w:ascii="Arial" w:eastAsia="F015TEELig" w:hAnsi="Arial" w:cs="Arial"/>
          <w:sz w:val="18"/>
          <w:szCs w:val="18"/>
        </w:rPr>
      </w:pPr>
      <w:r w:rsidRPr="00E26488">
        <w:rPr>
          <w:rFonts w:ascii="Arial" w:eastAsia="F015TEELig" w:hAnsi="Arial" w:cs="Arial"/>
          <w:sz w:val="18"/>
          <w:szCs w:val="18"/>
        </w:rPr>
        <w:t>E-mail:</w:t>
      </w:r>
      <w:r w:rsidRPr="00E26488">
        <w:rPr>
          <w:rFonts w:ascii="Arial" w:eastAsia="Calibri" w:hAnsi="Arial" w:cs="Arial"/>
          <w:noProof/>
          <w:sz w:val="18"/>
          <w:szCs w:val="18"/>
        </w:rPr>
        <w:t xml:space="preserve"> </w:t>
      </w:r>
      <w:hyperlink r:id="rId27" w:history="1">
        <w:r w:rsidRPr="00E26488">
          <w:rPr>
            <w:rStyle w:val="Hypertextovodkaz"/>
            <w:rFonts w:ascii="Arial" w:eastAsia="Calibri" w:hAnsi="Arial" w:cs="Arial"/>
            <w:noProof/>
            <w:sz w:val="18"/>
            <w:szCs w:val="18"/>
          </w:rPr>
          <w:t>tereza.zahrubska@bcas.cz</w:t>
        </w:r>
      </w:hyperlink>
      <w:r w:rsidRPr="00E26488">
        <w:rPr>
          <w:rFonts w:ascii="Arial" w:eastAsia="Calibri" w:hAnsi="Arial" w:cs="Arial"/>
          <w:noProof/>
          <w:sz w:val="18"/>
          <w:szCs w:val="18"/>
        </w:rPr>
        <w:t xml:space="preserve"> </w:t>
      </w:r>
    </w:p>
    <w:p w14:paraId="025F1B2F" w14:textId="66C09884" w:rsidR="00D60D98" w:rsidRPr="00E26488" w:rsidRDefault="00D60D98" w:rsidP="005D72FA">
      <w:pPr>
        <w:rPr>
          <w:rFonts w:cstheme="minorHAnsi"/>
          <w:sz w:val="18"/>
          <w:szCs w:val="18"/>
        </w:rPr>
      </w:pPr>
    </w:p>
    <w:sectPr w:rsidR="00D60D98" w:rsidRPr="00E26488" w:rsidSect="001675AF">
      <w:type w:val="continuous"/>
      <w:pgSz w:w="11910" w:h="16840"/>
      <w:pgMar w:top="960" w:right="740" w:bottom="2127" w:left="720" w:header="708" w:footer="1136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047D72" w14:textId="77777777" w:rsidR="00AD3A41" w:rsidRDefault="00AD3A41">
      <w:r>
        <w:separator/>
      </w:r>
    </w:p>
  </w:endnote>
  <w:endnote w:type="continuationSeparator" w:id="0">
    <w:p w14:paraId="0841E4A1" w14:textId="77777777" w:rsidR="00AD3A41" w:rsidRDefault="00AD3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015TEELig">
    <w:altName w:val="Times New Roman"/>
    <w:charset w:val="EE"/>
    <w:family w:val="auto"/>
    <w:pitch w:val="variable"/>
    <w:sig w:usb0="00000001" w:usb1="00002048" w:usb2="00000000" w:usb3="00000000" w:csb0="0000008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015TEEMed">
    <w:altName w:val="Times New Roman"/>
    <w:charset w:val="00"/>
    <w:family w:val="auto"/>
    <w:pitch w:val="variable"/>
    <w:sig w:usb0="00000001" w:usb1="00000000" w:usb2="00000000" w:usb3="00000000" w:csb0="0000008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CE9966" w14:textId="77777777" w:rsidR="00D80B6D" w:rsidRDefault="00D80B6D">
    <w:pPr>
      <w:pStyle w:val="Zpat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61D50D1F" wp14:editId="456544FD">
              <wp:simplePos x="0" y="0"/>
              <wp:positionH relativeFrom="margin">
                <wp:align>right</wp:align>
              </wp:positionH>
              <wp:positionV relativeFrom="page">
                <wp:posOffset>10411460</wp:posOffset>
              </wp:positionV>
              <wp:extent cx="1507490" cy="193040"/>
              <wp:effectExtent l="0" t="0" r="16510" b="16510"/>
              <wp:wrapNone/>
              <wp:docPr id="12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74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FC45A8" w14:textId="16B40CAC" w:rsidR="00D80B6D" w:rsidRPr="00081616" w:rsidRDefault="00AD3A41" w:rsidP="00081616">
                          <w:pPr>
                            <w:pStyle w:val="Zkladntext"/>
                            <w:spacing w:before="16"/>
                            <w:ind w:left="20"/>
                            <w:jc w:val="right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</w:rPr>
                          </w:pPr>
                          <w:hyperlink r:id="rId1" w:history="1">
                            <w:r w:rsidR="00081616" w:rsidRPr="00081616">
                              <w:rPr>
                                <w:rStyle w:val="Hypertextovodkaz"/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u w:val="none"/>
                              </w:rPr>
                              <w:t>www.realityspolu.cz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D50D1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5pt;margin-top:819.8pt;width:118.7pt;height:15.2pt;z-index:-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" filled="f" stroked="f">
              <v:textbox inset="0,0,0,0">
                <w:txbxContent>
                  <w:p w14:paraId="38FC45A8" w14:textId="16B40CAC" w:rsidR="00D80B6D" w:rsidRPr="00081616" w:rsidRDefault="00743930" w:rsidP="00081616">
                    <w:pPr>
                      <w:pStyle w:val="Zkladntext"/>
                      <w:spacing w:before="16"/>
                      <w:ind w:left="20"/>
                      <w:jc w:val="right"/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</w:rPr>
                    </w:pPr>
                    <w:hyperlink r:id="rId2" w:history="1">
                      <w:r w:rsidR="00081616" w:rsidRPr="00081616">
                        <w:rPr>
                          <w:rStyle w:val="Hypertextovodkaz"/>
                          <w:rFonts w:ascii="Arial" w:hAnsi="Arial" w:cs="Arial"/>
                          <w:b/>
                          <w:color w:val="FFFFFF" w:themeColor="background1"/>
                          <w:sz w:val="20"/>
                          <w:u w:val="none"/>
                        </w:rPr>
                        <w:t>www.realityspolu.cz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591478DF" wp14:editId="016DF07C">
              <wp:simplePos x="0" y="0"/>
              <wp:positionH relativeFrom="margin">
                <wp:align>center</wp:align>
              </wp:positionH>
              <wp:positionV relativeFrom="page">
                <wp:posOffset>10408920</wp:posOffset>
              </wp:positionV>
              <wp:extent cx="1105535" cy="193040"/>
              <wp:effectExtent l="0" t="0" r="18415" b="16510"/>
              <wp:wrapNone/>
              <wp:docPr id="12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553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E61A37" w14:textId="77777777" w:rsidR="00D80B6D" w:rsidRPr="00E95698" w:rsidRDefault="00AD3A41" w:rsidP="00E95698">
                          <w:pPr>
                            <w:pStyle w:val="Zkladntext"/>
                            <w:spacing w:before="16"/>
                            <w:ind w:left="2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hyperlink r:id="rId3">
                            <w:r w:rsidR="00D80B6D" w:rsidRPr="00E95698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  <w:t>www.okpointy.cz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1478DF" id="Text Box 2" o:spid="_x0000_s1027" type="#_x0000_t202" style="position:absolute;margin-left:0;margin-top:819.6pt;width:87.05pt;height:15.2pt;z-index:-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" filled="f" stroked="f">
              <v:textbox inset="0,0,0,0">
                <w:txbxContent>
                  <w:p w14:paraId="11E61A37" w14:textId="77777777" w:rsidR="00D80B6D" w:rsidRPr="00E95698" w:rsidRDefault="00743930" w:rsidP="00E95698">
                    <w:pPr>
                      <w:pStyle w:val="Zkladntext"/>
                      <w:spacing w:before="16"/>
                      <w:ind w:left="20"/>
                      <w:rPr>
                        <w:rFonts w:ascii="Arial" w:hAnsi="Arial" w:cs="Arial"/>
                        <w:b/>
                        <w:sz w:val="20"/>
                      </w:rPr>
                    </w:pPr>
                    <w:hyperlink r:id="rId4">
                      <w:r w:rsidR="00D80B6D" w:rsidRPr="00E95698"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  <w:t>www.okpointy.cz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71AF86FB" wp14:editId="75DA4564">
              <wp:simplePos x="0" y="0"/>
              <wp:positionH relativeFrom="margin">
                <wp:align>left</wp:align>
              </wp:positionH>
              <wp:positionV relativeFrom="page">
                <wp:posOffset>10408920</wp:posOffset>
              </wp:positionV>
              <wp:extent cx="833755" cy="193040"/>
              <wp:effectExtent l="0" t="0" r="4445" b="16510"/>
              <wp:wrapNone/>
              <wp:docPr id="12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375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3644D1" w14:textId="77777777" w:rsidR="00D80B6D" w:rsidRPr="00943B58" w:rsidRDefault="00AD3A41" w:rsidP="00943B58">
                          <w:pPr>
                            <w:pStyle w:val="Zkladntext"/>
                            <w:spacing w:before="16"/>
                            <w:ind w:left="2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hyperlink r:id="rId5">
                            <w:r w:rsidR="00D80B6D" w:rsidRPr="00943B58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  <w:t>www.bcas.cz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AF86FB" id="Text Box 3" o:spid="_x0000_s1028" type="#_x0000_t202" style="position:absolute;margin-left:0;margin-top:819.6pt;width:65.65pt;height:15.2pt;z-index:-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" filled="f" stroked="f">
              <v:textbox inset="0,0,0,0">
                <w:txbxContent>
                  <w:p w14:paraId="663644D1" w14:textId="77777777" w:rsidR="00D80B6D" w:rsidRPr="00943B58" w:rsidRDefault="00743930" w:rsidP="00943B58">
                    <w:pPr>
                      <w:pStyle w:val="Zkladntext"/>
                      <w:spacing w:before="16"/>
                      <w:ind w:left="20"/>
                      <w:rPr>
                        <w:rFonts w:ascii="Arial" w:hAnsi="Arial" w:cs="Arial"/>
                        <w:b/>
                        <w:sz w:val="20"/>
                      </w:rPr>
                    </w:pPr>
                    <w:hyperlink r:id="rId6">
                      <w:r w:rsidR="00D80B6D" w:rsidRPr="00943B58"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  <w:t>www.bcas.cz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51A4FC99" wp14:editId="417B4962">
              <wp:simplePos x="0" y="0"/>
              <wp:positionH relativeFrom="page">
                <wp:align>left</wp:align>
              </wp:positionH>
              <wp:positionV relativeFrom="page">
                <wp:posOffset>10349230</wp:posOffset>
              </wp:positionV>
              <wp:extent cx="7560310" cy="319405"/>
              <wp:effectExtent l="0" t="0" r="2540" b="4445"/>
              <wp:wrapNone/>
              <wp:docPr id="23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319405"/>
                      </a:xfrm>
                      <a:prstGeom prst="rect">
                        <a:avLst/>
                      </a:prstGeom>
                      <a:solidFill>
                        <a:srgbClr val="CD171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6E6853E3" id="Rectangle 4" o:spid="_x0000_s1026" style="position:absolute;margin-left:0;margin-top:814.9pt;width:595.3pt;height:25.15pt;z-index:-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" fillcolor="#cd1719" stroked="f">
              <w10:wrap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4A20D6" w14:textId="77777777" w:rsidR="00D80B6D" w:rsidRDefault="00D80B6D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44C53E" w14:textId="0E45F0AC" w:rsidR="00D31127" w:rsidRPr="001675AF" w:rsidRDefault="00D31127" w:rsidP="001675AF">
    <w:pPr>
      <w:pStyle w:val="Zpat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D36B16" w14:textId="77777777" w:rsidR="00D80B6D" w:rsidRDefault="00D80B6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C2436F" w14:textId="77777777" w:rsidR="00AD3A41" w:rsidRDefault="00AD3A41">
      <w:r>
        <w:separator/>
      </w:r>
    </w:p>
  </w:footnote>
  <w:footnote w:type="continuationSeparator" w:id="0">
    <w:p w14:paraId="63C20B5F" w14:textId="77777777" w:rsidR="00AD3A41" w:rsidRDefault="00AD3A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E04A61" w14:textId="77777777" w:rsidR="00D80B6D" w:rsidRPr="007443AD" w:rsidRDefault="00D80B6D" w:rsidP="00E95698">
    <w:pPr>
      <w:tabs>
        <w:tab w:val="left" w:pos="8633"/>
      </w:tabs>
      <w:spacing w:before="80"/>
      <w:ind w:firstLine="2880"/>
      <w:rPr>
        <w:rFonts w:asciiTheme="minorHAnsi" w:hAnsiTheme="minorHAnsi" w:cstheme="minorHAnsi"/>
        <w:sz w:val="52"/>
      </w:rPr>
    </w:pPr>
    <w:r w:rsidRPr="007443AD">
      <w:rPr>
        <w:rFonts w:asciiTheme="minorHAnsi" w:hAnsiTheme="minorHAnsi" w:cstheme="minorHAnsi"/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FDCED20" wp14:editId="6981B8FE">
              <wp:simplePos x="0" y="0"/>
              <wp:positionH relativeFrom="page">
                <wp:posOffset>1962785</wp:posOffset>
              </wp:positionH>
              <wp:positionV relativeFrom="paragraph">
                <wp:posOffset>42545</wp:posOffset>
              </wp:positionV>
              <wp:extent cx="0" cy="450850"/>
              <wp:effectExtent l="8255" t="12065" r="10795" b="13335"/>
              <wp:wrapNone/>
              <wp:docPr id="112" name="Line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05AC1C4D" id="Line 8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4.55pt,3.35pt" to="154.55pt,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" strokecolor="#cd1719" strokeweight="1pt">
              <w10:wrap anchorx="page"/>
            </v:line>
          </w:pict>
        </mc:Fallback>
      </mc:AlternateContent>
    </w:r>
    <w:r w:rsidRPr="007443AD">
      <w:rPr>
        <w:rFonts w:asciiTheme="minorHAnsi" w:hAnsiTheme="minorHAnsi" w:cstheme="minorHAnsi"/>
        <w:noProof/>
        <w:sz w:val="20"/>
        <w:lang w:bidi="ar-SA"/>
      </w:rPr>
      <w:drawing>
        <wp:anchor distT="0" distB="0" distL="0" distR="0" simplePos="0" relativeHeight="251659264" behindDoc="0" locked="0" layoutInCell="1" allowOverlap="1" wp14:anchorId="30A2D658" wp14:editId="7205C149">
          <wp:simplePos x="0" y="0"/>
          <wp:positionH relativeFrom="margin">
            <wp:align>left</wp:align>
          </wp:positionH>
          <wp:positionV relativeFrom="paragraph">
            <wp:posOffset>45085</wp:posOffset>
          </wp:positionV>
          <wp:extent cx="1200150" cy="450850"/>
          <wp:effectExtent l="0" t="0" r="0" b="6350"/>
          <wp:wrapNone/>
          <wp:docPr id="6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00150" cy="450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7443AD">
      <w:rPr>
        <w:rFonts w:asciiTheme="minorHAnsi" w:hAnsiTheme="minorHAnsi" w:cstheme="minorHAnsi"/>
        <w:color w:val="1D1D1B"/>
        <w:sz w:val="48"/>
      </w:rPr>
      <w:t xml:space="preserve">BROKER CONSULTING </w:t>
    </w:r>
    <w:r w:rsidRPr="007443AD">
      <w:rPr>
        <w:rFonts w:asciiTheme="minorHAnsi" w:hAnsiTheme="minorHAnsi" w:cstheme="minorHAnsi"/>
        <w:color w:val="CD1719"/>
        <w:sz w:val="52"/>
      </w:rPr>
      <w:t>INDEX</w:t>
    </w:r>
  </w:p>
  <w:p w14:paraId="2B920E62" w14:textId="77777777" w:rsidR="00D80B6D" w:rsidRDefault="00D80B6D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639CAA" w14:textId="77777777" w:rsidR="00D80B6D" w:rsidRDefault="00D80B6D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E68EBE" w14:textId="77777777" w:rsidR="00B65A3B" w:rsidRDefault="00B65A3B">
    <w:pPr>
      <w:pStyle w:val="Zhlav"/>
    </w:pPr>
    <w:r w:rsidRPr="00B65A3B">
      <w:rPr>
        <w:rFonts w:ascii="Arial" w:hAnsi="Arial" w:cs="Arial"/>
        <w:noProof/>
        <w:sz w:val="28"/>
        <w:szCs w:val="28"/>
        <w:lang w:bidi="ar-SA"/>
      </w:rPr>
      <w:drawing>
        <wp:anchor distT="0" distB="0" distL="0" distR="0" simplePos="0" relativeHeight="251651072" behindDoc="0" locked="0" layoutInCell="1" allowOverlap="1" wp14:anchorId="31BAF93D" wp14:editId="6CF85B52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601425" cy="648000"/>
          <wp:effectExtent l="0" t="0" r="8255" b="0"/>
          <wp:wrapNone/>
          <wp:docPr id="2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1425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1FEE69E" w14:textId="77777777" w:rsidR="00B65A3B" w:rsidRPr="00B65A3B" w:rsidRDefault="00B65A3B" w:rsidP="00B65A3B">
    <w:pPr>
      <w:pStyle w:val="Nadpis2"/>
      <w:ind w:left="1440" w:firstLine="720"/>
      <w:rPr>
        <w:rFonts w:ascii="Arial" w:hAnsi="Arial" w:cs="Arial"/>
      </w:rPr>
    </w:pPr>
    <w:r w:rsidRPr="00B65A3B">
      <w:rPr>
        <w:rFonts w:ascii="Arial" w:hAnsi="Arial" w:cs="Arial"/>
        <w:noProof/>
        <w:lang w:bidi="ar-SA"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0ED4418B" wp14:editId="7FE32292">
              <wp:simplePos x="0" y="0"/>
              <wp:positionH relativeFrom="page">
                <wp:posOffset>1589405</wp:posOffset>
              </wp:positionH>
              <wp:positionV relativeFrom="paragraph">
                <wp:posOffset>74295</wp:posOffset>
              </wp:positionV>
              <wp:extent cx="0" cy="450850"/>
              <wp:effectExtent l="8255" t="12065" r="10795" b="13335"/>
              <wp:wrapNone/>
              <wp:docPr id="119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10D45A71" id="Line 32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15pt,5.85pt" to="125.15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" strokecolor="#cd1719" strokeweight="1pt">
              <w10:wrap anchorx="page"/>
            </v:line>
          </w:pict>
        </mc:Fallback>
      </mc:AlternateContent>
    </w:r>
    <w:r w:rsidRPr="00B65A3B">
      <w:rPr>
        <w:rFonts w:ascii="Arial" w:hAnsi="Arial" w:cs="Arial"/>
        <w:noProof/>
        <w:lang w:bidi="ar-SA"/>
      </w:rPr>
      <w:drawing>
        <wp:anchor distT="0" distB="0" distL="0" distR="0" simplePos="0" relativeHeight="251649024" behindDoc="0" locked="0" layoutInCell="1" allowOverlap="1" wp14:anchorId="47B23A44" wp14:editId="1B722D07">
          <wp:simplePos x="0" y="0"/>
          <wp:positionH relativeFrom="margin">
            <wp:align>left</wp:align>
          </wp:positionH>
          <wp:positionV relativeFrom="paragraph">
            <wp:posOffset>63500</wp:posOffset>
          </wp:positionV>
          <wp:extent cx="958324" cy="360000"/>
          <wp:effectExtent l="0" t="0" r="0" b="2540"/>
          <wp:wrapNone/>
          <wp:docPr id="3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58324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65A3B">
      <w:rPr>
        <w:rFonts w:ascii="Arial" w:hAnsi="Arial" w:cs="Arial"/>
        <w:color w:val="1D1D1B"/>
      </w:rPr>
      <w:t>BROKER CONSULTING</w:t>
    </w:r>
  </w:p>
  <w:p w14:paraId="43C085E5" w14:textId="62CDD8CE" w:rsidR="000F4B6C" w:rsidRDefault="00D40C89" w:rsidP="00D40C89">
    <w:pPr>
      <w:spacing w:before="85"/>
      <w:ind w:left="1440" w:firstLine="720"/>
      <w:rPr>
        <w:rFonts w:ascii="Arial" w:hAnsi="Arial" w:cs="Arial"/>
        <w:color w:val="E52713"/>
        <w:sz w:val="28"/>
        <w:szCs w:val="28"/>
      </w:rPr>
    </w:pPr>
    <w:r w:rsidRPr="00B65A3B">
      <w:rPr>
        <w:rFonts w:ascii="Arial" w:hAnsi="Arial" w:cs="Arial"/>
        <w:color w:val="E52713"/>
        <w:sz w:val="28"/>
        <w:szCs w:val="28"/>
      </w:rPr>
      <w:t xml:space="preserve">INDEX </w:t>
    </w:r>
    <w:r>
      <w:rPr>
        <w:rFonts w:ascii="Arial" w:hAnsi="Arial" w:cs="Arial"/>
        <w:color w:val="E52713"/>
        <w:sz w:val="28"/>
        <w:szCs w:val="28"/>
      </w:rPr>
      <w:t>HYPOTEČNÍCH ÚVĚRŮ &amp; FIXINDEX</w:t>
    </w:r>
  </w:p>
  <w:p w14:paraId="0E033147" w14:textId="77777777" w:rsidR="00D40C89" w:rsidRPr="00D40C89" w:rsidRDefault="00D40C89" w:rsidP="00D40C89">
    <w:pPr>
      <w:spacing w:before="85"/>
      <w:ind w:left="1440" w:firstLine="720"/>
      <w:rPr>
        <w:rFonts w:ascii="Arial" w:hAnsi="Arial" w:cs="Arial"/>
        <w:color w:val="E52713"/>
        <w:sz w:val="28"/>
        <w:szCs w:val="28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58B739" w14:textId="77777777" w:rsidR="009F59EE" w:rsidRDefault="009F59EE" w:rsidP="009F59EE">
    <w:pPr>
      <w:pStyle w:val="Zhlav"/>
    </w:pPr>
    <w:r w:rsidRPr="00B65A3B">
      <w:rPr>
        <w:rFonts w:ascii="Arial" w:hAnsi="Arial" w:cs="Arial"/>
        <w:noProof/>
        <w:sz w:val="28"/>
        <w:szCs w:val="28"/>
        <w:lang w:bidi="ar-SA"/>
      </w:rPr>
      <w:drawing>
        <wp:anchor distT="0" distB="0" distL="0" distR="0" simplePos="0" relativeHeight="251663360" behindDoc="0" locked="0" layoutInCell="1" allowOverlap="1" wp14:anchorId="5B141BE4" wp14:editId="2D7EF3BD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601425" cy="648000"/>
          <wp:effectExtent l="0" t="0" r="8255" b="0"/>
          <wp:wrapNone/>
          <wp:docPr id="4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1425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79D881" w14:textId="77777777" w:rsidR="009F59EE" w:rsidRPr="007443AD" w:rsidRDefault="009F59EE" w:rsidP="009F59EE">
    <w:pPr>
      <w:pStyle w:val="Nadpis2"/>
      <w:ind w:left="1440" w:firstLine="720"/>
      <w:rPr>
        <w:rFonts w:asciiTheme="minorHAnsi" w:hAnsiTheme="minorHAnsi" w:cstheme="minorHAnsi"/>
      </w:rPr>
    </w:pPr>
    <w:r w:rsidRPr="007443AD">
      <w:rPr>
        <w:rFonts w:asciiTheme="minorHAnsi" w:hAnsiTheme="minorHAnsi" w:cstheme="minorHAnsi"/>
        <w:noProof/>
        <w:lang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A596170" wp14:editId="51FC0657">
              <wp:simplePos x="0" y="0"/>
              <wp:positionH relativeFrom="page">
                <wp:posOffset>1589405</wp:posOffset>
              </wp:positionH>
              <wp:positionV relativeFrom="paragraph">
                <wp:posOffset>74295</wp:posOffset>
              </wp:positionV>
              <wp:extent cx="0" cy="450850"/>
              <wp:effectExtent l="8255" t="12065" r="10795" b="13335"/>
              <wp:wrapNone/>
              <wp:docPr id="24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3459852D" id="Line 3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15pt,5.85pt" to="125.15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" strokecolor="#cd1719" strokeweight="1pt">
              <w10:wrap anchorx="page"/>
            </v:line>
          </w:pict>
        </mc:Fallback>
      </mc:AlternateContent>
    </w:r>
    <w:r w:rsidRPr="007443AD">
      <w:rPr>
        <w:rFonts w:asciiTheme="minorHAnsi" w:hAnsiTheme="minorHAnsi" w:cstheme="minorHAnsi"/>
        <w:noProof/>
        <w:lang w:bidi="ar-SA"/>
      </w:rPr>
      <w:drawing>
        <wp:anchor distT="0" distB="0" distL="0" distR="0" simplePos="0" relativeHeight="251661312" behindDoc="0" locked="0" layoutInCell="1" allowOverlap="1" wp14:anchorId="4C8C0CCC" wp14:editId="33D3DC1B">
          <wp:simplePos x="0" y="0"/>
          <wp:positionH relativeFrom="margin">
            <wp:align>left</wp:align>
          </wp:positionH>
          <wp:positionV relativeFrom="paragraph">
            <wp:posOffset>63500</wp:posOffset>
          </wp:positionV>
          <wp:extent cx="958324" cy="360000"/>
          <wp:effectExtent l="0" t="0" r="0" b="2540"/>
          <wp:wrapNone/>
          <wp:docPr id="5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58324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443AD">
      <w:rPr>
        <w:rFonts w:asciiTheme="minorHAnsi" w:hAnsiTheme="minorHAnsi" w:cstheme="minorHAnsi"/>
        <w:color w:val="1D1D1B"/>
      </w:rPr>
      <w:t>BROKER CONSULTING</w:t>
    </w:r>
  </w:p>
  <w:p w14:paraId="3FF270D6" w14:textId="6799F236" w:rsidR="00D40C89" w:rsidRPr="007443AD" w:rsidRDefault="009F59EE" w:rsidP="00D40C89">
    <w:pPr>
      <w:spacing w:before="85"/>
      <w:ind w:left="1440" w:firstLine="720"/>
      <w:rPr>
        <w:rFonts w:asciiTheme="minorHAnsi" w:hAnsiTheme="minorHAnsi" w:cstheme="minorHAnsi"/>
        <w:color w:val="E52713"/>
        <w:sz w:val="28"/>
        <w:szCs w:val="28"/>
      </w:rPr>
    </w:pPr>
    <w:r w:rsidRPr="007443AD">
      <w:rPr>
        <w:rFonts w:asciiTheme="minorHAnsi" w:hAnsiTheme="minorHAnsi" w:cstheme="minorHAnsi"/>
        <w:color w:val="E52713"/>
        <w:sz w:val="28"/>
        <w:szCs w:val="28"/>
      </w:rPr>
      <w:t xml:space="preserve">INDEX </w:t>
    </w:r>
    <w:r w:rsidR="002A1185" w:rsidRPr="007443AD">
      <w:rPr>
        <w:rFonts w:asciiTheme="minorHAnsi" w:hAnsiTheme="minorHAnsi" w:cstheme="minorHAnsi"/>
        <w:color w:val="E52713"/>
        <w:sz w:val="28"/>
        <w:szCs w:val="28"/>
      </w:rPr>
      <w:t>HYPOTEČNÍCH ÚVĚRŮ</w:t>
    </w:r>
    <w:r w:rsidR="00D40C89" w:rsidRPr="007443AD">
      <w:rPr>
        <w:rFonts w:asciiTheme="minorHAnsi" w:hAnsiTheme="minorHAnsi" w:cstheme="minorHAnsi"/>
        <w:color w:val="E52713"/>
        <w:sz w:val="28"/>
        <w:szCs w:val="28"/>
      </w:rPr>
      <w:t xml:space="preserve"> &amp; FIXINDEX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F44BEA"/>
    <w:multiLevelType w:val="hybridMultilevel"/>
    <w:tmpl w:val="1A8CC4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23025E"/>
    <w:multiLevelType w:val="hybridMultilevel"/>
    <w:tmpl w:val="ECCE2D2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E52180"/>
    <w:multiLevelType w:val="hybridMultilevel"/>
    <w:tmpl w:val="CA92D9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8631C5"/>
    <w:multiLevelType w:val="hybridMultilevel"/>
    <w:tmpl w:val="37368C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7C0F06"/>
    <w:multiLevelType w:val="hybridMultilevel"/>
    <w:tmpl w:val="31B0B806"/>
    <w:lvl w:ilvl="0" w:tplc="3356DF0A">
      <w:numFmt w:val="bullet"/>
      <w:lvlText w:val=""/>
      <w:lvlJc w:val="left"/>
      <w:pPr>
        <w:ind w:left="341" w:hanging="211"/>
      </w:pPr>
      <w:rPr>
        <w:rFonts w:ascii="Wingdings" w:eastAsia="Wingdings" w:hAnsi="Wingdings" w:cs="Wingdings" w:hint="default"/>
        <w:color w:val="CD1719"/>
        <w:w w:val="100"/>
        <w:sz w:val="22"/>
        <w:szCs w:val="22"/>
        <w:lang w:val="cs-CZ" w:eastAsia="cs-CZ" w:bidi="cs-CZ"/>
      </w:rPr>
    </w:lvl>
    <w:lvl w:ilvl="1" w:tplc="1DF000FE">
      <w:numFmt w:val="bullet"/>
      <w:lvlText w:val="•"/>
      <w:lvlJc w:val="left"/>
      <w:pPr>
        <w:ind w:left="813" w:hanging="211"/>
      </w:pPr>
      <w:rPr>
        <w:rFonts w:hint="default"/>
        <w:lang w:val="cs-CZ" w:eastAsia="cs-CZ" w:bidi="cs-CZ"/>
      </w:rPr>
    </w:lvl>
    <w:lvl w:ilvl="2" w:tplc="80FCB91A">
      <w:numFmt w:val="bullet"/>
      <w:lvlText w:val="•"/>
      <w:lvlJc w:val="left"/>
      <w:pPr>
        <w:ind w:left="1286" w:hanging="211"/>
      </w:pPr>
      <w:rPr>
        <w:rFonts w:hint="default"/>
        <w:lang w:val="cs-CZ" w:eastAsia="cs-CZ" w:bidi="cs-CZ"/>
      </w:rPr>
    </w:lvl>
    <w:lvl w:ilvl="3" w:tplc="95182F9E">
      <w:numFmt w:val="bullet"/>
      <w:lvlText w:val="•"/>
      <w:lvlJc w:val="left"/>
      <w:pPr>
        <w:ind w:left="1760" w:hanging="211"/>
      </w:pPr>
      <w:rPr>
        <w:rFonts w:hint="default"/>
        <w:lang w:val="cs-CZ" w:eastAsia="cs-CZ" w:bidi="cs-CZ"/>
      </w:rPr>
    </w:lvl>
    <w:lvl w:ilvl="4" w:tplc="46A6BAA6">
      <w:numFmt w:val="bullet"/>
      <w:lvlText w:val="•"/>
      <w:lvlJc w:val="left"/>
      <w:pPr>
        <w:ind w:left="2233" w:hanging="211"/>
      </w:pPr>
      <w:rPr>
        <w:rFonts w:hint="default"/>
        <w:lang w:val="cs-CZ" w:eastAsia="cs-CZ" w:bidi="cs-CZ"/>
      </w:rPr>
    </w:lvl>
    <w:lvl w:ilvl="5" w:tplc="EDF4598C">
      <w:numFmt w:val="bullet"/>
      <w:lvlText w:val="•"/>
      <w:lvlJc w:val="left"/>
      <w:pPr>
        <w:ind w:left="2707" w:hanging="211"/>
      </w:pPr>
      <w:rPr>
        <w:rFonts w:hint="default"/>
        <w:lang w:val="cs-CZ" w:eastAsia="cs-CZ" w:bidi="cs-CZ"/>
      </w:rPr>
    </w:lvl>
    <w:lvl w:ilvl="6" w:tplc="EAA42A0A">
      <w:numFmt w:val="bullet"/>
      <w:lvlText w:val="•"/>
      <w:lvlJc w:val="left"/>
      <w:pPr>
        <w:ind w:left="3180" w:hanging="211"/>
      </w:pPr>
      <w:rPr>
        <w:rFonts w:hint="default"/>
        <w:lang w:val="cs-CZ" w:eastAsia="cs-CZ" w:bidi="cs-CZ"/>
      </w:rPr>
    </w:lvl>
    <w:lvl w:ilvl="7" w:tplc="24E25A2C">
      <w:numFmt w:val="bullet"/>
      <w:lvlText w:val="•"/>
      <w:lvlJc w:val="left"/>
      <w:pPr>
        <w:ind w:left="3654" w:hanging="211"/>
      </w:pPr>
      <w:rPr>
        <w:rFonts w:hint="default"/>
        <w:lang w:val="cs-CZ" w:eastAsia="cs-CZ" w:bidi="cs-CZ"/>
      </w:rPr>
    </w:lvl>
    <w:lvl w:ilvl="8" w:tplc="A382597A">
      <w:numFmt w:val="bullet"/>
      <w:lvlText w:val="•"/>
      <w:lvlJc w:val="left"/>
      <w:pPr>
        <w:ind w:left="4127" w:hanging="211"/>
      </w:pPr>
      <w:rPr>
        <w:rFonts w:hint="default"/>
        <w:lang w:val="cs-CZ" w:eastAsia="cs-CZ" w:bidi="cs-CZ"/>
      </w:rPr>
    </w:lvl>
  </w:abstractNum>
  <w:abstractNum w:abstractNumId="5" w15:restartNumberingAfterBreak="0">
    <w:nsid w:val="3A62021C"/>
    <w:multiLevelType w:val="hybridMultilevel"/>
    <w:tmpl w:val="40EC06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325D01"/>
    <w:multiLevelType w:val="hybridMultilevel"/>
    <w:tmpl w:val="20B04784"/>
    <w:lvl w:ilvl="0" w:tplc="67E89344">
      <w:start w:val="6"/>
      <w:numFmt w:val="bullet"/>
      <w:lvlText w:val="-"/>
      <w:lvlJc w:val="left"/>
      <w:pPr>
        <w:ind w:left="720" w:hanging="360"/>
      </w:pPr>
      <w:rPr>
        <w:rFonts w:ascii="Arial" w:eastAsia="F015TEELig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917C90"/>
    <w:multiLevelType w:val="hybridMultilevel"/>
    <w:tmpl w:val="40D804E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D60C79"/>
    <w:multiLevelType w:val="hybridMultilevel"/>
    <w:tmpl w:val="E6EECF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14760E"/>
    <w:multiLevelType w:val="hybridMultilevel"/>
    <w:tmpl w:val="7B56EE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E675A0"/>
    <w:multiLevelType w:val="hybridMultilevel"/>
    <w:tmpl w:val="B462C0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B60605"/>
    <w:multiLevelType w:val="hybridMultilevel"/>
    <w:tmpl w:val="482ABF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E63C89"/>
    <w:multiLevelType w:val="hybridMultilevel"/>
    <w:tmpl w:val="03AAFAEE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12"/>
  </w:num>
  <w:num w:numId="4">
    <w:abstractNumId w:val="9"/>
  </w:num>
  <w:num w:numId="5">
    <w:abstractNumId w:val="10"/>
  </w:num>
  <w:num w:numId="6">
    <w:abstractNumId w:val="6"/>
  </w:num>
  <w:num w:numId="7">
    <w:abstractNumId w:val="12"/>
  </w:num>
  <w:num w:numId="8">
    <w:abstractNumId w:val="3"/>
  </w:num>
  <w:num w:numId="9">
    <w:abstractNumId w:val="8"/>
  </w:num>
  <w:num w:numId="10">
    <w:abstractNumId w:val="5"/>
  </w:num>
  <w:num w:numId="11">
    <w:abstractNumId w:val="11"/>
  </w:num>
  <w:num w:numId="12">
    <w:abstractNumId w:val="8"/>
  </w:num>
  <w:num w:numId="13">
    <w:abstractNumId w:val="2"/>
  </w:num>
  <w:num w:numId="14">
    <w:abstractNumId w:val="1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127"/>
    <w:rsid w:val="0000306F"/>
    <w:rsid w:val="00004919"/>
    <w:rsid w:val="00005B61"/>
    <w:rsid w:val="00010EBF"/>
    <w:rsid w:val="00011DF6"/>
    <w:rsid w:val="00014FB5"/>
    <w:rsid w:val="0001597B"/>
    <w:rsid w:val="000164D5"/>
    <w:rsid w:val="00020EC7"/>
    <w:rsid w:val="0002230E"/>
    <w:rsid w:val="000226F3"/>
    <w:rsid w:val="000262B1"/>
    <w:rsid w:val="00026F23"/>
    <w:rsid w:val="000277AC"/>
    <w:rsid w:val="00027C83"/>
    <w:rsid w:val="0003028F"/>
    <w:rsid w:val="00030E97"/>
    <w:rsid w:val="00032A79"/>
    <w:rsid w:val="00032D94"/>
    <w:rsid w:val="0003332D"/>
    <w:rsid w:val="00033FD7"/>
    <w:rsid w:val="000374D7"/>
    <w:rsid w:val="00037DAF"/>
    <w:rsid w:val="000400E4"/>
    <w:rsid w:val="000412FA"/>
    <w:rsid w:val="0004477D"/>
    <w:rsid w:val="0004487D"/>
    <w:rsid w:val="00044EC5"/>
    <w:rsid w:val="00045D86"/>
    <w:rsid w:val="00046AF6"/>
    <w:rsid w:val="0004776E"/>
    <w:rsid w:val="0005085B"/>
    <w:rsid w:val="0005423A"/>
    <w:rsid w:val="00057F54"/>
    <w:rsid w:val="000611E3"/>
    <w:rsid w:val="00061BF6"/>
    <w:rsid w:val="00070652"/>
    <w:rsid w:val="00074B2B"/>
    <w:rsid w:val="000766E7"/>
    <w:rsid w:val="00080E7A"/>
    <w:rsid w:val="00080EB3"/>
    <w:rsid w:val="00081616"/>
    <w:rsid w:val="000823D3"/>
    <w:rsid w:val="000823D6"/>
    <w:rsid w:val="00082D29"/>
    <w:rsid w:val="0008331F"/>
    <w:rsid w:val="000845CA"/>
    <w:rsid w:val="000851AC"/>
    <w:rsid w:val="000853D4"/>
    <w:rsid w:val="00087894"/>
    <w:rsid w:val="000878FB"/>
    <w:rsid w:val="0009257D"/>
    <w:rsid w:val="00092AEE"/>
    <w:rsid w:val="00092BB7"/>
    <w:rsid w:val="00092C6B"/>
    <w:rsid w:val="00094C16"/>
    <w:rsid w:val="00096425"/>
    <w:rsid w:val="00096ECA"/>
    <w:rsid w:val="0009776B"/>
    <w:rsid w:val="000A080B"/>
    <w:rsid w:val="000A3E94"/>
    <w:rsid w:val="000A6CF9"/>
    <w:rsid w:val="000B11A5"/>
    <w:rsid w:val="000B187C"/>
    <w:rsid w:val="000B6DD9"/>
    <w:rsid w:val="000B6E1B"/>
    <w:rsid w:val="000C181E"/>
    <w:rsid w:val="000C2DA6"/>
    <w:rsid w:val="000C5541"/>
    <w:rsid w:val="000C6D26"/>
    <w:rsid w:val="000C7564"/>
    <w:rsid w:val="000D0013"/>
    <w:rsid w:val="000D0B6F"/>
    <w:rsid w:val="000D14E2"/>
    <w:rsid w:val="000D17B9"/>
    <w:rsid w:val="000D2CFC"/>
    <w:rsid w:val="000D4AFB"/>
    <w:rsid w:val="000D6DDC"/>
    <w:rsid w:val="000D6E9B"/>
    <w:rsid w:val="000D7158"/>
    <w:rsid w:val="000E01C2"/>
    <w:rsid w:val="000E0639"/>
    <w:rsid w:val="000E19B2"/>
    <w:rsid w:val="000E1C76"/>
    <w:rsid w:val="000E2BE4"/>
    <w:rsid w:val="000E3D86"/>
    <w:rsid w:val="000E568C"/>
    <w:rsid w:val="000E5D32"/>
    <w:rsid w:val="000E6E14"/>
    <w:rsid w:val="000F1A8F"/>
    <w:rsid w:val="000F4B6C"/>
    <w:rsid w:val="000F50BC"/>
    <w:rsid w:val="000F6249"/>
    <w:rsid w:val="000F6EBE"/>
    <w:rsid w:val="00101CEC"/>
    <w:rsid w:val="0010225E"/>
    <w:rsid w:val="00103109"/>
    <w:rsid w:val="00105248"/>
    <w:rsid w:val="00106E26"/>
    <w:rsid w:val="001115A2"/>
    <w:rsid w:val="001117DE"/>
    <w:rsid w:val="00111C28"/>
    <w:rsid w:val="00113603"/>
    <w:rsid w:val="001153E3"/>
    <w:rsid w:val="00117AE4"/>
    <w:rsid w:val="00120113"/>
    <w:rsid w:val="001214E7"/>
    <w:rsid w:val="00122208"/>
    <w:rsid w:val="00122CEB"/>
    <w:rsid w:val="00123136"/>
    <w:rsid w:val="0012361F"/>
    <w:rsid w:val="00125B97"/>
    <w:rsid w:val="0012657A"/>
    <w:rsid w:val="00126BEC"/>
    <w:rsid w:val="00127234"/>
    <w:rsid w:val="0013044E"/>
    <w:rsid w:val="00131A69"/>
    <w:rsid w:val="001327CE"/>
    <w:rsid w:val="00132E53"/>
    <w:rsid w:val="00136115"/>
    <w:rsid w:val="00136D8D"/>
    <w:rsid w:val="00137003"/>
    <w:rsid w:val="0013717C"/>
    <w:rsid w:val="00140987"/>
    <w:rsid w:val="001421B4"/>
    <w:rsid w:val="00145622"/>
    <w:rsid w:val="001516CA"/>
    <w:rsid w:val="001524FB"/>
    <w:rsid w:val="00154308"/>
    <w:rsid w:val="00154AC2"/>
    <w:rsid w:val="0015559F"/>
    <w:rsid w:val="00156082"/>
    <w:rsid w:val="00156C9D"/>
    <w:rsid w:val="00160686"/>
    <w:rsid w:val="00160E1C"/>
    <w:rsid w:val="00161352"/>
    <w:rsid w:val="00161830"/>
    <w:rsid w:val="001620E3"/>
    <w:rsid w:val="00162553"/>
    <w:rsid w:val="00162D8E"/>
    <w:rsid w:val="00164598"/>
    <w:rsid w:val="0016482C"/>
    <w:rsid w:val="0016556A"/>
    <w:rsid w:val="001675AF"/>
    <w:rsid w:val="0016771F"/>
    <w:rsid w:val="0017296F"/>
    <w:rsid w:val="001734B4"/>
    <w:rsid w:val="00174317"/>
    <w:rsid w:val="00175545"/>
    <w:rsid w:val="001767A5"/>
    <w:rsid w:val="00176E93"/>
    <w:rsid w:val="00177C18"/>
    <w:rsid w:val="00182A92"/>
    <w:rsid w:val="00182E22"/>
    <w:rsid w:val="00187310"/>
    <w:rsid w:val="00187A96"/>
    <w:rsid w:val="00192716"/>
    <w:rsid w:val="001940A3"/>
    <w:rsid w:val="00194831"/>
    <w:rsid w:val="00194B5D"/>
    <w:rsid w:val="001A0A5C"/>
    <w:rsid w:val="001A10BF"/>
    <w:rsid w:val="001A1A56"/>
    <w:rsid w:val="001A28BB"/>
    <w:rsid w:val="001A2D08"/>
    <w:rsid w:val="001A54DD"/>
    <w:rsid w:val="001A5AC8"/>
    <w:rsid w:val="001A61A5"/>
    <w:rsid w:val="001A7D2F"/>
    <w:rsid w:val="001B1E41"/>
    <w:rsid w:val="001B2A07"/>
    <w:rsid w:val="001B2C03"/>
    <w:rsid w:val="001B3B31"/>
    <w:rsid w:val="001B4F4B"/>
    <w:rsid w:val="001B501B"/>
    <w:rsid w:val="001B58E7"/>
    <w:rsid w:val="001B6694"/>
    <w:rsid w:val="001B6D7A"/>
    <w:rsid w:val="001B7936"/>
    <w:rsid w:val="001C22FE"/>
    <w:rsid w:val="001D015A"/>
    <w:rsid w:val="001D30C7"/>
    <w:rsid w:val="001D33FA"/>
    <w:rsid w:val="001D36F0"/>
    <w:rsid w:val="001D3DFC"/>
    <w:rsid w:val="001D42DB"/>
    <w:rsid w:val="001D45F5"/>
    <w:rsid w:val="001D5EFC"/>
    <w:rsid w:val="001E02C2"/>
    <w:rsid w:val="001E0A89"/>
    <w:rsid w:val="001E13C0"/>
    <w:rsid w:val="001E1597"/>
    <w:rsid w:val="001E4209"/>
    <w:rsid w:val="001F1D14"/>
    <w:rsid w:val="001F2399"/>
    <w:rsid w:val="001F4D74"/>
    <w:rsid w:val="001F7194"/>
    <w:rsid w:val="001F71BA"/>
    <w:rsid w:val="001F7577"/>
    <w:rsid w:val="002019F3"/>
    <w:rsid w:val="0020207A"/>
    <w:rsid w:val="00202F22"/>
    <w:rsid w:val="00203A6A"/>
    <w:rsid w:val="00203BD4"/>
    <w:rsid w:val="002046F4"/>
    <w:rsid w:val="00206E92"/>
    <w:rsid w:val="00207D22"/>
    <w:rsid w:val="00212C2E"/>
    <w:rsid w:val="0021395D"/>
    <w:rsid w:val="002141AF"/>
    <w:rsid w:val="00216B81"/>
    <w:rsid w:val="00216F2E"/>
    <w:rsid w:val="00217E92"/>
    <w:rsid w:val="00220529"/>
    <w:rsid w:val="002220C9"/>
    <w:rsid w:val="00223FFD"/>
    <w:rsid w:val="00224032"/>
    <w:rsid w:val="00224AF1"/>
    <w:rsid w:val="00224C0C"/>
    <w:rsid w:val="00224E6E"/>
    <w:rsid w:val="00225CEC"/>
    <w:rsid w:val="00225D70"/>
    <w:rsid w:val="00232B0D"/>
    <w:rsid w:val="00233BF3"/>
    <w:rsid w:val="00233E40"/>
    <w:rsid w:val="002368F3"/>
    <w:rsid w:val="00236A37"/>
    <w:rsid w:val="00240576"/>
    <w:rsid w:val="00241313"/>
    <w:rsid w:val="00241AA2"/>
    <w:rsid w:val="00241DC1"/>
    <w:rsid w:val="0024212A"/>
    <w:rsid w:val="00242669"/>
    <w:rsid w:val="00243384"/>
    <w:rsid w:val="002447CA"/>
    <w:rsid w:val="00245705"/>
    <w:rsid w:val="0025080B"/>
    <w:rsid w:val="0025183C"/>
    <w:rsid w:val="00251F32"/>
    <w:rsid w:val="0025264B"/>
    <w:rsid w:val="00252DB1"/>
    <w:rsid w:val="00253ACF"/>
    <w:rsid w:val="00253C9E"/>
    <w:rsid w:val="0025428A"/>
    <w:rsid w:val="002555D2"/>
    <w:rsid w:val="00257294"/>
    <w:rsid w:val="00257978"/>
    <w:rsid w:val="002619DC"/>
    <w:rsid w:val="00263E2B"/>
    <w:rsid w:val="00266D10"/>
    <w:rsid w:val="002676E8"/>
    <w:rsid w:val="00267705"/>
    <w:rsid w:val="00270B59"/>
    <w:rsid w:val="00270DB3"/>
    <w:rsid w:val="002717C9"/>
    <w:rsid w:val="0027235F"/>
    <w:rsid w:val="00274782"/>
    <w:rsid w:val="0027691A"/>
    <w:rsid w:val="00277D20"/>
    <w:rsid w:val="00280730"/>
    <w:rsid w:val="0028081F"/>
    <w:rsid w:val="00281C61"/>
    <w:rsid w:val="00281DB8"/>
    <w:rsid w:val="00285767"/>
    <w:rsid w:val="0028607C"/>
    <w:rsid w:val="002863CE"/>
    <w:rsid w:val="0029038B"/>
    <w:rsid w:val="0029566F"/>
    <w:rsid w:val="002961B5"/>
    <w:rsid w:val="00296B24"/>
    <w:rsid w:val="002A1185"/>
    <w:rsid w:val="002A1EF2"/>
    <w:rsid w:val="002A208F"/>
    <w:rsid w:val="002A2CED"/>
    <w:rsid w:val="002A498A"/>
    <w:rsid w:val="002A61B7"/>
    <w:rsid w:val="002A7860"/>
    <w:rsid w:val="002B01AF"/>
    <w:rsid w:val="002B094E"/>
    <w:rsid w:val="002B1E20"/>
    <w:rsid w:val="002B2A94"/>
    <w:rsid w:val="002B2C8C"/>
    <w:rsid w:val="002B3C6D"/>
    <w:rsid w:val="002B4265"/>
    <w:rsid w:val="002B4919"/>
    <w:rsid w:val="002B4B98"/>
    <w:rsid w:val="002B6F4E"/>
    <w:rsid w:val="002B7650"/>
    <w:rsid w:val="002C06E2"/>
    <w:rsid w:val="002C0E94"/>
    <w:rsid w:val="002C26EB"/>
    <w:rsid w:val="002C3C3C"/>
    <w:rsid w:val="002C6C42"/>
    <w:rsid w:val="002C7D70"/>
    <w:rsid w:val="002D179B"/>
    <w:rsid w:val="002D23B9"/>
    <w:rsid w:val="002D3534"/>
    <w:rsid w:val="002D49F7"/>
    <w:rsid w:val="002D63BF"/>
    <w:rsid w:val="002D64A2"/>
    <w:rsid w:val="002E0400"/>
    <w:rsid w:val="002E0B58"/>
    <w:rsid w:val="002E103D"/>
    <w:rsid w:val="002E1A01"/>
    <w:rsid w:val="002E1A0D"/>
    <w:rsid w:val="002E6173"/>
    <w:rsid w:val="002E6DB6"/>
    <w:rsid w:val="002F002B"/>
    <w:rsid w:val="002F0163"/>
    <w:rsid w:val="002F06AC"/>
    <w:rsid w:val="002F09BA"/>
    <w:rsid w:val="002F46B0"/>
    <w:rsid w:val="002F485A"/>
    <w:rsid w:val="002F5550"/>
    <w:rsid w:val="002F62C4"/>
    <w:rsid w:val="002F7818"/>
    <w:rsid w:val="002F7EC2"/>
    <w:rsid w:val="003006A5"/>
    <w:rsid w:val="003015E0"/>
    <w:rsid w:val="0030207B"/>
    <w:rsid w:val="00303778"/>
    <w:rsid w:val="00303A6E"/>
    <w:rsid w:val="003046FE"/>
    <w:rsid w:val="0030751A"/>
    <w:rsid w:val="00307CF8"/>
    <w:rsid w:val="00307E95"/>
    <w:rsid w:val="00307FEB"/>
    <w:rsid w:val="003128F8"/>
    <w:rsid w:val="00313D42"/>
    <w:rsid w:val="00322E5E"/>
    <w:rsid w:val="00323B17"/>
    <w:rsid w:val="003243A6"/>
    <w:rsid w:val="003247B0"/>
    <w:rsid w:val="0032734F"/>
    <w:rsid w:val="00330918"/>
    <w:rsid w:val="003310D8"/>
    <w:rsid w:val="0033296E"/>
    <w:rsid w:val="003337A9"/>
    <w:rsid w:val="0033431C"/>
    <w:rsid w:val="0033486B"/>
    <w:rsid w:val="0033488F"/>
    <w:rsid w:val="00340E70"/>
    <w:rsid w:val="00342F85"/>
    <w:rsid w:val="00347557"/>
    <w:rsid w:val="00352435"/>
    <w:rsid w:val="003529EF"/>
    <w:rsid w:val="00355366"/>
    <w:rsid w:val="003555BB"/>
    <w:rsid w:val="00356DA4"/>
    <w:rsid w:val="00360A8B"/>
    <w:rsid w:val="003623C4"/>
    <w:rsid w:val="003629B6"/>
    <w:rsid w:val="00362BFF"/>
    <w:rsid w:val="003640C8"/>
    <w:rsid w:val="00364C11"/>
    <w:rsid w:val="00371225"/>
    <w:rsid w:val="003721AD"/>
    <w:rsid w:val="00372510"/>
    <w:rsid w:val="00376086"/>
    <w:rsid w:val="003761D9"/>
    <w:rsid w:val="00380608"/>
    <w:rsid w:val="00380630"/>
    <w:rsid w:val="00380E0A"/>
    <w:rsid w:val="0038171D"/>
    <w:rsid w:val="00382546"/>
    <w:rsid w:val="00382BF8"/>
    <w:rsid w:val="00382EAD"/>
    <w:rsid w:val="00383DC5"/>
    <w:rsid w:val="0038491C"/>
    <w:rsid w:val="00385EED"/>
    <w:rsid w:val="00386A43"/>
    <w:rsid w:val="00390B58"/>
    <w:rsid w:val="00391166"/>
    <w:rsid w:val="00394851"/>
    <w:rsid w:val="00395F41"/>
    <w:rsid w:val="003967DF"/>
    <w:rsid w:val="003A0F06"/>
    <w:rsid w:val="003A156E"/>
    <w:rsid w:val="003A291C"/>
    <w:rsid w:val="003A3DE2"/>
    <w:rsid w:val="003A4860"/>
    <w:rsid w:val="003A4D47"/>
    <w:rsid w:val="003A6435"/>
    <w:rsid w:val="003A7D32"/>
    <w:rsid w:val="003B0E4F"/>
    <w:rsid w:val="003B1966"/>
    <w:rsid w:val="003B221E"/>
    <w:rsid w:val="003B5B25"/>
    <w:rsid w:val="003B60CA"/>
    <w:rsid w:val="003B7BDD"/>
    <w:rsid w:val="003C0CBE"/>
    <w:rsid w:val="003C1344"/>
    <w:rsid w:val="003C3421"/>
    <w:rsid w:val="003C5D0A"/>
    <w:rsid w:val="003D1987"/>
    <w:rsid w:val="003D3431"/>
    <w:rsid w:val="003D3AE8"/>
    <w:rsid w:val="003D69A7"/>
    <w:rsid w:val="003E1308"/>
    <w:rsid w:val="003E4BD9"/>
    <w:rsid w:val="003F07E8"/>
    <w:rsid w:val="003F46A7"/>
    <w:rsid w:val="003F472F"/>
    <w:rsid w:val="003F79EC"/>
    <w:rsid w:val="00400129"/>
    <w:rsid w:val="004005D9"/>
    <w:rsid w:val="00400A5A"/>
    <w:rsid w:val="00406154"/>
    <w:rsid w:val="004065BA"/>
    <w:rsid w:val="00407AE9"/>
    <w:rsid w:val="004120C7"/>
    <w:rsid w:val="0041257F"/>
    <w:rsid w:val="0042193A"/>
    <w:rsid w:val="0042205E"/>
    <w:rsid w:val="004267DE"/>
    <w:rsid w:val="00430ABD"/>
    <w:rsid w:val="00431631"/>
    <w:rsid w:val="00432FD5"/>
    <w:rsid w:val="00434883"/>
    <w:rsid w:val="00434C5D"/>
    <w:rsid w:val="004350F6"/>
    <w:rsid w:val="00435115"/>
    <w:rsid w:val="00441028"/>
    <w:rsid w:val="004426E8"/>
    <w:rsid w:val="00444432"/>
    <w:rsid w:val="00445D0A"/>
    <w:rsid w:val="00450DBC"/>
    <w:rsid w:val="00451896"/>
    <w:rsid w:val="00451B7B"/>
    <w:rsid w:val="0045292A"/>
    <w:rsid w:val="004540ED"/>
    <w:rsid w:val="00454843"/>
    <w:rsid w:val="004564BC"/>
    <w:rsid w:val="004565C7"/>
    <w:rsid w:val="00460176"/>
    <w:rsid w:val="00461D55"/>
    <w:rsid w:val="004627B9"/>
    <w:rsid w:val="00464BF1"/>
    <w:rsid w:val="00465E53"/>
    <w:rsid w:val="00466329"/>
    <w:rsid w:val="00473219"/>
    <w:rsid w:val="004767D2"/>
    <w:rsid w:val="00477DCC"/>
    <w:rsid w:val="00477FFA"/>
    <w:rsid w:val="004813B2"/>
    <w:rsid w:val="00481D66"/>
    <w:rsid w:val="00483579"/>
    <w:rsid w:val="004835F4"/>
    <w:rsid w:val="004836B2"/>
    <w:rsid w:val="00487B6B"/>
    <w:rsid w:val="004919CC"/>
    <w:rsid w:val="004928CB"/>
    <w:rsid w:val="00492941"/>
    <w:rsid w:val="00495AFF"/>
    <w:rsid w:val="00495E14"/>
    <w:rsid w:val="00496183"/>
    <w:rsid w:val="004975D0"/>
    <w:rsid w:val="004A08FC"/>
    <w:rsid w:val="004A3439"/>
    <w:rsid w:val="004B07F7"/>
    <w:rsid w:val="004B1364"/>
    <w:rsid w:val="004B2C5B"/>
    <w:rsid w:val="004B5104"/>
    <w:rsid w:val="004B5797"/>
    <w:rsid w:val="004B5B94"/>
    <w:rsid w:val="004B6304"/>
    <w:rsid w:val="004B64B3"/>
    <w:rsid w:val="004B6AF3"/>
    <w:rsid w:val="004C0179"/>
    <w:rsid w:val="004C0CEF"/>
    <w:rsid w:val="004C0D41"/>
    <w:rsid w:val="004C10F1"/>
    <w:rsid w:val="004C3F71"/>
    <w:rsid w:val="004C61F5"/>
    <w:rsid w:val="004D14C1"/>
    <w:rsid w:val="004D2C46"/>
    <w:rsid w:val="004D3578"/>
    <w:rsid w:val="004D4D9F"/>
    <w:rsid w:val="004D6BA6"/>
    <w:rsid w:val="004E13F9"/>
    <w:rsid w:val="004E2983"/>
    <w:rsid w:val="004E2ED7"/>
    <w:rsid w:val="004E3BA4"/>
    <w:rsid w:val="004E4E81"/>
    <w:rsid w:val="004E4E9F"/>
    <w:rsid w:val="004E5FED"/>
    <w:rsid w:val="004E67DB"/>
    <w:rsid w:val="004F1934"/>
    <w:rsid w:val="004F1E84"/>
    <w:rsid w:val="00500925"/>
    <w:rsid w:val="00502C2C"/>
    <w:rsid w:val="005042D1"/>
    <w:rsid w:val="00506098"/>
    <w:rsid w:val="00506161"/>
    <w:rsid w:val="0050659B"/>
    <w:rsid w:val="00506889"/>
    <w:rsid w:val="00510050"/>
    <w:rsid w:val="00512D6B"/>
    <w:rsid w:val="00512FF6"/>
    <w:rsid w:val="00513EBE"/>
    <w:rsid w:val="005153F7"/>
    <w:rsid w:val="0052216B"/>
    <w:rsid w:val="005224C1"/>
    <w:rsid w:val="0052338B"/>
    <w:rsid w:val="00523D4C"/>
    <w:rsid w:val="00524713"/>
    <w:rsid w:val="005275F9"/>
    <w:rsid w:val="00530F68"/>
    <w:rsid w:val="0053153F"/>
    <w:rsid w:val="00532F2D"/>
    <w:rsid w:val="005339D0"/>
    <w:rsid w:val="00534E75"/>
    <w:rsid w:val="00536954"/>
    <w:rsid w:val="005379BC"/>
    <w:rsid w:val="00540606"/>
    <w:rsid w:val="00541870"/>
    <w:rsid w:val="0054297E"/>
    <w:rsid w:val="005436EC"/>
    <w:rsid w:val="005447C5"/>
    <w:rsid w:val="00544A37"/>
    <w:rsid w:val="005455B0"/>
    <w:rsid w:val="005504A7"/>
    <w:rsid w:val="0055263D"/>
    <w:rsid w:val="00552E2B"/>
    <w:rsid w:val="0055303C"/>
    <w:rsid w:val="00553369"/>
    <w:rsid w:val="00553731"/>
    <w:rsid w:val="00554574"/>
    <w:rsid w:val="0055553F"/>
    <w:rsid w:val="0056150F"/>
    <w:rsid w:val="005678E0"/>
    <w:rsid w:val="005729F4"/>
    <w:rsid w:val="00572E82"/>
    <w:rsid w:val="005754C3"/>
    <w:rsid w:val="00575C7F"/>
    <w:rsid w:val="00576F58"/>
    <w:rsid w:val="00576F5E"/>
    <w:rsid w:val="005773B2"/>
    <w:rsid w:val="00577D19"/>
    <w:rsid w:val="0058062A"/>
    <w:rsid w:val="005834AE"/>
    <w:rsid w:val="00585920"/>
    <w:rsid w:val="0058666A"/>
    <w:rsid w:val="00586BEF"/>
    <w:rsid w:val="005875EC"/>
    <w:rsid w:val="00590434"/>
    <w:rsid w:val="00594050"/>
    <w:rsid w:val="0059432A"/>
    <w:rsid w:val="0059452A"/>
    <w:rsid w:val="005956E9"/>
    <w:rsid w:val="005963CF"/>
    <w:rsid w:val="00596E6D"/>
    <w:rsid w:val="005A0ABD"/>
    <w:rsid w:val="005A163F"/>
    <w:rsid w:val="005A2637"/>
    <w:rsid w:val="005A37E5"/>
    <w:rsid w:val="005A4497"/>
    <w:rsid w:val="005A5BBA"/>
    <w:rsid w:val="005A5F08"/>
    <w:rsid w:val="005A60B4"/>
    <w:rsid w:val="005A7A64"/>
    <w:rsid w:val="005B0719"/>
    <w:rsid w:val="005B0E8E"/>
    <w:rsid w:val="005B1FAB"/>
    <w:rsid w:val="005B2E22"/>
    <w:rsid w:val="005B31D7"/>
    <w:rsid w:val="005B485C"/>
    <w:rsid w:val="005B4E77"/>
    <w:rsid w:val="005B5427"/>
    <w:rsid w:val="005B56F7"/>
    <w:rsid w:val="005B5CA8"/>
    <w:rsid w:val="005B680B"/>
    <w:rsid w:val="005B6889"/>
    <w:rsid w:val="005B68FA"/>
    <w:rsid w:val="005B7492"/>
    <w:rsid w:val="005B7E46"/>
    <w:rsid w:val="005C0C18"/>
    <w:rsid w:val="005C0D63"/>
    <w:rsid w:val="005C41F6"/>
    <w:rsid w:val="005C48C1"/>
    <w:rsid w:val="005C7059"/>
    <w:rsid w:val="005D189A"/>
    <w:rsid w:val="005D4DA7"/>
    <w:rsid w:val="005D585C"/>
    <w:rsid w:val="005D6963"/>
    <w:rsid w:val="005D72FA"/>
    <w:rsid w:val="005E3212"/>
    <w:rsid w:val="005E45D8"/>
    <w:rsid w:val="005E4855"/>
    <w:rsid w:val="005E7AEF"/>
    <w:rsid w:val="005F18D4"/>
    <w:rsid w:val="005F2383"/>
    <w:rsid w:val="005F44A0"/>
    <w:rsid w:val="005F48A6"/>
    <w:rsid w:val="005F57A1"/>
    <w:rsid w:val="005F65A1"/>
    <w:rsid w:val="005F7741"/>
    <w:rsid w:val="00600788"/>
    <w:rsid w:val="00600BA3"/>
    <w:rsid w:val="00600D7D"/>
    <w:rsid w:val="00605C5D"/>
    <w:rsid w:val="006106F0"/>
    <w:rsid w:val="006110E7"/>
    <w:rsid w:val="00612DC2"/>
    <w:rsid w:val="006135FD"/>
    <w:rsid w:val="00613A8D"/>
    <w:rsid w:val="006212F9"/>
    <w:rsid w:val="00622494"/>
    <w:rsid w:val="00624A82"/>
    <w:rsid w:val="00626FE0"/>
    <w:rsid w:val="0062747C"/>
    <w:rsid w:val="0062751F"/>
    <w:rsid w:val="0063253B"/>
    <w:rsid w:val="00633136"/>
    <w:rsid w:val="00636E70"/>
    <w:rsid w:val="0064020E"/>
    <w:rsid w:val="006410E2"/>
    <w:rsid w:val="0064160C"/>
    <w:rsid w:val="0064209A"/>
    <w:rsid w:val="006429DE"/>
    <w:rsid w:val="00645BA9"/>
    <w:rsid w:val="00646B73"/>
    <w:rsid w:val="006500E5"/>
    <w:rsid w:val="006501CB"/>
    <w:rsid w:val="00650A3C"/>
    <w:rsid w:val="00651415"/>
    <w:rsid w:val="00651B66"/>
    <w:rsid w:val="00651B79"/>
    <w:rsid w:val="00652695"/>
    <w:rsid w:val="006526F6"/>
    <w:rsid w:val="006529D7"/>
    <w:rsid w:val="00652DCE"/>
    <w:rsid w:val="006545F8"/>
    <w:rsid w:val="00654F8C"/>
    <w:rsid w:val="00656312"/>
    <w:rsid w:val="0066135D"/>
    <w:rsid w:val="00661A5F"/>
    <w:rsid w:val="00663C36"/>
    <w:rsid w:val="00667012"/>
    <w:rsid w:val="00673DDB"/>
    <w:rsid w:val="00675F3B"/>
    <w:rsid w:val="0067671B"/>
    <w:rsid w:val="006768F0"/>
    <w:rsid w:val="00676C10"/>
    <w:rsid w:val="00677078"/>
    <w:rsid w:val="006775B7"/>
    <w:rsid w:val="00677C07"/>
    <w:rsid w:val="006831FB"/>
    <w:rsid w:val="00684F62"/>
    <w:rsid w:val="0068617E"/>
    <w:rsid w:val="00686E01"/>
    <w:rsid w:val="00687107"/>
    <w:rsid w:val="00692610"/>
    <w:rsid w:val="006939E4"/>
    <w:rsid w:val="00693A07"/>
    <w:rsid w:val="00695DE8"/>
    <w:rsid w:val="006978DE"/>
    <w:rsid w:val="00697A40"/>
    <w:rsid w:val="00697F28"/>
    <w:rsid w:val="006A0BD0"/>
    <w:rsid w:val="006A150C"/>
    <w:rsid w:val="006A2F6C"/>
    <w:rsid w:val="006A3BE2"/>
    <w:rsid w:val="006A6601"/>
    <w:rsid w:val="006B0A42"/>
    <w:rsid w:val="006B19DF"/>
    <w:rsid w:val="006B2EA9"/>
    <w:rsid w:val="006B3A13"/>
    <w:rsid w:val="006B3CB5"/>
    <w:rsid w:val="006C0A70"/>
    <w:rsid w:val="006C2008"/>
    <w:rsid w:val="006C2696"/>
    <w:rsid w:val="006C4076"/>
    <w:rsid w:val="006C4193"/>
    <w:rsid w:val="006C61E8"/>
    <w:rsid w:val="006D01AF"/>
    <w:rsid w:val="006D1884"/>
    <w:rsid w:val="006D1E56"/>
    <w:rsid w:val="006D65EC"/>
    <w:rsid w:val="006E074A"/>
    <w:rsid w:val="006E1C67"/>
    <w:rsid w:val="006E26DC"/>
    <w:rsid w:val="006E52B8"/>
    <w:rsid w:val="006E675F"/>
    <w:rsid w:val="006E68CA"/>
    <w:rsid w:val="006F32FB"/>
    <w:rsid w:val="006F3E66"/>
    <w:rsid w:val="00700FD6"/>
    <w:rsid w:val="00705D83"/>
    <w:rsid w:val="007063BA"/>
    <w:rsid w:val="0071201C"/>
    <w:rsid w:val="00712177"/>
    <w:rsid w:val="00713CD7"/>
    <w:rsid w:val="00714847"/>
    <w:rsid w:val="00715ECC"/>
    <w:rsid w:val="00717F9B"/>
    <w:rsid w:val="0072112F"/>
    <w:rsid w:val="007253C3"/>
    <w:rsid w:val="00730047"/>
    <w:rsid w:val="0073009C"/>
    <w:rsid w:val="007316BB"/>
    <w:rsid w:val="00731B6F"/>
    <w:rsid w:val="00731E05"/>
    <w:rsid w:val="00736FB9"/>
    <w:rsid w:val="00737562"/>
    <w:rsid w:val="007424FC"/>
    <w:rsid w:val="00743930"/>
    <w:rsid w:val="007443AD"/>
    <w:rsid w:val="007540ED"/>
    <w:rsid w:val="00754B1D"/>
    <w:rsid w:val="00756671"/>
    <w:rsid w:val="00762254"/>
    <w:rsid w:val="0076333E"/>
    <w:rsid w:val="00764BFF"/>
    <w:rsid w:val="00767284"/>
    <w:rsid w:val="00771B91"/>
    <w:rsid w:val="007737E3"/>
    <w:rsid w:val="007748DA"/>
    <w:rsid w:val="0077685A"/>
    <w:rsid w:val="00776A31"/>
    <w:rsid w:val="0078013F"/>
    <w:rsid w:val="007802A4"/>
    <w:rsid w:val="007824F4"/>
    <w:rsid w:val="0078345F"/>
    <w:rsid w:val="00783AB1"/>
    <w:rsid w:val="00784045"/>
    <w:rsid w:val="00784109"/>
    <w:rsid w:val="00785FC5"/>
    <w:rsid w:val="0078631B"/>
    <w:rsid w:val="00786A1E"/>
    <w:rsid w:val="0078760B"/>
    <w:rsid w:val="00787B55"/>
    <w:rsid w:val="00791A2B"/>
    <w:rsid w:val="00791C07"/>
    <w:rsid w:val="00792EE9"/>
    <w:rsid w:val="00794BD8"/>
    <w:rsid w:val="00795445"/>
    <w:rsid w:val="0079572A"/>
    <w:rsid w:val="00795D79"/>
    <w:rsid w:val="0079732B"/>
    <w:rsid w:val="007A1121"/>
    <w:rsid w:val="007A1122"/>
    <w:rsid w:val="007A15A6"/>
    <w:rsid w:val="007A2531"/>
    <w:rsid w:val="007A278E"/>
    <w:rsid w:val="007A7C0B"/>
    <w:rsid w:val="007B0955"/>
    <w:rsid w:val="007B11F2"/>
    <w:rsid w:val="007B1851"/>
    <w:rsid w:val="007B232E"/>
    <w:rsid w:val="007B358E"/>
    <w:rsid w:val="007B3C38"/>
    <w:rsid w:val="007B5E2F"/>
    <w:rsid w:val="007B6635"/>
    <w:rsid w:val="007C0099"/>
    <w:rsid w:val="007C37DF"/>
    <w:rsid w:val="007C6288"/>
    <w:rsid w:val="007C6507"/>
    <w:rsid w:val="007D05D4"/>
    <w:rsid w:val="007D06A5"/>
    <w:rsid w:val="007D085C"/>
    <w:rsid w:val="007D1100"/>
    <w:rsid w:val="007D2280"/>
    <w:rsid w:val="007D3EF7"/>
    <w:rsid w:val="007D489A"/>
    <w:rsid w:val="007D6B5F"/>
    <w:rsid w:val="007E1111"/>
    <w:rsid w:val="007E1865"/>
    <w:rsid w:val="007E5614"/>
    <w:rsid w:val="007F0754"/>
    <w:rsid w:val="007F3198"/>
    <w:rsid w:val="007F36AF"/>
    <w:rsid w:val="007F515C"/>
    <w:rsid w:val="007F5D81"/>
    <w:rsid w:val="008009B8"/>
    <w:rsid w:val="00800CEA"/>
    <w:rsid w:val="00807AD4"/>
    <w:rsid w:val="008104E0"/>
    <w:rsid w:val="00812DCE"/>
    <w:rsid w:val="0081387C"/>
    <w:rsid w:val="00817296"/>
    <w:rsid w:val="00817512"/>
    <w:rsid w:val="00822194"/>
    <w:rsid w:val="00822D26"/>
    <w:rsid w:val="008245C1"/>
    <w:rsid w:val="008269F5"/>
    <w:rsid w:val="00830105"/>
    <w:rsid w:val="0083053E"/>
    <w:rsid w:val="00830CE8"/>
    <w:rsid w:val="008317F6"/>
    <w:rsid w:val="00831B5E"/>
    <w:rsid w:val="00831F36"/>
    <w:rsid w:val="0083256C"/>
    <w:rsid w:val="0083338E"/>
    <w:rsid w:val="00833A44"/>
    <w:rsid w:val="0083519D"/>
    <w:rsid w:val="008362A6"/>
    <w:rsid w:val="00843016"/>
    <w:rsid w:val="00844420"/>
    <w:rsid w:val="00845A34"/>
    <w:rsid w:val="00846E1E"/>
    <w:rsid w:val="00850445"/>
    <w:rsid w:val="00850C6E"/>
    <w:rsid w:val="008543C2"/>
    <w:rsid w:val="008546D7"/>
    <w:rsid w:val="0085594F"/>
    <w:rsid w:val="0085766D"/>
    <w:rsid w:val="008630EC"/>
    <w:rsid w:val="00864888"/>
    <w:rsid w:val="00866791"/>
    <w:rsid w:val="00866B63"/>
    <w:rsid w:val="00870EAA"/>
    <w:rsid w:val="00874FE0"/>
    <w:rsid w:val="008769D5"/>
    <w:rsid w:val="008824B5"/>
    <w:rsid w:val="00882EE9"/>
    <w:rsid w:val="00883131"/>
    <w:rsid w:val="008834B2"/>
    <w:rsid w:val="00883A3E"/>
    <w:rsid w:val="008848CF"/>
    <w:rsid w:val="00885B2F"/>
    <w:rsid w:val="008866ED"/>
    <w:rsid w:val="008868A5"/>
    <w:rsid w:val="0089080A"/>
    <w:rsid w:val="00890A80"/>
    <w:rsid w:val="008926E5"/>
    <w:rsid w:val="008926F3"/>
    <w:rsid w:val="00892DB3"/>
    <w:rsid w:val="00893533"/>
    <w:rsid w:val="00894FAD"/>
    <w:rsid w:val="008955F6"/>
    <w:rsid w:val="008957C5"/>
    <w:rsid w:val="00896014"/>
    <w:rsid w:val="0089614B"/>
    <w:rsid w:val="00896556"/>
    <w:rsid w:val="00896BE6"/>
    <w:rsid w:val="00896FD6"/>
    <w:rsid w:val="00897BD9"/>
    <w:rsid w:val="008A04D3"/>
    <w:rsid w:val="008A0C76"/>
    <w:rsid w:val="008A4605"/>
    <w:rsid w:val="008A618B"/>
    <w:rsid w:val="008A663F"/>
    <w:rsid w:val="008B05F2"/>
    <w:rsid w:val="008B0636"/>
    <w:rsid w:val="008B1531"/>
    <w:rsid w:val="008B2EE5"/>
    <w:rsid w:val="008B3C82"/>
    <w:rsid w:val="008B41E0"/>
    <w:rsid w:val="008B5C5C"/>
    <w:rsid w:val="008B64C9"/>
    <w:rsid w:val="008C1795"/>
    <w:rsid w:val="008C4597"/>
    <w:rsid w:val="008C4B0D"/>
    <w:rsid w:val="008C7511"/>
    <w:rsid w:val="008C75D3"/>
    <w:rsid w:val="008C79A2"/>
    <w:rsid w:val="008D01F6"/>
    <w:rsid w:val="008D18C7"/>
    <w:rsid w:val="008D1E94"/>
    <w:rsid w:val="008D373A"/>
    <w:rsid w:val="008D4676"/>
    <w:rsid w:val="008D484C"/>
    <w:rsid w:val="008D68A5"/>
    <w:rsid w:val="008D7922"/>
    <w:rsid w:val="008E19F3"/>
    <w:rsid w:val="008E3B44"/>
    <w:rsid w:val="008E58ED"/>
    <w:rsid w:val="008E6712"/>
    <w:rsid w:val="008E6AA0"/>
    <w:rsid w:val="008F0A7A"/>
    <w:rsid w:val="008F2226"/>
    <w:rsid w:val="008F25C5"/>
    <w:rsid w:val="008F4980"/>
    <w:rsid w:val="008F6707"/>
    <w:rsid w:val="008F6AAF"/>
    <w:rsid w:val="008F715C"/>
    <w:rsid w:val="008F7A61"/>
    <w:rsid w:val="00900951"/>
    <w:rsid w:val="00901813"/>
    <w:rsid w:val="00903020"/>
    <w:rsid w:val="00906176"/>
    <w:rsid w:val="0090637E"/>
    <w:rsid w:val="00906E67"/>
    <w:rsid w:val="00911E81"/>
    <w:rsid w:val="009130B7"/>
    <w:rsid w:val="0091310D"/>
    <w:rsid w:val="00914002"/>
    <w:rsid w:val="00915ADA"/>
    <w:rsid w:val="009161BE"/>
    <w:rsid w:val="00917F21"/>
    <w:rsid w:val="009213AE"/>
    <w:rsid w:val="009222C9"/>
    <w:rsid w:val="00922BC9"/>
    <w:rsid w:val="00926825"/>
    <w:rsid w:val="009268FC"/>
    <w:rsid w:val="00926A98"/>
    <w:rsid w:val="00932625"/>
    <w:rsid w:val="00932ACD"/>
    <w:rsid w:val="00933256"/>
    <w:rsid w:val="009340FD"/>
    <w:rsid w:val="00934141"/>
    <w:rsid w:val="009344C2"/>
    <w:rsid w:val="009345C9"/>
    <w:rsid w:val="0093538A"/>
    <w:rsid w:val="00941295"/>
    <w:rsid w:val="009434D0"/>
    <w:rsid w:val="0094705C"/>
    <w:rsid w:val="009514FE"/>
    <w:rsid w:val="00952F66"/>
    <w:rsid w:val="00957B41"/>
    <w:rsid w:val="0096052E"/>
    <w:rsid w:val="00960BB0"/>
    <w:rsid w:val="00961519"/>
    <w:rsid w:val="00962FD2"/>
    <w:rsid w:val="009632AA"/>
    <w:rsid w:val="009644A2"/>
    <w:rsid w:val="00967162"/>
    <w:rsid w:val="009715F0"/>
    <w:rsid w:val="00971DE7"/>
    <w:rsid w:val="00973C62"/>
    <w:rsid w:val="0097419E"/>
    <w:rsid w:val="00974A97"/>
    <w:rsid w:val="00975D13"/>
    <w:rsid w:val="0097696C"/>
    <w:rsid w:val="00977B41"/>
    <w:rsid w:val="00977D76"/>
    <w:rsid w:val="009808FE"/>
    <w:rsid w:val="00982987"/>
    <w:rsid w:val="00985386"/>
    <w:rsid w:val="00990318"/>
    <w:rsid w:val="0099489F"/>
    <w:rsid w:val="00994B64"/>
    <w:rsid w:val="009955B3"/>
    <w:rsid w:val="00996D72"/>
    <w:rsid w:val="009A4D99"/>
    <w:rsid w:val="009A53B7"/>
    <w:rsid w:val="009A544A"/>
    <w:rsid w:val="009A69B1"/>
    <w:rsid w:val="009A6CDB"/>
    <w:rsid w:val="009B0A81"/>
    <w:rsid w:val="009B0CA9"/>
    <w:rsid w:val="009B301F"/>
    <w:rsid w:val="009B52C2"/>
    <w:rsid w:val="009B604B"/>
    <w:rsid w:val="009B6705"/>
    <w:rsid w:val="009C0ECA"/>
    <w:rsid w:val="009C283B"/>
    <w:rsid w:val="009C2B04"/>
    <w:rsid w:val="009C3544"/>
    <w:rsid w:val="009C45BA"/>
    <w:rsid w:val="009D2D28"/>
    <w:rsid w:val="009D4B75"/>
    <w:rsid w:val="009D6924"/>
    <w:rsid w:val="009D7AFB"/>
    <w:rsid w:val="009E055E"/>
    <w:rsid w:val="009E0C76"/>
    <w:rsid w:val="009E22C3"/>
    <w:rsid w:val="009E250D"/>
    <w:rsid w:val="009E2833"/>
    <w:rsid w:val="009E317D"/>
    <w:rsid w:val="009E3B52"/>
    <w:rsid w:val="009E3D89"/>
    <w:rsid w:val="009E5B43"/>
    <w:rsid w:val="009E6B59"/>
    <w:rsid w:val="009F097B"/>
    <w:rsid w:val="009F0DD5"/>
    <w:rsid w:val="009F2CB2"/>
    <w:rsid w:val="009F2CEE"/>
    <w:rsid w:val="009F3A56"/>
    <w:rsid w:val="009F59EE"/>
    <w:rsid w:val="009F5CD5"/>
    <w:rsid w:val="009F66D0"/>
    <w:rsid w:val="00A02D45"/>
    <w:rsid w:val="00A0581C"/>
    <w:rsid w:val="00A069E2"/>
    <w:rsid w:val="00A073C7"/>
    <w:rsid w:val="00A07431"/>
    <w:rsid w:val="00A07A9F"/>
    <w:rsid w:val="00A11B93"/>
    <w:rsid w:val="00A11C90"/>
    <w:rsid w:val="00A12821"/>
    <w:rsid w:val="00A12DE6"/>
    <w:rsid w:val="00A14FC9"/>
    <w:rsid w:val="00A2066F"/>
    <w:rsid w:val="00A21C37"/>
    <w:rsid w:val="00A23C45"/>
    <w:rsid w:val="00A25B10"/>
    <w:rsid w:val="00A26B19"/>
    <w:rsid w:val="00A33653"/>
    <w:rsid w:val="00A36D79"/>
    <w:rsid w:val="00A37A20"/>
    <w:rsid w:val="00A37AD0"/>
    <w:rsid w:val="00A40F40"/>
    <w:rsid w:val="00A4508B"/>
    <w:rsid w:val="00A4618A"/>
    <w:rsid w:val="00A53205"/>
    <w:rsid w:val="00A5429B"/>
    <w:rsid w:val="00A553A9"/>
    <w:rsid w:val="00A61F80"/>
    <w:rsid w:val="00A62566"/>
    <w:rsid w:val="00A62CCA"/>
    <w:rsid w:val="00A641DB"/>
    <w:rsid w:val="00A64553"/>
    <w:rsid w:val="00A6536F"/>
    <w:rsid w:val="00A65B9D"/>
    <w:rsid w:val="00A70932"/>
    <w:rsid w:val="00A719A5"/>
    <w:rsid w:val="00A72732"/>
    <w:rsid w:val="00A72A74"/>
    <w:rsid w:val="00A72F83"/>
    <w:rsid w:val="00A7372B"/>
    <w:rsid w:val="00A74A1E"/>
    <w:rsid w:val="00A7509B"/>
    <w:rsid w:val="00A7796E"/>
    <w:rsid w:val="00A77F44"/>
    <w:rsid w:val="00A803EF"/>
    <w:rsid w:val="00A83C11"/>
    <w:rsid w:val="00A86656"/>
    <w:rsid w:val="00A87B14"/>
    <w:rsid w:val="00A93638"/>
    <w:rsid w:val="00A95DA9"/>
    <w:rsid w:val="00A97D07"/>
    <w:rsid w:val="00AA0737"/>
    <w:rsid w:val="00AA218A"/>
    <w:rsid w:val="00AA48E7"/>
    <w:rsid w:val="00AB0673"/>
    <w:rsid w:val="00AB3D30"/>
    <w:rsid w:val="00AB4794"/>
    <w:rsid w:val="00AB4842"/>
    <w:rsid w:val="00AB7BAF"/>
    <w:rsid w:val="00AB7CCF"/>
    <w:rsid w:val="00AC2D2E"/>
    <w:rsid w:val="00AC614D"/>
    <w:rsid w:val="00AC7F1C"/>
    <w:rsid w:val="00AD0F3F"/>
    <w:rsid w:val="00AD3A41"/>
    <w:rsid w:val="00AD4EA3"/>
    <w:rsid w:val="00AD7FC9"/>
    <w:rsid w:val="00AE05ED"/>
    <w:rsid w:val="00AE44CB"/>
    <w:rsid w:val="00AE55D4"/>
    <w:rsid w:val="00AE72D7"/>
    <w:rsid w:val="00AF05BB"/>
    <w:rsid w:val="00AF1038"/>
    <w:rsid w:val="00AF113B"/>
    <w:rsid w:val="00AF2633"/>
    <w:rsid w:val="00AF74AF"/>
    <w:rsid w:val="00B01F39"/>
    <w:rsid w:val="00B037AF"/>
    <w:rsid w:val="00B05862"/>
    <w:rsid w:val="00B05A4B"/>
    <w:rsid w:val="00B06DED"/>
    <w:rsid w:val="00B07D3B"/>
    <w:rsid w:val="00B11974"/>
    <w:rsid w:val="00B1264B"/>
    <w:rsid w:val="00B12CF8"/>
    <w:rsid w:val="00B15519"/>
    <w:rsid w:val="00B15922"/>
    <w:rsid w:val="00B2198E"/>
    <w:rsid w:val="00B244B9"/>
    <w:rsid w:val="00B24985"/>
    <w:rsid w:val="00B27178"/>
    <w:rsid w:val="00B277DA"/>
    <w:rsid w:val="00B30A9E"/>
    <w:rsid w:val="00B3265A"/>
    <w:rsid w:val="00B32817"/>
    <w:rsid w:val="00B33E8E"/>
    <w:rsid w:val="00B346ED"/>
    <w:rsid w:val="00B36901"/>
    <w:rsid w:val="00B37876"/>
    <w:rsid w:val="00B37F41"/>
    <w:rsid w:val="00B420F4"/>
    <w:rsid w:val="00B4245F"/>
    <w:rsid w:val="00B43ABC"/>
    <w:rsid w:val="00B4468E"/>
    <w:rsid w:val="00B470FB"/>
    <w:rsid w:val="00B479EB"/>
    <w:rsid w:val="00B507D2"/>
    <w:rsid w:val="00B51125"/>
    <w:rsid w:val="00B52CDF"/>
    <w:rsid w:val="00B65A3B"/>
    <w:rsid w:val="00B66DE0"/>
    <w:rsid w:val="00B72652"/>
    <w:rsid w:val="00B8133C"/>
    <w:rsid w:val="00B815A3"/>
    <w:rsid w:val="00B85C55"/>
    <w:rsid w:val="00B85CBF"/>
    <w:rsid w:val="00B90B23"/>
    <w:rsid w:val="00B91CEE"/>
    <w:rsid w:val="00B944D1"/>
    <w:rsid w:val="00B94777"/>
    <w:rsid w:val="00B9592E"/>
    <w:rsid w:val="00B95BB2"/>
    <w:rsid w:val="00B95EBA"/>
    <w:rsid w:val="00B96E03"/>
    <w:rsid w:val="00B97985"/>
    <w:rsid w:val="00BA0BC1"/>
    <w:rsid w:val="00BA1D82"/>
    <w:rsid w:val="00BA1FA3"/>
    <w:rsid w:val="00BA23D8"/>
    <w:rsid w:val="00BA27DA"/>
    <w:rsid w:val="00BA2A8A"/>
    <w:rsid w:val="00BA4230"/>
    <w:rsid w:val="00BA45FD"/>
    <w:rsid w:val="00BA4B6A"/>
    <w:rsid w:val="00BA5B9C"/>
    <w:rsid w:val="00BA7722"/>
    <w:rsid w:val="00BB4512"/>
    <w:rsid w:val="00BB4D49"/>
    <w:rsid w:val="00BB51F4"/>
    <w:rsid w:val="00BB56EB"/>
    <w:rsid w:val="00BB58F0"/>
    <w:rsid w:val="00BB6439"/>
    <w:rsid w:val="00BB675F"/>
    <w:rsid w:val="00BC133F"/>
    <w:rsid w:val="00BC1530"/>
    <w:rsid w:val="00BC1D75"/>
    <w:rsid w:val="00BC1D83"/>
    <w:rsid w:val="00BD05E4"/>
    <w:rsid w:val="00BD0936"/>
    <w:rsid w:val="00BD11E2"/>
    <w:rsid w:val="00BD17B0"/>
    <w:rsid w:val="00BD3267"/>
    <w:rsid w:val="00BD3715"/>
    <w:rsid w:val="00BD4630"/>
    <w:rsid w:val="00BD4EBD"/>
    <w:rsid w:val="00BD59F0"/>
    <w:rsid w:val="00BD5A47"/>
    <w:rsid w:val="00BD6E76"/>
    <w:rsid w:val="00BD702E"/>
    <w:rsid w:val="00BE07F9"/>
    <w:rsid w:val="00BE6717"/>
    <w:rsid w:val="00BF1148"/>
    <w:rsid w:val="00BF1811"/>
    <w:rsid w:val="00BF18AC"/>
    <w:rsid w:val="00BF36AE"/>
    <w:rsid w:val="00BF4092"/>
    <w:rsid w:val="00BF44F1"/>
    <w:rsid w:val="00BF4CD9"/>
    <w:rsid w:val="00BF688B"/>
    <w:rsid w:val="00C00EEF"/>
    <w:rsid w:val="00C02E39"/>
    <w:rsid w:val="00C0301A"/>
    <w:rsid w:val="00C04F1A"/>
    <w:rsid w:val="00C05CCC"/>
    <w:rsid w:val="00C07088"/>
    <w:rsid w:val="00C07D5F"/>
    <w:rsid w:val="00C07F35"/>
    <w:rsid w:val="00C15993"/>
    <w:rsid w:val="00C17C49"/>
    <w:rsid w:val="00C21F84"/>
    <w:rsid w:val="00C22B1C"/>
    <w:rsid w:val="00C23E32"/>
    <w:rsid w:val="00C24B73"/>
    <w:rsid w:val="00C2555B"/>
    <w:rsid w:val="00C26D3E"/>
    <w:rsid w:val="00C30EA3"/>
    <w:rsid w:val="00C31E67"/>
    <w:rsid w:val="00C325BB"/>
    <w:rsid w:val="00C33A4A"/>
    <w:rsid w:val="00C36E55"/>
    <w:rsid w:val="00C4086A"/>
    <w:rsid w:val="00C42CA5"/>
    <w:rsid w:val="00C42FAF"/>
    <w:rsid w:val="00C456DD"/>
    <w:rsid w:val="00C47E7D"/>
    <w:rsid w:val="00C52DA0"/>
    <w:rsid w:val="00C53031"/>
    <w:rsid w:val="00C568D7"/>
    <w:rsid w:val="00C56AD1"/>
    <w:rsid w:val="00C60BBC"/>
    <w:rsid w:val="00C6365D"/>
    <w:rsid w:val="00C636BC"/>
    <w:rsid w:val="00C6644B"/>
    <w:rsid w:val="00C668FF"/>
    <w:rsid w:val="00C67861"/>
    <w:rsid w:val="00C70A05"/>
    <w:rsid w:val="00C726D8"/>
    <w:rsid w:val="00C7532A"/>
    <w:rsid w:val="00C7663D"/>
    <w:rsid w:val="00C779DC"/>
    <w:rsid w:val="00C80ADA"/>
    <w:rsid w:val="00C81DF4"/>
    <w:rsid w:val="00C83132"/>
    <w:rsid w:val="00C864DC"/>
    <w:rsid w:val="00C908E5"/>
    <w:rsid w:val="00C9118F"/>
    <w:rsid w:val="00C9156E"/>
    <w:rsid w:val="00C947C0"/>
    <w:rsid w:val="00C947CE"/>
    <w:rsid w:val="00C95072"/>
    <w:rsid w:val="00C95F04"/>
    <w:rsid w:val="00C97E6F"/>
    <w:rsid w:val="00CA079E"/>
    <w:rsid w:val="00CA135D"/>
    <w:rsid w:val="00CA1722"/>
    <w:rsid w:val="00CA1806"/>
    <w:rsid w:val="00CA22D8"/>
    <w:rsid w:val="00CA5872"/>
    <w:rsid w:val="00CA78F9"/>
    <w:rsid w:val="00CA7CAF"/>
    <w:rsid w:val="00CB0499"/>
    <w:rsid w:val="00CB06F8"/>
    <w:rsid w:val="00CB08B5"/>
    <w:rsid w:val="00CB18B1"/>
    <w:rsid w:val="00CB2736"/>
    <w:rsid w:val="00CB38CA"/>
    <w:rsid w:val="00CB5712"/>
    <w:rsid w:val="00CB6969"/>
    <w:rsid w:val="00CB6F2B"/>
    <w:rsid w:val="00CB7254"/>
    <w:rsid w:val="00CC0CB0"/>
    <w:rsid w:val="00CC1067"/>
    <w:rsid w:val="00CC3D3D"/>
    <w:rsid w:val="00CC3DF9"/>
    <w:rsid w:val="00CC65C5"/>
    <w:rsid w:val="00CC73AB"/>
    <w:rsid w:val="00CD0325"/>
    <w:rsid w:val="00CD12BC"/>
    <w:rsid w:val="00CD32FA"/>
    <w:rsid w:val="00CD3324"/>
    <w:rsid w:val="00CD46EA"/>
    <w:rsid w:val="00CD4A18"/>
    <w:rsid w:val="00CD575C"/>
    <w:rsid w:val="00CD6257"/>
    <w:rsid w:val="00CD6E1E"/>
    <w:rsid w:val="00CD7A9C"/>
    <w:rsid w:val="00CE0770"/>
    <w:rsid w:val="00CE0BEA"/>
    <w:rsid w:val="00CE1E44"/>
    <w:rsid w:val="00CE37D5"/>
    <w:rsid w:val="00CE5086"/>
    <w:rsid w:val="00CE6C6E"/>
    <w:rsid w:val="00CE76FD"/>
    <w:rsid w:val="00CE7991"/>
    <w:rsid w:val="00CF177F"/>
    <w:rsid w:val="00CF2033"/>
    <w:rsid w:val="00CF5DF2"/>
    <w:rsid w:val="00CF6C98"/>
    <w:rsid w:val="00D0061B"/>
    <w:rsid w:val="00D012CF"/>
    <w:rsid w:val="00D016C3"/>
    <w:rsid w:val="00D01832"/>
    <w:rsid w:val="00D01DC0"/>
    <w:rsid w:val="00D02C28"/>
    <w:rsid w:val="00D02E81"/>
    <w:rsid w:val="00D0526B"/>
    <w:rsid w:val="00D07AA2"/>
    <w:rsid w:val="00D1081A"/>
    <w:rsid w:val="00D15569"/>
    <w:rsid w:val="00D15619"/>
    <w:rsid w:val="00D15A44"/>
    <w:rsid w:val="00D160DE"/>
    <w:rsid w:val="00D21C96"/>
    <w:rsid w:val="00D30074"/>
    <w:rsid w:val="00D30854"/>
    <w:rsid w:val="00D31127"/>
    <w:rsid w:val="00D320FC"/>
    <w:rsid w:val="00D333B4"/>
    <w:rsid w:val="00D3359F"/>
    <w:rsid w:val="00D35FF4"/>
    <w:rsid w:val="00D40C89"/>
    <w:rsid w:val="00D41337"/>
    <w:rsid w:val="00D422E9"/>
    <w:rsid w:val="00D47B55"/>
    <w:rsid w:val="00D47B8A"/>
    <w:rsid w:val="00D50703"/>
    <w:rsid w:val="00D531E4"/>
    <w:rsid w:val="00D53C47"/>
    <w:rsid w:val="00D53E59"/>
    <w:rsid w:val="00D55534"/>
    <w:rsid w:val="00D558AA"/>
    <w:rsid w:val="00D60057"/>
    <w:rsid w:val="00D60444"/>
    <w:rsid w:val="00D605B1"/>
    <w:rsid w:val="00D60D98"/>
    <w:rsid w:val="00D6181D"/>
    <w:rsid w:val="00D61D5F"/>
    <w:rsid w:val="00D61FAA"/>
    <w:rsid w:val="00D62038"/>
    <w:rsid w:val="00D628D2"/>
    <w:rsid w:val="00D62FEC"/>
    <w:rsid w:val="00D639EE"/>
    <w:rsid w:val="00D65C4E"/>
    <w:rsid w:val="00D6662D"/>
    <w:rsid w:val="00D67EA6"/>
    <w:rsid w:val="00D71C06"/>
    <w:rsid w:val="00D71EA0"/>
    <w:rsid w:val="00D72152"/>
    <w:rsid w:val="00D72157"/>
    <w:rsid w:val="00D721F1"/>
    <w:rsid w:val="00D73F33"/>
    <w:rsid w:val="00D74A93"/>
    <w:rsid w:val="00D76337"/>
    <w:rsid w:val="00D77A56"/>
    <w:rsid w:val="00D80B6D"/>
    <w:rsid w:val="00D80C55"/>
    <w:rsid w:val="00D80F78"/>
    <w:rsid w:val="00D8120C"/>
    <w:rsid w:val="00D84488"/>
    <w:rsid w:val="00D844C8"/>
    <w:rsid w:val="00D84B7D"/>
    <w:rsid w:val="00D84F78"/>
    <w:rsid w:val="00D8513A"/>
    <w:rsid w:val="00D85BBB"/>
    <w:rsid w:val="00D85FB4"/>
    <w:rsid w:val="00D879CA"/>
    <w:rsid w:val="00D906BE"/>
    <w:rsid w:val="00D942A9"/>
    <w:rsid w:val="00D943AD"/>
    <w:rsid w:val="00D94687"/>
    <w:rsid w:val="00D9690A"/>
    <w:rsid w:val="00DA2C91"/>
    <w:rsid w:val="00DA5316"/>
    <w:rsid w:val="00DA7B87"/>
    <w:rsid w:val="00DB022D"/>
    <w:rsid w:val="00DB0343"/>
    <w:rsid w:val="00DB342A"/>
    <w:rsid w:val="00DB3E19"/>
    <w:rsid w:val="00DB63D9"/>
    <w:rsid w:val="00DB6CA5"/>
    <w:rsid w:val="00DB7121"/>
    <w:rsid w:val="00DB7E77"/>
    <w:rsid w:val="00DC0BD6"/>
    <w:rsid w:val="00DC0F17"/>
    <w:rsid w:val="00DC30D0"/>
    <w:rsid w:val="00DC37CE"/>
    <w:rsid w:val="00DC422E"/>
    <w:rsid w:val="00DC72C4"/>
    <w:rsid w:val="00DD0B4E"/>
    <w:rsid w:val="00DD1F5E"/>
    <w:rsid w:val="00DD2DD1"/>
    <w:rsid w:val="00DD4803"/>
    <w:rsid w:val="00DD639C"/>
    <w:rsid w:val="00DD67DA"/>
    <w:rsid w:val="00DD7940"/>
    <w:rsid w:val="00DE1840"/>
    <w:rsid w:val="00DE1B89"/>
    <w:rsid w:val="00DE476A"/>
    <w:rsid w:val="00DE5007"/>
    <w:rsid w:val="00DE59C6"/>
    <w:rsid w:val="00DF0EB2"/>
    <w:rsid w:val="00DF26B9"/>
    <w:rsid w:val="00DF2E5A"/>
    <w:rsid w:val="00DF3A69"/>
    <w:rsid w:val="00DF4305"/>
    <w:rsid w:val="00DF4D81"/>
    <w:rsid w:val="00DF658B"/>
    <w:rsid w:val="00E00DC6"/>
    <w:rsid w:val="00E04B02"/>
    <w:rsid w:val="00E058A3"/>
    <w:rsid w:val="00E05E9B"/>
    <w:rsid w:val="00E07417"/>
    <w:rsid w:val="00E10ABF"/>
    <w:rsid w:val="00E130CB"/>
    <w:rsid w:val="00E151F3"/>
    <w:rsid w:val="00E1723B"/>
    <w:rsid w:val="00E17539"/>
    <w:rsid w:val="00E23A7D"/>
    <w:rsid w:val="00E244E6"/>
    <w:rsid w:val="00E26488"/>
    <w:rsid w:val="00E2695D"/>
    <w:rsid w:val="00E27028"/>
    <w:rsid w:val="00E32995"/>
    <w:rsid w:val="00E32C50"/>
    <w:rsid w:val="00E3404F"/>
    <w:rsid w:val="00E414AB"/>
    <w:rsid w:val="00E41A6D"/>
    <w:rsid w:val="00E41E9C"/>
    <w:rsid w:val="00E423C3"/>
    <w:rsid w:val="00E4323F"/>
    <w:rsid w:val="00E4469C"/>
    <w:rsid w:val="00E450AB"/>
    <w:rsid w:val="00E47059"/>
    <w:rsid w:val="00E5280E"/>
    <w:rsid w:val="00E52CEE"/>
    <w:rsid w:val="00E53A7F"/>
    <w:rsid w:val="00E54A8E"/>
    <w:rsid w:val="00E563FC"/>
    <w:rsid w:val="00E569BC"/>
    <w:rsid w:val="00E57F9B"/>
    <w:rsid w:val="00E60634"/>
    <w:rsid w:val="00E607C0"/>
    <w:rsid w:val="00E61348"/>
    <w:rsid w:val="00E6211E"/>
    <w:rsid w:val="00E6319B"/>
    <w:rsid w:val="00E6550B"/>
    <w:rsid w:val="00E65551"/>
    <w:rsid w:val="00E6726D"/>
    <w:rsid w:val="00E70FBC"/>
    <w:rsid w:val="00E74000"/>
    <w:rsid w:val="00E7623C"/>
    <w:rsid w:val="00E773C0"/>
    <w:rsid w:val="00E80764"/>
    <w:rsid w:val="00E80FCB"/>
    <w:rsid w:val="00E81433"/>
    <w:rsid w:val="00E81C95"/>
    <w:rsid w:val="00E845C0"/>
    <w:rsid w:val="00E852A3"/>
    <w:rsid w:val="00E86628"/>
    <w:rsid w:val="00E914B7"/>
    <w:rsid w:val="00E92775"/>
    <w:rsid w:val="00E93103"/>
    <w:rsid w:val="00EA0295"/>
    <w:rsid w:val="00EA0314"/>
    <w:rsid w:val="00EA0C1C"/>
    <w:rsid w:val="00EA477A"/>
    <w:rsid w:val="00EA5CA0"/>
    <w:rsid w:val="00EA5D92"/>
    <w:rsid w:val="00EB083E"/>
    <w:rsid w:val="00EB307B"/>
    <w:rsid w:val="00EB5354"/>
    <w:rsid w:val="00EB7780"/>
    <w:rsid w:val="00EC2DC7"/>
    <w:rsid w:val="00EC3779"/>
    <w:rsid w:val="00EC65E8"/>
    <w:rsid w:val="00EC71DE"/>
    <w:rsid w:val="00EC7F0E"/>
    <w:rsid w:val="00ED21C7"/>
    <w:rsid w:val="00ED2D1F"/>
    <w:rsid w:val="00ED58E9"/>
    <w:rsid w:val="00ED700E"/>
    <w:rsid w:val="00ED79D6"/>
    <w:rsid w:val="00EE1831"/>
    <w:rsid w:val="00EE3DAD"/>
    <w:rsid w:val="00EF2177"/>
    <w:rsid w:val="00EF2F7C"/>
    <w:rsid w:val="00EF3FC0"/>
    <w:rsid w:val="00EF42FC"/>
    <w:rsid w:val="00EF61B5"/>
    <w:rsid w:val="00F009B3"/>
    <w:rsid w:val="00F00A40"/>
    <w:rsid w:val="00F00A6E"/>
    <w:rsid w:val="00F05773"/>
    <w:rsid w:val="00F0773E"/>
    <w:rsid w:val="00F115D1"/>
    <w:rsid w:val="00F12CED"/>
    <w:rsid w:val="00F12DCE"/>
    <w:rsid w:val="00F13496"/>
    <w:rsid w:val="00F13B2F"/>
    <w:rsid w:val="00F14346"/>
    <w:rsid w:val="00F14982"/>
    <w:rsid w:val="00F163E9"/>
    <w:rsid w:val="00F22A26"/>
    <w:rsid w:val="00F23C0F"/>
    <w:rsid w:val="00F2598D"/>
    <w:rsid w:val="00F26166"/>
    <w:rsid w:val="00F26D3E"/>
    <w:rsid w:val="00F2720A"/>
    <w:rsid w:val="00F32739"/>
    <w:rsid w:val="00F32845"/>
    <w:rsid w:val="00F336A2"/>
    <w:rsid w:val="00F34643"/>
    <w:rsid w:val="00F36BA0"/>
    <w:rsid w:val="00F411C5"/>
    <w:rsid w:val="00F437AA"/>
    <w:rsid w:val="00F44AEB"/>
    <w:rsid w:val="00F45620"/>
    <w:rsid w:val="00F5304D"/>
    <w:rsid w:val="00F532E2"/>
    <w:rsid w:val="00F5470D"/>
    <w:rsid w:val="00F555FB"/>
    <w:rsid w:val="00F5638B"/>
    <w:rsid w:val="00F56493"/>
    <w:rsid w:val="00F60301"/>
    <w:rsid w:val="00F628BC"/>
    <w:rsid w:val="00F628FC"/>
    <w:rsid w:val="00F7033F"/>
    <w:rsid w:val="00F70DD4"/>
    <w:rsid w:val="00F7277F"/>
    <w:rsid w:val="00F72E32"/>
    <w:rsid w:val="00F73B85"/>
    <w:rsid w:val="00F747EC"/>
    <w:rsid w:val="00F76218"/>
    <w:rsid w:val="00F829B7"/>
    <w:rsid w:val="00F82DF0"/>
    <w:rsid w:val="00F84A4F"/>
    <w:rsid w:val="00F84ACE"/>
    <w:rsid w:val="00F8617B"/>
    <w:rsid w:val="00F863D7"/>
    <w:rsid w:val="00F9173C"/>
    <w:rsid w:val="00F94474"/>
    <w:rsid w:val="00F975AD"/>
    <w:rsid w:val="00FA05C2"/>
    <w:rsid w:val="00FA2D1E"/>
    <w:rsid w:val="00FA35EB"/>
    <w:rsid w:val="00FA6EE9"/>
    <w:rsid w:val="00FB18D0"/>
    <w:rsid w:val="00FB2241"/>
    <w:rsid w:val="00FB2315"/>
    <w:rsid w:val="00FB2ED6"/>
    <w:rsid w:val="00FB3591"/>
    <w:rsid w:val="00FB412B"/>
    <w:rsid w:val="00FB42E5"/>
    <w:rsid w:val="00FB58C3"/>
    <w:rsid w:val="00FB59EE"/>
    <w:rsid w:val="00FB5D32"/>
    <w:rsid w:val="00FB6B8F"/>
    <w:rsid w:val="00FC146F"/>
    <w:rsid w:val="00FC2522"/>
    <w:rsid w:val="00FC3C77"/>
    <w:rsid w:val="00FC5B56"/>
    <w:rsid w:val="00FD181C"/>
    <w:rsid w:val="00FD4B12"/>
    <w:rsid w:val="00FD5009"/>
    <w:rsid w:val="00FD55C9"/>
    <w:rsid w:val="00FD62DC"/>
    <w:rsid w:val="00FD64DF"/>
    <w:rsid w:val="00FD65D3"/>
    <w:rsid w:val="00FD6A70"/>
    <w:rsid w:val="00FE06B1"/>
    <w:rsid w:val="00FE1D87"/>
    <w:rsid w:val="00FE1EC8"/>
    <w:rsid w:val="00FE3560"/>
    <w:rsid w:val="00FE3E09"/>
    <w:rsid w:val="00FE4FBF"/>
    <w:rsid w:val="00FE6961"/>
    <w:rsid w:val="00FE78CB"/>
    <w:rsid w:val="00FF1E5A"/>
    <w:rsid w:val="00FF6AA1"/>
    <w:rsid w:val="00FF6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33993B"/>
  <w15:docId w15:val="{19EBBF94-DEBD-48A3-A240-2A3F6A43F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rPr>
      <w:rFonts w:ascii="F015TEELig" w:eastAsia="F015TEELig" w:hAnsi="F015TEELig" w:cs="F015TEELig"/>
      <w:lang w:val="cs-CZ" w:eastAsia="cs-CZ" w:bidi="cs-CZ"/>
    </w:rPr>
  </w:style>
  <w:style w:type="paragraph" w:styleId="Nadpis1">
    <w:name w:val="heading 1"/>
    <w:basedOn w:val="Normln"/>
    <w:uiPriority w:val="1"/>
    <w:qFormat/>
    <w:pPr>
      <w:ind w:left="130"/>
      <w:outlineLvl w:val="0"/>
    </w:pPr>
    <w:rPr>
      <w:sz w:val="32"/>
      <w:szCs w:val="32"/>
    </w:rPr>
  </w:style>
  <w:style w:type="paragraph" w:styleId="Nadpis2">
    <w:name w:val="heading 2"/>
    <w:basedOn w:val="Normln"/>
    <w:uiPriority w:val="1"/>
    <w:qFormat/>
    <w:pPr>
      <w:spacing w:before="97"/>
      <w:ind w:left="2851"/>
      <w:outlineLvl w:val="1"/>
    </w:pPr>
    <w:rPr>
      <w:rFonts w:ascii="F015TEEMed" w:eastAsia="F015TEEMed" w:hAnsi="F015TEEMed" w:cs="F015TEEMed"/>
      <w:sz w:val="28"/>
      <w:szCs w:val="28"/>
    </w:rPr>
  </w:style>
  <w:style w:type="paragraph" w:styleId="Nadpis3">
    <w:name w:val="heading 3"/>
    <w:basedOn w:val="Normln"/>
    <w:uiPriority w:val="1"/>
    <w:qFormat/>
    <w:pPr>
      <w:ind w:left="161"/>
      <w:jc w:val="center"/>
      <w:outlineLvl w:val="2"/>
    </w:pPr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link w:val="ZkladntextChar"/>
    <w:uiPriority w:val="1"/>
    <w:qFormat/>
  </w:style>
  <w:style w:type="paragraph" w:styleId="Odstavecseseznamem">
    <w:name w:val="List Paragraph"/>
    <w:basedOn w:val="Normln"/>
    <w:uiPriority w:val="1"/>
    <w:qFormat/>
    <w:pPr>
      <w:ind w:left="341" w:right="38" w:hanging="211"/>
    </w:pPr>
  </w:style>
  <w:style w:type="paragraph" w:customStyle="1" w:styleId="TableParagraph">
    <w:name w:val="Table Paragraph"/>
    <w:basedOn w:val="Normln"/>
    <w:uiPriority w:val="1"/>
    <w:qFormat/>
    <w:pPr>
      <w:spacing w:before="8" w:line="178" w:lineRule="exact"/>
      <w:ind w:left="56"/>
      <w:jc w:val="center"/>
    </w:pPr>
  </w:style>
  <w:style w:type="paragraph" w:styleId="Normlnweb">
    <w:name w:val="Normal (Web)"/>
    <w:basedOn w:val="Normln"/>
    <w:uiPriority w:val="99"/>
    <w:unhideWhenUsed/>
    <w:rsid w:val="009E317D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bidi="ar-SA"/>
    </w:rPr>
  </w:style>
  <w:style w:type="paragraph" w:styleId="Zhlav">
    <w:name w:val="header"/>
    <w:basedOn w:val="Normln"/>
    <w:link w:val="ZhlavChar"/>
    <w:uiPriority w:val="99"/>
    <w:unhideWhenUsed/>
    <w:rsid w:val="00B65A3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65A3B"/>
    <w:rPr>
      <w:rFonts w:ascii="F015TEELig" w:eastAsia="F015TEELig" w:hAnsi="F015TEELig" w:cs="F015TEELig"/>
      <w:lang w:val="cs-CZ" w:eastAsia="cs-CZ" w:bidi="cs-CZ"/>
    </w:rPr>
  </w:style>
  <w:style w:type="paragraph" w:styleId="Zpat">
    <w:name w:val="footer"/>
    <w:basedOn w:val="Normln"/>
    <w:link w:val="ZpatChar"/>
    <w:uiPriority w:val="99"/>
    <w:unhideWhenUsed/>
    <w:rsid w:val="00B65A3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B65A3B"/>
    <w:rPr>
      <w:rFonts w:ascii="F015TEELig" w:eastAsia="F015TEELig" w:hAnsi="F015TEELig" w:cs="F015TEELig"/>
      <w:lang w:val="cs-CZ" w:eastAsia="cs-CZ" w:bidi="cs-CZ"/>
    </w:rPr>
  </w:style>
  <w:style w:type="character" w:styleId="Hypertextovodkaz">
    <w:name w:val="Hyperlink"/>
    <w:basedOn w:val="Standardnpsmoodstavce"/>
    <w:uiPriority w:val="99"/>
    <w:unhideWhenUsed/>
    <w:rsid w:val="000374D7"/>
    <w:rPr>
      <w:color w:val="0000FF" w:themeColor="hyperlink"/>
      <w:u w:val="single"/>
    </w:rPr>
  </w:style>
  <w:style w:type="paragraph" w:styleId="Bezmezer">
    <w:name w:val="No Spacing"/>
    <w:link w:val="BezmezerChar"/>
    <w:uiPriority w:val="1"/>
    <w:qFormat/>
    <w:rsid w:val="00D80B6D"/>
    <w:pPr>
      <w:widowControl/>
      <w:autoSpaceDE/>
      <w:autoSpaceDN/>
    </w:pPr>
    <w:rPr>
      <w:rFonts w:eastAsiaTheme="minorEastAsia"/>
      <w:lang w:val="cs-CZ"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D80B6D"/>
    <w:rPr>
      <w:rFonts w:eastAsiaTheme="minorEastAsia"/>
      <w:lang w:val="cs-CZ" w:eastAsia="cs-CZ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D80B6D"/>
    <w:rPr>
      <w:rFonts w:ascii="F015TEELig" w:eastAsia="F015TEELig" w:hAnsi="F015TEELig" w:cs="F015TEELig"/>
      <w:lang w:val="cs-CZ" w:eastAsia="cs-CZ" w:bidi="cs-CZ"/>
    </w:rPr>
  </w:style>
  <w:style w:type="character" w:customStyle="1" w:styleId="dn">
    <w:name w:val="Žádný"/>
    <w:rsid w:val="00D80B6D"/>
    <w:rPr>
      <w:lang w:val="de-DE"/>
    </w:rPr>
  </w:style>
  <w:style w:type="character" w:styleId="Odkaznakoment">
    <w:name w:val="annotation reference"/>
    <w:basedOn w:val="Standardnpsmoodstavce"/>
    <w:uiPriority w:val="99"/>
    <w:semiHidden/>
    <w:unhideWhenUsed/>
    <w:rsid w:val="0009776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9776B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9776B"/>
    <w:rPr>
      <w:rFonts w:ascii="F015TEELig" w:eastAsia="F015TEELig" w:hAnsi="F015TEELig" w:cs="F015TEELig"/>
      <w:sz w:val="20"/>
      <w:szCs w:val="20"/>
      <w:lang w:val="cs-CZ" w:eastAsia="cs-CZ" w:bidi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9776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9776B"/>
    <w:rPr>
      <w:rFonts w:ascii="F015TEELig" w:eastAsia="F015TEELig" w:hAnsi="F015TEELig" w:cs="F015TEELig"/>
      <w:b/>
      <w:bCs/>
      <w:sz w:val="20"/>
      <w:szCs w:val="20"/>
      <w:lang w:val="cs-CZ" w:eastAsia="cs-CZ" w:bidi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9776B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9776B"/>
    <w:rPr>
      <w:rFonts w:ascii="Segoe UI" w:eastAsia="F015TEELig" w:hAnsi="Segoe UI" w:cs="Segoe UI"/>
      <w:sz w:val="18"/>
      <w:szCs w:val="18"/>
      <w:lang w:val="cs-CZ" w:eastAsia="cs-CZ" w:bidi="cs-CZ"/>
    </w:rPr>
  </w:style>
  <w:style w:type="character" w:styleId="Zdraznn">
    <w:name w:val="Emphasis"/>
    <w:basedOn w:val="Standardnpsmoodstavce"/>
    <w:uiPriority w:val="20"/>
    <w:qFormat/>
    <w:rsid w:val="00E563FC"/>
    <w:rPr>
      <w:i/>
      <w:iCs/>
    </w:rPr>
  </w:style>
  <w:style w:type="character" w:styleId="Siln">
    <w:name w:val="Strong"/>
    <w:basedOn w:val="Standardnpsmoodstavce"/>
    <w:uiPriority w:val="22"/>
    <w:qFormat/>
    <w:rsid w:val="00A553A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6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3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71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296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944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500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810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52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8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5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7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8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0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6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6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6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8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2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0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24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86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835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467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9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441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371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728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6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6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6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1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9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2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0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0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79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232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08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42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342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9849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357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1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0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0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9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0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1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5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7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8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8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66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facebook.com/Broker.Consulting/" TargetMode="External"/><Relationship Id="rId18" Type="http://schemas.openxmlformats.org/officeDocument/2006/relationships/footer" Target="footer1.xml"/><Relationship Id="rId26" Type="http://schemas.openxmlformats.org/officeDocument/2006/relationships/hyperlink" Target="https://www.bcas.cz/o-nas/broker-consulting-index-hypotecnich-uveru/" TargetMode="Externa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://www.realityspolu.cz" TargetMode="External"/><Relationship Id="rId17" Type="http://schemas.openxmlformats.org/officeDocument/2006/relationships/header" Target="header1.xml"/><Relationship Id="rId25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hyperlink" Target="https://www.linkedin.com/company/10668151/" TargetMode="External"/><Relationship Id="rId20" Type="http://schemas.openxmlformats.org/officeDocument/2006/relationships/header" Target="header3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okpoint.tv" TargetMode="External"/><Relationship Id="rId24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okpointy/" TargetMode="External"/><Relationship Id="rId23" Type="http://schemas.openxmlformats.org/officeDocument/2006/relationships/header" Target="header4.xml"/><Relationship Id="rId28" Type="http://schemas.openxmlformats.org/officeDocument/2006/relationships/fontTable" Target="fontTable.xml"/><Relationship Id="rId10" Type="http://schemas.openxmlformats.org/officeDocument/2006/relationships/hyperlink" Target="http://okpointy.cz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://bcas.cz" TargetMode="External"/><Relationship Id="rId14" Type="http://schemas.openxmlformats.org/officeDocument/2006/relationships/hyperlink" Target="https://www.linkedin.com/company/786541/" TargetMode="External"/><Relationship Id="rId22" Type="http://schemas.openxmlformats.org/officeDocument/2006/relationships/footer" Target="footer3.xml"/><Relationship Id="rId27" Type="http://schemas.openxmlformats.org/officeDocument/2006/relationships/hyperlink" Target="mailto:tereza.zahrubska@bcas.cz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kpointy.cz/" TargetMode="External"/><Relationship Id="rId2" Type="http://schemas.openxmlformats.org/officeDocument/2006/relationships/hyperlink" Target="http://www.realityspolu.cz" TargetMode="External"/><Relationship Id="rId1" Type="http://schemas.openxmlformats.org/officeDocument/2006/relationships/hyperlink" Target="http://www.realityspolu.cz" TargetMode="External"/><Relationship Id="rId6" Type="http://schemas.openxmlformats.org/officeDocument/2006/relationships/hyperlink" Target="http://www.bcas.cz/" TargetMode="External"/><Relationship Id="rId5" Type="http://schemas.openxmlformats.org/officeDocument/2006/relationships/hyperlink" Target="http://www.bcas.cz/" TargetMode="External"/><Relationship Id="rId4" Type="http://schemas.openxmlformats.org/officeDocument/2006/relationships/hyperlink" Target="http://www.okpointy.cz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32EBE6-890F-40AB-842D-A0676228E8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382</TotalTime>
  <Pages>3</Pages>
  <Words>990</Words>
  <Characters>5846</Characters>
  <Application>Microsoft Office Word</Application>
  <DocSecurity>0</DocSecurity>
  <Lines>48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6823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Viola Baštýřová</dc:creator>
  <cp:lastModifiedBy>Tereza Záhrubská</cp:lastModifiedBy>
  <cp:revision>24</cp:revision>
  <cp:lastPrinted>2023-03-06T11:31:00Z</cp:lastPrinted>
  <dcterms:created xsi:type="dcterms:W3CDTF">2025-01-03T10:19:00Z</dcterms:created>
  <dcterms:modified xsi:type="dcterms:W3CDTF">2025-03-03T11:31:00Z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2019-08-08T00:00:00Z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2019-08-12T00:00:00Z</vt:filetime>
  </property>
</Properties>
</file>