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cstheme="minorHAnsi"/>
          <w:highlight w:val="yellow"/>
        </w:rPr>
        <w:id w:val="120037484"/>
        <w:docPartObj>
          <w:docPartGallery w:val="Cover Pages"/>
          <w:docPartUnique/>
        </w:docPartObj>
      </w:sdtPr>
      <w:sdtEndPr>
        <w:rPr>
          <w:b/>
          <w:sz w:val="20"/>
          <w:szCs w:val="20"/>
        </w:rPr>
      </w:sdtEndPr>
      <w:sdtContent>
        <w:p w14:paraId="718E6546" w14:textId="3DEA865B" w:rsidR="00D80B6D" w:rsidRPr="002C00F6" w:rsidRDefault="00D80B6D">
          <w:pPr>
            <w:rPr>
              <w:rFonts w:asciiTheme="minorHAnsi" w:hAnsiTheme="minorHAnsi" w:cstheme="minorHAnsi"/>
              <w:highlight w:val="yellow"/>
            </w:rPr>
          </w:pPr>
        </w:p>
        <w:p w14:paraId="7ED014A1" w14:textId="77777777" w:rsidR="00D80B6D" w:rsidRPr="002C00F6" w:rsidRDefault="00D80B6D" w:rsidP="00D80B6D">
          <w:pPr>
            <w:pStyle w:val="Nadpis3"/>
            <w:spacing w:before="10"/>
            <w:rPr>
              <w:rFonts w:asciiTheme="minorHAnsi" w:hAnsiTheme="minorHAnsi" w:cstheme="minorHAnsi"/>
              <w:color w:val="1D1D1B"/>
              <w:highlight w:val="yellow"/>
            </w:rPr>
          </w:pPr>
        </w:p>
        <w:p w14:paraId="0FB45B67" w14:textId="77777777" w:rsidR="00D80B6D" w:rsidRPr="002C00F6" w:rsidRDefault="00D80B6D" w:rsidP="00D80B6D">
          <w:pPr>
            <w:spacing w:before="230"/>
            <w:ind w:left="165"/>
            <w:jc w:val="center"/>
            <w:rPr>
              <w:rFonts w:asciiTheme="minorHAnsi" w:hAnsiTheme="minorHAnsi" w:cstheme="minorHAnsi"/>
              <w:color w:val="CD1719"/>
              <w:sz w:val="24"/>
            </w:rPr>
          </w:pPr>
          <w:r w:rsidRPr="002C00F6">
            <w:rPr>
              <w:rFonts w:asciiTheme="minorHAnsi" w:hAnsiTheme="minorHAnsi" w:cstheme="minorHAnsi"/>
              <w:color w:val="1D1D1B"/>
              <w:sz w:val="24"/>
            </w:rPr>
            <w:t xml:space="preserve">INDEX HYPOTEČNÍCH ÚVĚRŮ </w:t>
          </w:r>
          <w:r w:rsidRPr="002C00F6">
            <w:rPr>
              <w:rFonts w:asciiTheme="minorHAnsi" w:hAnsiTheme="minorHAnsi" w:cstheme="minorHAnsi"/>
              <w:color w:val="CD1719"/>
              <w:sz w:val="24"/>
            </w:rPr>
            <w:t xml:space="preserve">| </w:t>
          </w:r>
          <w:r w:rsidRPr="002C00F6">
            <w:rPr>
              <w:rFonts w:asciiTheme="minorHAnsi" w:hAnsiTheme="minorHAnsi" w:cstheme="minorHAnsi"/>
              <w:color w:val="1D1D1B"/>
              <w:sz w:val="24"/>
            </w:rPr>
            <w:t xml:space="preserve">FIXINDEX </w:t>
          </w:r>
        </w:p>
        <w:p w14:paraId="6D3B5ACD" w14:textId="14F47C98" w:rsidR="00BC331D" w:rsidRPr="002C00F6" w:rsidRDefault="00BC331D" w:rsidP="00D80B6D">
          <w:pPr>
            <w:spacing w:before="230"/>
            <w:ind w:left="165"/>
            <w:jc w:val="center"/>
            <w:rPr>
              <w:rFonts w:asciiTheme="minorHAnsi" w:hAnsiTheme="minorHAnsi" w:cstheme="minorHAnsi"/>
              <w:color w:val="1D1D1B"/>
              <w:sz w:val="24"/>
            </w:rPr>
          </w:pPr>
          <w:r w:rsidRPr="002C00F6">
            <w:rPr>
              <w:rFonts w:asciiTheme="minorHAnsi" w:hAnsiTheme="minorHAnsi" w:cstheme="minorHAnsi"/>
              <w:color w:val="1D1D1B"/>
              <w:sz w:val="24"/>
            </w:rPr>
            <w:t>REALINDEX</w:t>
          </w:r>
        </w:p>
        <w:p w14:paraId="32900BCE" w14:textId="16FEEC9E" w:rsidR="00D80B6D" w:rsidRPr="002C00F6" w:rsidRDefault="00A252BA" w:rsidP="00D80B6D">
          <w:pPr>
            <w:spacing w:before="230"/>
            <w:ind w:left="165"/>
            <w:jc w:val="center"/>
            <w:rPr>
              <w:rFonts w:asciiTheme="minorHAnsi" w:hAnsiTheme="minorHAnsi" w:cstheme="minorHAnsi"/>
              <w:color w:val="1D1D1B"/>
              <w:sz w:val="24"/>
            </w:rPr>
          </w:pPr>
          <w:r w:rsidRPr="002C00F6">
            <w:rPr>
              <w:rFonts w:asciiTheme="minorHAnsi" w:hAnsiTheme="minorHAnsi" w:cstheme="minorHAnsi"/>
              <w:color w:val="1D1D1B"/>
              <w:sz w:val="24"/>
            </w:rPr>
            <w:t>POV</w:t>
          </w:r>
          <w:r w:rsidR="00D80B6D" w:rsidRPr="002C00F6">
            <w:rPr>
              <w:rFonts w:asciiTheme="minorHAnsi" w:hAnsiTheme="minorHAnsi" w:cstheme="minorHAnsi"/>
              <w:color w:val="1D1D1B"/>
              <w:sz w:val="24"/>
            </w:rPr>
            <w:t xml:space="preserve">INDEX </w:t>
          </w:r>
        </w:p>
        <w:p w14:paraId="35B1FBE8" w14:textId="77777777" w:rsidR="00BC331D" w:rsidRPr="002C00F6" w:rsidRDefault="00BC331D" w:rsidP="00BC331D">
          <w:pPr>
            <w:spacing w:before="240" w:line="288" w:lineRule="exact"/>
            <w:ind w:left="162"/>
            <w:jc w:val="center"/>
            <w:rPr>
              <w:rFonts w:asciiTheme="minorHAnsi" w:hAnsiTheme="minorHAnsi" w:cstheme="minorHAnsi"/>
              <w:color w:val="1D1D1B"/>
              <w:sz w:val="24"/>
            </w:rPr>
          </w:pPr>
          <w:r w:rsidRPr="002C00F6">
            <w:rPr>
              <w:rFonts w:asciiTheme="minorHAnsi" w:hAnsiTheme="minorHAnsi" w:cstheme="minorHAnsi"/>
              <w:color w:val="1D1D1B"/>
              <w:sz w:val="24"/>
            </w:rPr>
            <w:t>INDEX PODÍLOVÝCH FONDŮ</w:t>
          </w:r>
        </w:p>
        <w:p w14:paraId="5B21B8A6" w14:textId="616329FC" w:rsidR="00D80B6D" w:rsidRPr="002C00F6" w:rsidRDefault="00D80B6D" w:rsidP="00BC331D">
          <w:pPr>
            <w:spacing w:before="230"/>
            <w:jc w:val="center"/>
            <w:rPr>
              <w:rFonts w:asciiTheme="minorHAnsi" w:hAnsiTheme="minorHAnsi" w:cstheme="minorHAnsi"/>
              <w:b/>
              <w:color w:val="CD1719"/>
              <w:sz w:val="24"/>
            </w:rPr>
          </w:pPr>
          <w:r w:rsidRPr="002C00F6">
            <w:rPr>
              <w:rFonts w:asciiTheme="minorHAnsi" w:hAnsiTheme="minorHAnsi" w:cstheme="minorHAnsi"/>
              <w:b/>
              <w:color w:val="1D1D1B"/>
              <w:sz w:val="24"/>
            </w:rPr>
            <w:t>INDEX SPOTŘEBITELSKÝCH ÚVĚRŮ</w:t>
          </w:r>
        </w:p>
        <w:p w14:paraId="1FCC0C9E" w14:textId="77777777" w:rsidR="00D80B6D" w:rsidRPr="002C00F6" w:rsidRDefault="00D80B6D" w:rsidP="00D80B6D">
          <w:pPr>
            <w:pStyle w:val="Zkladntext"/>
            <w:spacing w:before="240"/>
            <w:rPr>
              <w:rFonts w:asciiTheme="minorHAnsi" w:hAnsiTheme="minorHAnsi" w:cstheme="minorHAnsi"/>
              <w:sz w:val="20"/>
              <w:highlight w:val="yellow"/>
            </w:rPr>
          </w:pPr>
        </w:p>
        <w:p w14:paraId="720CCDBB" w14:textId="77777777" w:rsidR="00D80B6D" w:rsidRPr="002C00F6" w:rsidRDefault="00D80B6D" w:rsidP="00D80B6D">
          <w:pPr>
            <w:pStyle w:val="Zkladntext"/>
            <w:spacing w:before="240"/>
            <w:rPr>
              <w:rFonts w:asciiTheme="minorHAnsi" w:hAnsiTheme="minorHAnsi" w:cstheme="minorHAnsi"/>
              <w:sz w:val="20"/>
              <w:highlight w:val="yellow"/>
            </w:rPr>
          </w:pPr>
        </w:p>
        <w:p w14:paraId="703D71F2" w14:textId="77777777" w:rsidR="00D80B6D" w:rsidRPr="002C00F6" w:rsidRDefault="00D80B6D" w:rsidP="00D80B6D">
          <w:pPr>
            <w:pStyle w:val="Zkladntext"/>
            <w:rPr>
              <w:rFonts w:asciiTheme="minorHAnsi" w:hAnsiTheme="minorHAnsi" w:cstheme="minorHAnsi"/>
              <w:sz w:val="20"/>
              <w:highlight w:val="yellow"/>
            </w:rPr>
          </w:pPr>
        </w:p>
        <w:p w14:paraId="00494A3A" w14:textId="77777777" w:rsidR="00D80B6D" w:rsidRPr="002C00F6" w:rsidRDefault="00D80B6D" w:rsidP="00D80B6D">
          <w:pPr>
            <w:pStyle w:val="Zkladntext"/>
            <w:rPr>
              <w:rFonts w:asciiTheme="minorHAnsi" w:hAnsiTheme="minorHAnsi" w:cstheme="minorHAnsi"/>
              <w:sz w:val="20"/>
              <w:highlight w:val="yellow"/>
            </w:rPr>
          </w:pPr>
          <w:r w:rsidRPr="002C00F6">
            <w:rPr>
              <w:rFonts w:asciiTheme="minorHAnsi" w:hAnsiTheme="minorHAnsi" w:cstheme="minorHAnsi"/>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2C00F6" w:rsidRDefault="00D80B6D" w:rsidP="00D80B6D">
          <w:pPr>
            <w:pStyle w:val="Zkladntext"/>
            <w:rPr>
              <w:rFonts w:asciiTheme="minorHAnsi" w:hAnsiTheme="minorHAnsi" w:cstheme="minorHAnsi"/>
              <w:sz w:val="20"/>
              <w:highlight w:val="yellow"/>
            </w:rPr>
          </w:pPr>
        </w:p>
        <w:p w14:paraId="2A5F355C" w14:textId="77777777" w:rsidR="00D80B6D" w:rsidRPr="002C00F6" w:rsidRDefault="00D80B6D" w:rsidP="00D80B6D">
          <w:pPr>
            <w:pStyle w:val="Zkladntext"/>
            <w:rPr>
              <w:rFonts w:asciiTheme="minorHAnsi" w:hAnsiTheme="minorHAnsi" w:cstheme="minorHAnsi"/>
              <w:sz w:val="20"/>
              <w:highlight w:val="yellow"/>
            </w:rPr>
          </w:pPr>
        </w:p>
        <w:p w14:paraId="218EE6CB" w14:textId="77777777" w:rsidR="00D80B6D" w:rsidRPr="002C00F6" w:rsidRDefault="00D80B6D" w:rsidP="00D80B6D">
          <w:pPr>
            <w:pStyle w:val="Zkladntext"/>
            <w:rPr>
              <w:rFonts w:asciiTheme="minorHAnsi" w:hAnsiTheme="minorHAnsi" w:cstheme="minorHAnsi"/>
              <w:sz w:val="20"/>
              <w:highlight w:val="yellow"/>
            </w:rPr>
          </w:pPr>
        </w:p>
        <w:p w14:paraId="0238B3AB" w14:textId="77777777" w:rsidR="00D80B6D" w:rsidRPr="002C00F6" w:rsidRDefault="00D80B6D" w:rsidP="00D80B6D">
          <w:pPr>
            <w:pStyle w:val="Zkladntext"/>
            <w:rPr>
              <w:rFonts w:asciiTheme="minorHAnsi" w:hAnsiTheme="minorHAnsi" w:cstheme="minorHAnsi"/>
              <w:sz w:val="20"/>
              <w:highlight w:val="yellow"/>
            </w:rPr>
          </w:pPr>
        </w:p>
        <w:p w14:paraId="54516A42" w14:textId="77777777" w:rsidR="00D80B6D" w:rsidRPr="002C00F6" w:rsidRDefault="00D80B6D" w:rsidP="00D80B6D">
          <w:pPr>
            <w:pStyle w:val="Zkladntext"/>
            <w:rPr>
              <w:rFonts w:asciiTheme="minorHAnsi" w:hAnsiTheme="minorHAnsi" w:cstheme="minorHAnsi"/>
              <w:sz w:val="20"/>
              <w:highlight w:val="yellow"/>
            </w:rPr>
          </w:pPr>
        </w:p>
        <w:p w14:paraId="5266363A" w14:textId="77777777" w:rsidR="00D80B6D" w:rsidRPr="002C00F6" w:rsidRDefault="00D80B6D" w:rsidP="00D80B6D">
          <w:pPr>
            <w:pStyle w:val="Zkladntext"/>
            <w:rPr>
              <w:rFonts w:asciiTheme="minorHAnsi" w:hAnsiTheme="minorHAnsi" w:cstheme="minorHAnsi"/>
              <w:sz w:val="20"/>
              <w:highlight w:val="yellow"/>
            </w:rPr>
          </w:pPr>
        </w:p>
        <w:p w14:paraId="363B2E28" w14:textId="77777777" w:rsidR="00D80B6D" w:rsidRPr="002C00F6" w:rsidRDefault="00D80B6D" w:rsidP="00D80B6D">
          <w:pPr>
            <w:pStyle w:val="Zkladntext"/>
            <w:rPr>
              <w:rFonts w:asciiTheme="minorHAnsi" w:hAnsiTheme="minorHAnsi" w:cstheme="minorHAnsi"/>
              <w:sz w:val="20"/>
              <w:highlight w:val="yellow"/>
            </w:rPr>
          </w:pPr>
        </w:p>
        <w:p w14:paraId="17667B44" w14:textId="77777777" w:rsidR="00D80B6D" w:rsidRPr="002C00F6" w:rsidRDefault="00D80B6D" w:rsidP="00D80B6D">
          <w:pPr>
            <w:pStyle w:val="Zkladntext"/>
            <w:jc w:val="both"/>
            <w:rPr>
              <w:rFonts w:asciiTheme="minorHAnsi" w:hAnsiTheme="minorHAnsi" w:cstheme="minorHAnsi"/>
              <w:color w:val="FFFFFF" w:themeColor="background1"/>
              <w:sz w:val="20"/>
              <w:highlight w:val="yellow"/>
            </w:rPr>
          </w:pPr>
        </w:p>
        <w:p w14:paraId="5193A529" w14:textId="77777777" w:rsidR="00D80B6D" w:rsidRPr="002C00F6" w:rsidRDefault="00D80B6D" w:rsidP="00D80B6D">
          <w:pPr>
            <w:pStyle w:val="Zkladntext"/>
            <w:jc w:val="both"/>
            <w:rPr>
              <w:rFonts w:asciiTheme="minorHAnsi" w:hAnsiTheme="minorHAnsi" w:cstheme="minorHAnsi"/>
              <w:b/>
              <w:sz w:val="20"/>
              <w:highlight w:val="yellow"/>
            </w:rPr>
          </w:pPr>
        </w:p>
        <w:p w14:paraId="2833FE59" w14:textId="77777777" w:rsidR="00D80B6D" w:rsidRPr="002C00F6" w:rsidRDefault="00D80B6D" w:rsidP="00D80B6D">
          <w:pPr>
            <w:pStyle w:val="Zkladntext"/>
            <w:jc w:val="both"/>
            <w:rPr>
              <w:rFonts w:asciiTheme="minorHAnsi" w:hAnsiTheme="minorHAnsi" w:cstheme="minorHAnsi"/>
              <w:b/>
              <w:sz w:val="20"/>
              <w:highlight w:val="yellow"/>
            </w:rPr>
          </w:pPr>
        </w:p>
        <w:p w14:paraId="6DB157BF" w14:textId="77777777" w:rsidR="00D80B6D" w:rsidRPr="002C00F6" w:rsidRDefault="00D80B6D" w:rsidP="00D80B6D">
          <w:pPr>
            <w:pStyle w:val="Zkladntext"/>
            <w:jc w:val="both"/>
            <w:rPr>
              <w:rFonts w:asciiTheme="minorHAnsi" w:hAnsiTheme="minorHAnsi" w:cstheme="minorHAnsi"/>
              <w:b/>
              <w:sz w:val="20"/>
              <w:highlight w:val="yellow"/>
            </w:rPr>
          </w:pPr>
        </w:p>
        <w:p w14:paraId="47803C2A" w14:textId="77777777" w:rsidR="00D80B6D" w:rsidRPr="002C00F6" w:rsidRDefault="00D80B6D" w:rsidP="00D80B6D">
          <w:pPr>
            <w:pStyle w:val="Zkladntext"/>
            <w:jc w:val="both"/>
            <w:rPr>
              <w:rFonts w:asciiTheme="minorHAnsi" w:hAnsiTheme="minorHAnsi" w:cstheme="minorHAnsi"/>
              <w:b/>
              <w:sz w:val="20"/>
              <w:highlight w:val="yellow"/>
            </w:rPr>
          </w:pPr>
        </w:p>
        <w:p w14:paraId="1D90E1D0" w14:textId="77777777" w:rsidR="00D80B6D" w:rsidRPr="002C00F6" w:rsidRDefault="00D80B6D" w:rsidP="00D80B6D">
          <w:pPr>
            <w:pStyle w:val="Zkladntext"/>
            <w:jc w:val="both"/>
            <w:rPr>
              <w:rFonts w:asciiTheme="minorHAnsi" w:hAnsiTheme="minorHAnsi" w:cstheme="minorHAnsi"/>
              <w:b/>
              <w:sz w:val="20"/>
              <w:highlight w:val="yellow"/>
            </w:rPr>
          </w:pPr>
        </w:p>
        <w:p w14:paraId="5A33B823" w14:textId="77777777" w:rsidR="00D80B6D" w:rsidRPr="002C00F6" w:rsidRDefault="00D80B6D" w:rsidP="00D80B6D">
          <w:pPr>
            <w:pStyle w:val="Zkladntext"/>
            <w:jc w:val="both"/>
            <w:rPr>
              <w:rFonts w:asciiTheme="minorHAnsi" w:hAnsiTheme="minorHAnsi" w:cstheme="minorHAnsi"/>
              <w:b/>
              <w:sz w:val="20"/>
              <w:highlight w:val="yellow"/>
            </w:rPr>
          </w:pPr>
        </w:p>
        <w:p w14:paraId="0D2BECD0" w14:textId="77777777" w:rsidR="00D80B6D" w:rsidRPr="002C00F6" w:rsidRDefault="00D80B6D" w:rsidP="00D80B6D">
          <w:pPr>
            <w:pStyle w:val="Zkladntext"/>
            <w:jc w:val="both"/>
            <w:rPr>
              <w:rFonts w:asciiTheme="minorHAnsi" w:hAnsiTheme="minorHAnsi" w:cstheme="minorHAnsi"/>
              <w:b/>
              <w:sz w:val="20"/>
              <w:highlight w:val="yellow"/>
            </w:rPr>
          </w:pPr>
        </w:p>
        <w:p w14:paraId="69288FB9" w14:textId="77777777" w:rsidR="00D80B6D" w:rsidRPr="002C00F6" w:rsidRDefault="00D80B6D" w:rsidP="00D80B6D">
          <w:pPr>
            <w:pStyle w:val="Zkladntext"/>
            <w:jc w:val="both"/>
            <w:rPr>
              <w:rFonts w:asciiTheme="minorHAnsi" w:hAnsiTheme="minorHAnsi" w:cstheme="minorHAnsi"/>
              <w:b/>
              <w:sz w:val="20"/>
              <w:highlight w:val="yellow"/>
            </w:rPr>
          </w:pPr>
        </w:p>
        <w:p w14:paraId="541E93D5" w14:textId="77777777" w:rsidR="00D80B6D" w:rsidRPr="002C00F6" w:rsidRDefault="00D80B6D" w:rsidP="00D80B6D">
          <w:pPr>
            <w:pStyle w:val="Zkladntext"/>
            <w:jc w:val="both"/>
            <w:rPr>
              <w:rFonts w:asciiTheme="minorHAnsi" w:hAnsiTheme="minorHAnsi" w:cstheme="minorHAnsi"/>
              <w:b/>
              <w:sz w:val="20"/>
              <w:highlight w:val="yellow"/>
            </w:rPr>
          </w:pPr>
        </w:p>
        <w:p w14:paraId="341A343C" w14:textId="77777777" w:rsidR="00D80B6D" w:rsidRPr="002C00F6" w:rsidRDefault="00D80B6D" w:rsidP="00D80B6D">
          <w:pPr>
            <w:pStyle w:val="Zkladntext"/>
            <w:jc w:val="both"/>
            <w:rPr>
              <w:rFonts w:asciiTheme="minorHAnsi" w:hAnsiTheme="minorHAnsi" w:cstheme="minorHAnsi"/>
              <w:b/>
              <w:sz w:val="20"/>
              <w:highlight w:val="yellow"/>
            </w:rPr>
          </w:pPr>
        </w:p>
        <w:p w14:paraId="6C52C42D" w14:textId="77777777" w:rsidR="00D80B6D" w:rsidRPr="002C00F6" w:rsidRDefault="00D80B6D" w:rsidP="00D80B6D">
          <w:pPr>
            <w:pStyle w:val="Zkladntext"/>
            <w:jc w:val="both"/>
            <w:rPr>
              <w:rFonts w:asciiTheme="minorHAnsi" w:hAnsiTheme="minorHAnsi" w:cstheme="minorHAnsi"/>
              <w:b/>
              <w:sz w:val="20"/>
              <w:highlight w:val="yellow"/>
            </w:rPr>
          </w:pPr>
        </w:p>
        <w:p w14:paraId="3E3CDF25" w14:textId="77777777" w:rsidR="00D80B6D" w:rsidRPr="002C00F6" w:rsidRDefault="00D80B6D" w:rsidP="00D80B6D">
          <w:pPr>
            <w:pStyle w:val="Zkladntext"/>
            <w:jc w:val="both"/>
            <w:rPr>
              <w:rFonts w:asciiTheme="minorHAnsi" w:hAnsiTheme="minorHAnsi" w:cstheme="minorHAnsi"/>
              <w:b/>
              <w:sz w:val="20"/>
              <w:highlight w:val="yellow"/>
            </w:rPr>
          </w:pPr>
        </w:p>
        <w:p w14:paraId="40495E64" w14:textId="77777777" w:rsidR="00D80B6D" w:rsidRPr="002C00F6" w:rsidRDefault="00D80B6D" w:rsidP="00D80B6D">
          <w:pPr>
            <w:pStyle w:val="Zkladntext"/>
            <w:jc w:val="both"/>
            <w:rPr>
              <w:rFonts w:asciiTheme="minorHAnsi" w:hAnsiTheme="minorHAnsi" w:cstheme="minorHAnsi"/>
              <w:b/>
              <w:sz w:val="20"/>
              <w:highlight w:val="yellow"/>
            </w:rPr>
          </w:pPr>
        </w:p>
        <w:p w14:paraId="59B6F4E6" w14:textId="77777777" w:rsidR="00D80B6D" w:rsidRPr="002C00F6" w:rsidRDefault="00D80B6D" w:rsidP="00D80B6D">
          <w:pPr>
            <w:pStyle w:val="Zkladntext"/>
            <w:jc w:val="both"/>
            <w:rPr>
              <w:rFonts w:asciiTheme="minorHAnsi" w:hAnsiTheme="minorHAnsi" w:cstheme="minorHAnsi"/>
              <w:b/>
              <w:sz w:val="20"/>
              <w:highlight w:val="yellow"/>
            </w:rPr>
          </w:pPr>
        </w:p>
        <w:p w14:paraId="5ADDFBD6" w14:textId="77777777" w:rsidR="00D80B6D" w:rsidRPr="002C00F6" w:rsidRDefault="00D80B6D" w:rsidP="00D80B6D">
          <w:pPr>
            <w:pStyle w:val="Zkladntext"/>
            <w:jc w:val="both"/>
            <w:rPr>
              <w:rFonts w:asciiTheme="minorHAnsi" w:hAnsiTheme="minorHAnsi" w:cstheme="minorHAnsi"/>
              <w:b/>
              <w:sz w:val="20"/>
              <w:highlight w:val="yellow"/>
            </w:rPr>
          </w:pPr>
        </w:p>
        <w:p w14:paraId="1CB27DF8" w14:textId="77777777" w:rsidR="007B358E" w:rsidRPr="002C00F6" w:rsidRDefault="007B358E" w:rsidP="00D80B6D">
          <w:pPr>
            <w:pStyle w:val="Zkladntext"/>
            <w:jc w:val="both"/>
            <w:rPr>
              <w:rFonts w:asciiTheme="minorHAnsi" w:hAnsiTheme="minorHAnsi" w:cstheme="minorHAnsi"/>
              <w:b/>
              <w:sz w:val="20"/>
              <w:highlight w:val="yellow"/>
            </w:rPr>
          </w:pPr>
        </w:p>
        <w:p w14:paraId="3A61C564" w14:textId="77777777" w:rsidR="0068617E" w:rsidRPr="002C00F6" w:rsidRDefault="0068617E" w:rsidP="00D80B6D">
          <w:pPr>
            <w:pStyle w:val="Zkladntext"/>
            <w:jc w:val="both"/>
            <w:rPr>
              <w:rFonts w:asciiTheme="minorHAnsi" w:hAnsiTheme="minorHAnsi" w:cstheme="minorHAnsi"/>
              <w:b/>
              <w:sz w:val="20"/>
              <w:highlight w:val="yellow"/>
            </w:rPr>
          </w:pPr>
        </w:p>
        <w:p w14:paraId="1414E639" w14:textId="77777777" w:rsidR="0068617E" w:rsidRPr="002C00F6" w:rsidRDefault="0068617E" w:rsidP="00D80B6D">
          <w:pPr>
            <w:pStyle w:val="Zkladntext"/>
            <w:jc w:val="both"/>
            <w:rPr>
              <w:rFonts w:asciiTheme="minorHAnsi" w:hAnsiTheme="minorHAnsi" w:cstheme="minorHAnsi"/>
              <w:b/>
              <w:sz w:val="20"/>
              <w:highlight w:val="yellow"/>
            </w:rPr>
          </w:pPr>
        </w:p>
        <w:p w14:paraId="11132A3F" w14:textId="53DE594E" w:rsidR="00D80B6D" w:rsidRPr="0014220D" w:rsidRDefault="00D80B6D" w:rsidP="00D80B6D">
          <w:pPr>
            <w:pStyle w:val="Zkladntext"/>
            <w:jc w:val="both"/>
            <w:rPr>
              <w:rFonts w:ascii="Arial" w:hAnsi="Arial" w:cs="Arial"/>
              <w:b/>
              <w:sz w:val="18"/>
              <w:szCs w:val="18"/>
            </w:rPr>
          </w:pPr>
          <w:r w:rsidRPr="0014220D">
            <w:rPr>
              <w:rFonts w:ascii="Arial" w:hAnsi="Arial" w:cs="Arial"/>
              <w:b/>
              <w:sz w:val="18"/>
              <w:szCs w:val="18"/>
            </w:rPr>
            <w:t>O společnosti Broker Consulting</w:t>
          </w:r>
        </w:p>
        <w:p w14:paraId="27485CC6" w14:textId="77777777" w:rsidR="00D80B6D" w:rsidRPr="0014220D" w:rsidRDefault="00D80B6D" w:rsidP="00D80B6D">
          <w:pPr>
            <w:jc w:val="both"/>
            <w:rPr>
              <w:rFonts w:ascii="Arial" w:hAnsi="Arial" w:cs="Arial"/>
              <w:sz w:val="18"/>
              <w:szCs w:val="18"/>
            </w:rPr>
          </w:pPr>
        </w:p>
        <w:p w14:paraId="36418F0F" w14:textId="57B29561" w:rsidR="007F5903" w:rsidRPr="0014220D" w:rsidRDefault="007F5903" w:rsidP="007F5903">
          <w:pPr>
            <w:jc w:val="both"/>
            <w:rPr>
              <w:rStyle w:val="dn"/>
              <w:rFonts w:ascii="Arial" w:hAnsi="Arial" w:cs="Arial"/>
              <w:sz w:val="18"/>
              <w:szCs w:val="18"/>
            </w:rPr>
          </w:pPr>
          <w:r w:rsidRPr="0014220D">
            <w:rPr>
              <w:rFonts w:ascii="Arial" w:hAnsi="Arial" w:cs="Arial"/>
              <w:sz w:val="18"/>
              <w:szCs w:val="18"/>
            </w:rPr>
            <w:t>Broker Consulting je jednou z největších společností na českém a slovenském trhu, která poskytuje služby v oblasti financí a realit. Od rok</w:t>
          </w:r>
          <w:r w:rsidR="003B4BD8" w:rsidRPr="0014220D">
            <w:rPr>
              <w:rFonts w:ascii="Arial" w:hAnsi="Arial" w:cs="Arial"/>
              <w:sz w:val="18"/>
              <w:szCs w:val="18"/>
            </w:rPr>
            <w:t>u 1998 získala důvěru více než 7</w:t>
          </w:r>
          <w:r w:rsidRPr="0014220D">
            <w:rPr>
              <w:rFonts w:ascii="Arial" w:hAnsi="Arial" w:cs="Arial"/>
              <w:sz w:val="18"/>
              <w:szCs w:val="18"/>
            </w:rPr>
            <w:t xml:space="preserve">00 000 klientů. Poskytuje také služby přes 4 000 firmám. Distribuci služeb zajišťuje přibližně 2 000 konzultantů (profesionální konzultanti, zaměstnanci, konzultanti v zapracování v ČR i SR) ve více než 150 kancelářích a na několika desítkách poboček Broker Point Premium.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Broker Point Premium, jehož přináší společnost Broker Consulting, která za vedení franšízy a její podporu získala ocenění </w:t>
          </w:r>
          <w:r w:rsidRPr="0014220D">
            <w:rPr>
              <w:rFonts w:ascii="Arial" w:hAnsi="Arial" w:cs="Arial"/>
              <w:b/>
              <w:color w:val="FF0000"/>
              <w:sz w:val="18"/>
              <w:szCs w:val="18"/>
            </w:rPr>
            <w:t>Franchisor roku 2022</w:t>
          </w:r>
          <w:r w:rsidRPr="0014220D">
            <w:rPr>
              <w:rFonts w:ascii="Arial" w:hAnsi="Arial" w:cs="Arial"/>
              <w:color w:val="FF0000"/>
              <w:sz w:val="18"/>
              <w:szCs w:val="18"/>
            </w:rPr>
            <w:t xml:space="preserve"> </w:t>
          </w:r>
          <w:r w:rsidRPr="0014220D">
            <w:rPr>
              <w:rFonts w:ascii="Arial" w:hAnsi="Arial" w:cs="Arial"/>
              <w:sz w:val="18"/>
              <w:szCs w:val="18"/>
            </w:rPr>
            <w:t xml:space="preserve">od České asociace franchisingu. </w:t>
          </w:r>
          <w:r w:rsidRPr="0014220D">
            <w:rPr>
              <w:rStyle w:val="dn"/>
              <w:rFonts w:ascii="Arial" w:hAnsi="Arial" w:cs="Arial"/>
              <w:sz w:val="18"/>
              <w:szCs w:val="18"/>
            </w:rPr>
            <w:t xml:space="preserve">Více na </w:t>
          </w:r>
          <w:hyperlink r:id="rId9" w:history="1">
            <w:r w:rsidRPr="0014220D">
              <w:rPr>
                <w:rStyle w:val="Hypertextovodkaz"/>
                <w:rFonts w:ascii="Arial" w:hAnsi="Arial" w:cs="Arial"/>
                <w:sz w:val="18"/>
                <w:szCs w:val="18"/>
              </w:rPr>
              <w:t>bcas.cz</w:t>
            </w:r>
          </w:hyperlink>
          <w:r w:rsidRPr="0014220D">
            <w:rPr>
              <w:rStyle w:val="Hypertextovodkaz"/>
              <w:rFonts w:ascii="Arial" w:hAnsi="Arial" w:cs="Arial"/>
              <w:sz w:val="18"/>
              <w:szCs w:val="18"/>
            </w:rPr>
            <w:t xml:space="preserve">, </w:t>
          </w:r>
          <w:hyperlink r:id="rId10" w:history="1">
            <w:r w:rsidRPr="0014220D">
              <w:rPr>
                <w:rStyle w:val="Hypertextovodkaz"/>
                <w:rFonts w:ascii="Arial" w:hAnsi="Arial" w:cs="Arial"/>
                <w:sz w:val="18"/>
                <w:szCs w:val="18"/>
              </w:rPr>
              <w:t>brokerpointy.cz</w:t>
            </w:r>
          </w:hyperlink>
          <w:r w:rsidRPr="0014220D">
            <w:rPr>
              <w:rStyle w:val="Hypertextovodkaz"/>
              <w:rFonts w:ascii="Arial" w:hAnsi="Arial" w:cs="Arial"/>
              <w:sz w:val="18"/>
              <w:szCs w:val="18"/>
            </w:rPr>
            <w:t>, brokerpoint</w:t>
          </w:r>
          <w:hyperlink r:id="rId11" w:history="1">
            <w:r w:rsidRPr="0014220D">
              <w:rPr>
                <w:rStyle w:val="Hypertextovodkaz"/>
                <w:rFonts w:ascii="Arial" w:hAnsi="Arial" w:cs="Arial"/>
                <w:sz w:val="18"/>
                <w:szCs w:val="18"/>
              </w:rPr>
              <w:t>.tv</w:t>
            </w:r>
          </w:hyperlink>
          <w:r w:rsidRPr="0014220D">
            <w:rPr>
              <w:rStyle w:val="dn"/>
              <w:rFonts w:ascii="Arial" w:hAnsi="Arial" w:cs="Arial"/>
              <w:sz w:val="18"/>
              <w:szCs w:val="18"/>
            </w:rPr>
            <w:t xml:space="preserve"> a na </w:t>
          </w:r>
          <w:hyperlink r:id="rId12" w:history="1">
            <w:r w:rsidRPr="0014220D">
              <w:rPr>
                <w:rStyle w:val="Hypertextovodkaz"/>
                <w:rFonts w:ascii="Arial" w:hAnsi="Arial" w:cs="Arial"/>
                <w:sz w:val="18"/>
                <w:szCs w:val="18"/>
              </w:rPr>
              <w:t>realityspolu.cz</w:t>
            </w:r>
          </w:hyperlink>
          <w:r w:rsidRPr="0014220D">
            <w:rPr>
              <w:rStyle w:val="Hypertextovodkaz"/>
              <w:rFonts w:ascii="Arial" w:hAnsi="Arial" w:cs="Arial"/>
              <w:sz w:val="18"/>
              <w:szCs w:val="18"/>
            </w:rPr>
            <w:t xml:space="preserve">. </w:t>
          </w:r>
          <w:proofErr w:type="spellStart"/>
          <w:r w:rsidRPr="0014220D">
            <w:rPr>
              <w:rStyle w:val="dn"/>
              <w:rFonts w:ascii="Arial" w:hAnsi="Arial" w:cs="Arial"/>
              <w:sz w:val="18"/>
              <w:szCs w:val="18"/>
            </w:rPr>
            <w:t>Navštivte</w:t>
          </w:r>
          <w:proofErr w:type="spellEnd"/>
          <w:r w:rsidRPr="0014220D">
            <w:rPr>
              <w:rStyle w:val="dn"/>
              <w:rFonts w:ascii="Arial" w:hAnsi="Arial" w:cs="Arial"/>
              <w:sz w:val="18"/>
              <w:szCs w:val="18"/>
            </w:rPr>
            <w:t xml:space="preserve"> </w:t>
          </w:r>
          <w:proofErr w:type="spellStart"/>
          <w:r w:rsidRPr="0014220D">
            <w:rPr>
              <w:rStyle w:val="dn"/>
              <w:rFonts w:ascii="Arial" w:hAnsi="Arial" w:cs="Arial"/>
              <w:sz w:val="18"/>
              <w:szCs w:val="18"/>
            </w:rPr>
            <w:t>také</w:t>
          </w:r>
          <w:proofErr w:type="spellEnd"/>
          <w:r w:rsidRPr="0014220D">
            <w:rPr>
              <w:rStyle w:val="dn"/>
              <w:rFonts w:ascii="Arial" w:hAnsi="Arial" w:cs="Arial"/>
              <w:sz w:val="18"/>
              <w:szCs w:val="18"/>
            </w:rPr>
            <w:t xml:space="preserve"> </w:t>
          </w:r>
          <w:proofErr w:type="spellStart"/>
          <w:r w:rsidRPr="0014220D">
            <w:rPr>
              <w:rStyle w:val="dn"/>
              <w:rFonts w:ascii="Arial" w:hAnsi="Arial" w:cs="Arial"/>
              <w:sz w:val="18"/>
              <w:szCs w:val="18"/>
            </w:rPr>
            <w:t>náš</w:t>
          </w:r>
          <w:proofErr w:type="spellEnd"/>
          <w:r w:rsidRPr="0014220D">
            <w:rPr>
              <w:rStyle w:val="dn"/>
              <w:rFonts w:ascii="Arial" w:hAnsi="Arial" w:cs="Arial"/>
              <w:sz w:val="18"/>
              <w:szCs w:val="18"/>
            </w:rPr>
            <w:t xml:space="preserve"> </w:t>
          </w:r>
          <w:hyperlink r:id="rId13" w:history="1">
            <w:proofErr w:type="spellStart"/>
            <w:r w:rsidRPr="0014220D">
              <w:rPr>
                <w:rStyle w:val="Hypertextovodkaz"/>
                <w:rFonts w:ascii="Arial" w:hAnsi="Arial" w:cs="Arial"/>
                <w:sz w:val="18"/>
                <w:szCs w:val="18"/>
              </w:rPr>
              <w:t>Facebook</w:t>
            </w:r>
            <w:proofErr w:type="spellEnd"/>
          </w:hyperlink>
          <w:r w:rsidRPr="0014220D">
            <w:rPr>
              <w:rStyle w:val="dn"/>
              <w:rFonts w:ascii="Arial" w:hAnsi="Arial" w:cs="Arial"/>
              <w:sz w:val="18"/>
              <w:szCs w:val="18"/>
            </w:rPr>
            <w:t xml:space="preserve">, </w:t>
          </w:r>
          <w:hyperlink r:id="rId14" w:history="1">
            <w:proofErr w:type="spellStart"/>
            <w:r w:rsidRPr="0014220D">
              <w:rPr>
                <w:rStyle w:val="Hypertextovodkaz"/>
                <w:rFonts w:ascii="Arial" w:hAnsi="Arial" w:cs="Arial"/>
                <w:sz w:val="18"/>
                <w:szCs w:val="18"/>
              </w:rPr>
              <w:t>LinkedIN</w:t>
            </w:r>
            <w:proofErr w:type="spellEnd"/>
          </w:hyperlink>
          <w:r w:rsidRPr="0014220D">
            <w:rPr>
              <w:rStyle w:val="dn"/>
              <w:rFonts w:ascii="Arial" w:hAnsi="Arial" w:cs="Arial"/>
              <w:sz w:val="18"/>
              <w:szCs w:val="18"/>
            </w:rPr>
            <w:t xml:space="preserve"> Broker Consulting, Twitter </w:t>
          </w:r>
          <w:r w:rsidRPr="0014220D">
            <w:rPr>
              <w:rFonts w:ascii="Arial" w:hAnsi="Arial" w:cs="Arial"/>
              <w:sz w:val="18"/>
              <w:szCs w:val="18"/>
              <w:shd w:val="clear" w:color="auto" w:fill="FFFFFF"/>
            </w:rPr>
            <w:t>@</w:t>
          </w:r>
          <w:proofErr w:type="spellStart"/>
          <w:r w:rsidRPr="0014220D">
            <w:rPr>
              <w:rFonts w:ascii="Arial" w:hAnsi="Arial" w:cs="Arial"/>
              <w:sz w:val="18"/>
              <w:szCs w:val="18"/>
              <w:shd w:val="clear" w:color="auto" w:fill="FFFFFF"/>
            </w:rPr>
            <w:t>BC_oficialni</w:t>
          </w:r>
          <w:proofErr w:type="spellEnd"/>
          <w:r w:rsidRPr="0014220D">
            <w:rPr>
              <w:rFonts w:ascii="Arial" w:hAnsi="Arial" w:cs="Arial"/>
              <w:sz w:val="18"/>
              <w:szCs w:val="18"/>
              <w:shd w:val="clear" w:color="auto" w:fill="FFFFFF"/>
            </w:rPr>
            <w:t xml:space="preserve">, </w:t>
          </w:r>
          <w:hyperlink r:id="rId15" w:history="1">
            <w:proofErr w:type="spellStart"/>
            <w:r w:rsidRPr="0014220D">
              <w:rPr>
                <w:rStyle w:val="Hypertextovodkaz"/>
                <w:rFonts w:ascii="Arial" w:hAnsi="Arial" w:cs="Arial"/>
                <w:sz w:val="18"/>
                <w:szCs w:val="18"/>
              </w:rPr>
              <w:t>Facebook</w:t>
            </w:r>
            <w:proofErr w:type="spellEnd"/>
          </w:hyperlink>
          <w:r w:rsidRPr="0014220D">
            <w:rPr>
              <w:rStyle w:val="dn"/>
              <w:rFonts w:ascii="Arial" w:hAnsi="Arial" w:cs="Arial"/>
              <w:sz w:val="18"/>
              <w:szCs w:val="18"/>
            </w:rPr>
            <w:t xml:space="preserve"> a </w:t>
          </w:r>
          <w:hyperlink r:id="rId16" w:history="1">
            <w:proofErr w:type="spellStart"/>
            <w:r w:rsidRPr="0014220D">
              <w:rPr>
                <w:rStyle w:val="Hypertextovodkaz"/>
                <w:rFonts w:ascii="Arial" w:hAnsi="Arial" w:cs="Arial"/>
                <w:sz w:val="18"/>
                <w:szCs w:val="18"/>
              </w:rPr>
              <w:t>LinkedI</w:t>
            </w:r>
          </w:hyperlink>
          <w:r w:rsidRPr="0014220D">
            <w:rPr>
              <w:rStyle w:val="Hypertextovodkaz"/>
              <w:rFonts w:ascii="Arial" w:hAnsi="Arial" w:cs="Arial"/>
              <w:sz w:val="18"/>
              <w:szCs w:val="18"/>
            </w:rPr>
            <w:t>N</w:t>
          </w:r>
          <w:proofErr w:type="spellEnd"/>
          <w:r w:rsidRPr="0014220D">
            <w:rPr>
              <w:rStyle w:val="dn"/>
              <w:rFonts w:ascii="Arial" w:hAnsi="Arial" w:cs="Arial"/>
              <w:sz w:val="18"/>
              <w:szCs w:val="18"/>
            </w:rPr>
            <w:t xml:space="preserve"> Broker Point Premium. </w:t>
          </w:r>
        </w:p>
        <w:p w14:paraId="3F0EC976" w14:textId="3496D289" w:rsidR="00D80B6D" w:rsidRPr="002C00F6" w:rsidRDefault="00D80B6D" w:rsidP="0068617E">
          <w:pPr>
            <w:pStyle w:val="Zkladntext"/>
            <w:jc w:val="both"/>
            <w:rPr>
              <w:rFonts w:asciiTheme="minorHAnsi" w:hAnsiTheme="minorHAnsi" w:cstheme="minorHAnsi"/>
              <w:sz w:val="20"/>
              <w:highlight w:val="yellow"/>
            </w:rPr>
            <w:sectPr w:rsidR="00D80B6D" w:rsidRPr="002C00F6" w:rsidSect="00D80B6D">
              <w:headerReference w:type="default" r:id="rId17"/>
              <w:footerReference w:type="default" r:id="rId18"/>
              <w:pgSz w:w="11910" w:h="16840"/>
              <w:pgMar w:top="960" w:right="740" w:bottom="0" w:left="720" w:header="708" w:footer="708" w:gutter="0"/>
              <w:cols w:space="708"/>
            </w:sectPr>
          </w:pPr>
        </w:p>
        <w:p w14:paraId="35539C65" w14:textId="7A3AAC27" w:rsidR="00D31127" w:rsidRPr="002C00F6" w:rsidRDefault="00491AEC" w:rsidP="0025264B">
          <w:pPr>
            <w:rPr>
              <w:rFonts w:asciiTheme="minorHAnsi" w:hAnsiTheme="minorHAnsi" w:cstheme="minorHAnsi"/>
              <w:b/>
              <w:sz w:val="20"/>
              <w:szCs w:val="20"/>
              <w:highlight w:val="yellow"/>
            </w:rPr>
            <w:sectPr w:rsidR="00D31127" w:rsidRPr="002C00F6"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6A10485D" w14:textId="649FD664" w:rsidR="00704D83" w:rsidRPr="002C00F6" w:rsidRDefault="00704D83" w:rsidP="0053728E">
      <w:pPr>
        <w:rPr>
          <w:rFonts w:asciiTheme="minorHAnsi" w:hAnsiTheme="minorHAnsi" w:cstheme="minorHAnsi"/>
          <w:b/>
          <w:sz w:val="25"/>
          <w:szCs w:val="25"/>
        </w:rPr>
      </w:pPr>
    </w:p>
    <w:p w14:paraId="3920D436" w14:textId="679E3D0E" w:rsidR="008432B3" w:rsidRPr="00A969D4" w:rsidRDefault="00A969D4" w:rsidP="000A4B8B">
      <w:pPr>
        <w:pStyle w:val="Odstavecseseznamem"/>
        <w:spacing w:after="200"/>
        <w:ind w:left="0" w:right="40" w:firstLine="0"/>
        <w:jc w:val="center"/>
        <w:rPr>
          <w:rFonts w:ascii="Arial" w:hAnsi="Arial" w:cs="Arial"/>
          <w:b/>
          <w:sz w:val="32"/>
          <w:szCs w:val="32"/>
        </w:rPr>
      </w:pPr>
      <w:r w:rsidRPr="00A969D4">
        <w:rPr>
          <w:rFonts w:ascii="Arial" w:hAnsi="Arial" w:cs="Arial"/>
          <w:b/>
          <w:sz w:val="32"/>
          <w:szCs w:val="32"/>
        </w:rPr>
        <w:t>S</w:t>
      </w:r>
      <w:r w:rsidR="003940D4" w:rsidRPr="00A969D4">
        <w:rPr>
          <w:rFonts w:ascii="Arial" w:hAnsi="Arial" w:cs="Arial"/>
          <w:b/>
          <w:sz w:val="32"/>
          <w:szCs w:val="32"/>
        </w:rPr>
        <w:t xml:space="preserve">azby spotřebitelských úvěrů </w:t>
      </w:r>
      <w:r w:rsidRPr="00A969D4">
        <w:rPr>
          <w:rFonts w:ascii="Arial" w:hAnsi="Arial" w:cs="Arial"/>
          <w:b/>
          <w:sz w:val="32"/>
          <w:szCs w:val="32"/>
        </w:rPr>
        <w:t xml:space="preserve">pokračovaly </w:t>
      </w:r>
      <w:r>
        <w:rPr>
          <w:rFonts w:ascii="Arial" w:hAnsi="Arial" w:cs="Arial"/>
          <w:b/>
          <w:sz w:val="32"/>
          <w:szCs w:val="32"/>
        </w:rPr>
        <w:t xml:space="preserve">tempem </w:t>
      </w:r>
      <w:r w:rsidRPr="00A969D4">
        <w:rPr>
          <w:rFonts w:ascii="Arial" w:hAnsi="Arial" w:cs="Arial"/>
          <w:b/>
          <w:sz w:val="32"/>
          <w:szCs w:val="32"/>
        </w:rPr>
        <w:t>mírn</w:t>
      </w:r>
      <w:r>
        <w:rPr>
          <w:rFonts w:ascii="Arial" w:hAnsi="Arial" w:cs="Arial"/>
          <w:b/>
          <w:sz w:val="32"/>
          <w:szCs w:val="32"/>
        </w:rPr>
        <w:t>ého růstu</w:t>
      </w:r>
      <w:r w:rsidRPr="00A969D4">
        <w:rPr>
          <w:rFonts w:ascii="Arial" w:hAnsi="Arial" w:cs="Arial"/>
          <w:b/>
          <w:sz w:val="32"/>
          <w:szCs w:val="32"/>
        </w:rPr>
        <w:t xml:space="preserve"> už druhý měsíc v řadě </w:t>
      </w:r>
    </w:p>
    <w:p w14:paraId="376C5D3D" w14:textId="6B91A5A2" w:rsidR="00486103" w:rsidRDefault="00404530" w:rsidP="00486103">
      <w:pPr>
        <w:jc w:val="both"/>
        <w:rPr>
          <w:rFonts w:ascii="Arial" w:hAnsi="Arial" w:cs="Arial"/>
          <w:sz w:val="20"/>
          <w:szCs w:val="20"/>
        </w:rPr>
      </w:pPr>
      <w:r w:rsidRPr="00153646">
        <w:rPr>
          <w:rFonts w:ascii="Arial" w:eastAsia="Times New Roman" w:hAnsi="Arial" w:cs="Arial"/>
          <w:i/>
          <w:sz w:val="20"/>
          <w:szCs w:val="20"/>
          <w:lang w:bidi="ar-SA"/>
        </w:rPr>
        <w:t xml:space="preserve">Praha, </w:t>
      </w:r>
      <w:r w:rsidR="00B26B92">
        <w:rPr>
          <w:rFonts w:ascii="Arial" w:eastAsia="Times New Roman" w:hAnsi="Arial" w:cs="Arial"/>
          <w:i/>
          <w:sz w:val="20"/>
          <w:szCs w:val="20"/>
          <w:lang w:bidi="ar-SA"/>
        </w:rPr>
        <w:t>24</w:t>
      </w:r>
      <w:r w:rsidR="002C00F6" w:rsidRPr="00153646">
        <w:rPr>
          <w:rFonts w:ascii="Arial" w:eastAsia="Times New Roman" w:hAnsi="Arial" w:cs="Arial"/>
          <w:i/>
          <w:sz w:val="20"/>
          <w:szCs w:val="20"/>
          <w:lang w:bidi="ar-SA"/>
        </w:rPr>
        <w:t xml:space="preserve">. </w:t>
      </w:r>
      <w:r w:rsidR="00DA4EBC">
        <w:rPr>
          <w:rFonts w:ascii="Arial" w:eastAsia="Times New Roman" w:hAnsi="Arial" w:cs="Arial"/>
          <w:i/>
          <w:sz w:val="20"/>
          <w:szCs w:val="20"/>
          <w:lang w:bidi="ar-SA"/>
        </w:rPr>
        <w:t>únor</w:t>
      </w:r>
      <w:r w:rsidR="00803325">
        <w:rPr>
          <w:rFonts w:ascii="Arial" w:eastAsia="Times New Roman" w:hAnsi="Arial" w:cs="Arial"/>
          <w:i/>
          <w:sz w:val="20"/>
          <w:szCs w:val="20"/>
          <w:lang w:bidi="ar-SA"/>
        </w:rPr>
        <w:t>a</w:t>
      </w:r>
      <w:r w:rsidR="002C00F6" w:rsidRPr="00153646">
        <w:rPr>
          <w:rFonts w:ascii="Arial" w:eastAsia="Times New Roman" w:hAnsi="Arial" w:cs="Arial"/>
          <w:i/>
          <w:sz w:val="20"/>
          <w:szCs w:val="20"/>
          <w:lang w:bidi="ar-SA"/>
        </w:rPr>
        <w:t xml:space="preserve"> 202</w:t>
      </w:r>
      <w:r w:rsidR="0014220D" w:rsidRPr="00153646">
        <w:rPr>
          <w:rFonts w:ascii="Arial" w:eastAsia="Times New Roman" w:hAnsi="Arial" w:cs="Arial"/>
          <w:i/>
          <w:sz w:val="20"/>
          <w:szCs w:val="20"/>
          <w:lang w:bidi="ar-SA"/>
        </w:rPr>
        <w:t>5</w:t>
      </w:r>
      <w:r w:rsidR="002C00F6" w:rsidRPr="00153646">
        <w:rPr>
          <w:rFonts w:ascii="Arial" w:eastAsia="Times New Roman" w:hAnsi="Arial" w:cs="Arial"/>
          <w:sz w:val="20"/>
          <w:szCs w:val="20"/>
          <w:lang w:bidi="ar-SA"/>
        </w:rPr>
        <w:t xml:space="preserve"> – </w:t>
      </w:r>
      <w:r w:rsidR="00C5437F" w:rsidRPr="00063164">
        <w:rPr>
          <w:rFonts w:ascii="Arial" w:eastAsia="Times New Roman" w:hAnsi="Arial" w:cs="Arial"/>
          <w:b/>
          <w:sz w:val="20"/>
          <w:szCs w:val="20"/>
          <w:lang w:bidi="ar-SA"/>
        </w:rPr>
        <w:t xml:space="preserve">Situace v oblasti spotřebitelských úvěrů je poměrně stabilní. Jak ukazují </w:t>
      </w:r>
      <w:r w:rsidR="00486103" w:rsidRPr="00063164">
        <w:rPr>
          <w:rFonts w:ascii="Arial" w:eastAsia="Times New Roman" w:hAnsi="Arial" w:cs="Arial"/>
          <w:b/>
          <w:sz w:val="20"/>
          <w:szCs w:val="20"/>
          <w:lang w:bidi="ar-SA"/>
        </w:rPr>
        <w:t>aktuální data</w:t>
      </w:r>
      <w:r w:rsidR="00C5437F" w:rsidRPr="00063164">
        <w:rPr>
          <w:rFonts w:ascii="Arial" w:eastAsia="Times New Roman" w:hAnsi="Arial" w:cs="Arial"/>
          <w:b/>
          <w:sz w:val="20"/>
          <w:szCs w:val="20"/>
          <w:lang w:bidi="ar-SA"/>
        </w:rPr>
        <w:t xml:space="preserve"> Broker Consulting Indexu spotřebitelských úvěrů,</w:t>
      </w:r>
      <w:r w:rsidR="00C5437F" w:rsidRPr="00063164">
        <w:rPr>
          <w:rFonts w:ascii="Arial" w:hAnsi="Arial" w:cs="Arial"/>
          <w:b/>
          <w:sz w:val="20"/>
          <w:szCs w:val="20"/>
          <w:lang w:eastAsia="en-US"/>
        </w:rPr>
        <w:t xml:space="preserve"> už druhý měsíc po sobě se průměrné sazby úvěrů na cokoliv mírně zvedají. V lednu dosáhly hodnoty 7,63 procenta, což je </w:t>
      </w:r>
      <w:r w:rsidR="003940D4">
        <w:rPr>
          <w:rFonts w:ascii="Arial" w:hAnsi="Arial" w:cs="Arial"/>
          <w:b/>
          <w:sz w:val="20"/>
          <w:szCs w:val="20"/>
          <w:lang w:eastAsia="en-US"/>
        </w:rPr>
        <w:t xml:space="preserve">oproti prosinci </w:t>
      </w:r>
      <w:r w:rsidR="00C5437F" w:rsidRPr="00063164">
        <w:rPr>
          <w:rFonts w:ascii="Arial" w:hAnsi="Arial" w:cs="Arial"/>
          <w:b/>
          <w:sz w:val="20"/>
          <w:szCs w:val="20"/>
          <w:lang w:eastAsia="en-US"/>
        </w:rPr>
        <w:t>o 0,19procentního bodu více.</w:t>
      </w:r>
      <w:r w:rsidR="00486103" w:rsidRPr="00063164">
        <w:rPr>
          <w:rFonts w:ascii="Arial" w:hAnsi="Arial" w:cs="Arial"/>
          <w:b/>
          <w:sz w:val="20"/>
          <w:szCs w:val="20"/>
          <w:lang w:eastAsia="en-US"/>
        </w:rPr>
        <w:t xml:space="preserve"> </w:t>
      </w:r>
      <w:r w:rsidR="00C5437F" w:rsidRPr="00063164">
        <w:rPr>
          <w:rFonts w:ascii="Arial" w:hAnsi="Arial" w:cs="Arial"/>
          <w:b/>
          <w:sz w:val="20"/>
          <w:szCs w:val="20"/>
          <w:lang w:eastAsia="en-US"/>
        </w:rPr>
        <w:t xml:space="preserve">V meziročním srovnání </w:t>
      </w:r>
      <w:r w:rsidR="00486103" w:rsidRPr="00063164">
        <w:rPr>
          <w:rFonts w:ascii="Arial" w:hAnsi="Arial" w:cs="Arial"/>
          <w:b/>
          <w:sz w:val="20"/>
          <w:szCs w:val="20"/>
          <w:lang w:eastAsia="en-US"/>
        </w:rPr>
        <w:t xml:space="preserve">se však letošní lednové sazby pohybují </w:t>
      </w:r>
      <w:r w:rsidR="00C5437F" w:rsidRPr="00063164">
        <w:rPr>
          <w:rFonts w:ascii="Arial" w:hAnsi="Arial" w:cs="Arial"/>
          <w:b/>
          <w:sz w:val="20"/>
          <w:szCs w:val="20"/>
          <w:lang w:eastAsia="en-US"/>
        </w:rPr>
        <w:t>výrazně níže</w:t>
      </w:r>
      <w:r w:rsidR="003940D4">
        <w:rPr>
          <w:rFonts w:ascii="Arial" w:hAnsi="Arial" w:cs="Arial"/>
          <w:b/>
          <w:sz w:val="20"/>
          <w:szCs w:val="20"/>
          <w:lang w:eastAsia="en-US"/>
        </w:rPr>
        <w:t xml:space="preserve"> než </w:t>
      </w:r>
      <w:r w:rsidR="00486103" w:rsidRPr="00063164">
        <w:rPr>
          <w:rFonts w:ascii="Arial" w:hAnsi="Arial" w:cs="Arial"/>
          <w:b/>
          <w:sz w:val="20"/>
          <w:szCs w:val="20"/>
          <w:lang w:eastAsia="en-US"/>
        </w:rPr>
        <w:t>l</w:t>
      </w:r>
      <w:r w:rsidR="003940D4">
        <w:rPr>
          <w:rFonts w:ascii="Arial" w:hAnsi="Arial" w:cs="Arial"/>
          <w:b/>
          <w:sz w:val="20"/>
          <w:szCs w:val="20"/>
          <w:lang w:eastAsia="en-US"/>
        </w:rPr>
        <w:t>oni v</w:t>
      </w:r>
      <w:r w:rsidR="00486103" w:rsidRPr="00063164">
        <w:rPr>
          <w:rFonts w:ascii="Arial" w:hAnsi="Arial" w:cs="Arial"/>
          <w:b/>
          <w:sz w:val="20"/>
          <w:szCs w:val="20"/>
          <w:lang w:eastAsia="en-US"/>
        </w:rPr>
        <w:t xml:space="preserve"> lednu</w:t>
      </w:r>
      <w:r w:rsidR="00C5437F" w:rsidRPr="00063164">
        <w:rPr>
          <w:rFonts w:ascii="Arial" w:hAnsi="Arial" w:cs="Arial"/>
          <w:b/>
          <w:sz w:val="20"/>
          <w:szCs w:val="20"/>
          <w:lang w:eastAsia="en-US"/>
        </w:rPr>
        <w:t xml:space="preserve">, </w:t>
      </w:r>
      <w:r w:rsidR="00063164" w:rsidRPr="00063164">
        <w:rPr>
          <w:rFonts w:ascii="Arial" w:hAnsi="Arial" w:cs="Arial"/>
          <w:b/>
          <w:sz w:val="20"/>
          <w:szCs w:val="20"/>
          <w:lang w:eastAsia="en-US"/>
        </w:rPr>
        <w:t>konkrétně</w:t>
      </w:r>
      <w:r w:rsidR="00C5437F" w:rsidRPr="00063164">
        <w:rPr>
          <w:rFonts w:ascii="Arial" w:hAnsi="Arial" w:cs="Arial"/>
          <w:b/>
          <w:sz w:val="20"/>
          <w:szCs w:val="20"/>
          <w:lang w:eastAsia="en-US"/>
        </w:rPr>
        <w:t xml:space="preserve"> o 0,68procentního bodu</w:t>
      </w:r>
      <w:r w:rsidR="00486103" w:rsidRPr="00063164">
        <w:rPr>
          <w:rFonts w:ascii="Arial" w:hAnsi="Arial" w:cs="Arial"/>
          <w:b/>
          <w:sz w:val="20"/>
          <w:szCs w:val="20"/>
          <w:lang w:eastAsia="en-US"/>
        </w:rPr>
        <w:t xml:space="preserve">. Podle odborníků nejsou drobné </w:t>
      </w:r>
      <w:r w:rsidR="00486103" w:rsidRPr="00063164">
        <w:rPr>
          <w:rFonts w:ascii="Arial" w:hAnsi="Arial" w:cs="Arial"/>
          <w:b/>
          <w:sz w:val="20"/>
          <w:szCs w:val="20"/>
        </w:rPr>
        <w:t>výkyvy úrokových sazeb ničím neobvyklým</w:t>
      </w:r>
      <w:r w:rsidR="002C0711">
        <w:rPr>
          <w:rFonts w:ascii="Arial" w:hAnsi="Arial" w:cs="Arial"/>
          <w:b/>
          <w:sz w:val="20"/>
          <w:szCs w:val="20"/>
        </w:rPr>
        <w:t xml:space="preserve"> a</w:t>
      </w:r>
      <w:r w:rsidR="00486103" w:rsidRPr="00063164">
        <w:rPr>
          <w:rFonts w:ascii="Arial" w:hAnsi="Arial" w:cs="Arial"/>
          <w:b/>
          <w:sz w:val="20"/>
          <w:szCs w:val="20"/>
        </w:rPr>
        <w:t xml:space="preserve"> </w:t>
      </w:r>
      <w:r w:rsidR="002C0711" w:rsidRPr="00063164">
        <w:rPr>
          <w:rFonts w:ascii="Arial" w:hAnsi="Arial" w:cs="Arial"/>
          <w:b/>
          <w:sz w:val="20"/>
          <w:szCs w:val="20"/>
        </w:rPr>
        <w:t>zásadní změny</w:t>
      </w:r>
      <w:r w:rsidR="002C0711">
        <w:rPr>
          <w:rFonts w:ascii="Arial" w:hAnsi="Arial" w:cs="Arial"/>
          <w:b/>
          <w:sz w:val="20"/>
          <w:szCs w:val="20"/>
        </w:rPr>
        <w:t xml:space="preserve"> </w:t>
      </w:r>
      <w:r w:rsidR="002C0711" w:rsidRPr="00063164">
        <w:rPr>
          <w:rFonts w:ascii="Arial" w:hAnsi="Arial" w:cs="Arial"/>
          <w:b/>
          <w:sz w:val="20"/>
          <w:szCs w:val="20"/>
        </w:rPr>
        <w:t>nelze předpokládat</w:t>
      </w:r>
      <w:r w:rsidR="002C0711">
        <w:rPr>
          <w:rFonts w:ascii="Arial" w:hAnsi="Arial" w:cs="Arial"/>
          <w:b/>
          <w:sz w:val="20"/>
          <w:szCs w:val="20"/>
        </w:rPr>
        <w:t xml:space="preserve"> ani </w:t>
      </w:r>
      <w:r w:rsidR="002C0711" w:rsidRPr="00063164">
        <w:rPr>
          <w:rFonts w:ascii="Arial" w:hAnsi="Arial" w:cs="Arial"/>
          <w:b/>
          <w:sz w:val="20"/>
          <w:szCs w:val="20"/>
        </w:rPr>
        <w:t>v dalších měsících tohoto roku</w:t>
      </w:r>
      <w:r w:rsidR="00486103" w:rsidRPr="00063164">
        <w:rPr>
          <w:rFonts w:ascii="Arial" w:hAnsi="Arial" w:cs="Arial"/>
          <w:b/>
          <w:sz w:val="20"/>
          <w:szCs w:val="20"/>
        </w:rPr>
        <w:t>.</w:t>
      </w:r>
    </w:p>
    <w:p w14:paraId="1E7EDEAC" w14:textId="77777777" w:rsidR="00486103" w:rsidRDefault="00486103" w:rsidP="00486103">
      <w:pPr>
        <w:jc w:val="both"/>
        <w:rPr>
          <w:rFonts w:ascii="Arial" w:hAnsi="Arial" w:cs="Arial"/>
          <w:sz w:val="20"/>
          <w:szCs w:val="20"/>
        </w:rPr>
      </w:pPr>
    </w:p>
    <w:p w14:paraId="479F7EF5" w14:textId="0C199126" w:rsidR="00E67BB1" w:rsidRPr="00E67BB1" w:rsidRDefault="003940D4" w:rsidP="00E67BB1">
      <w:pPr>
        <w:jc w:val="both"/>
        <w:rPr>
          <w:rFonts w:ascii="Arial" w:hAnsi="Arial" w:cs="Arial"/>
          <w:sz w:val="20"/>
          <w:szCs w:val="20"/>
        </w:rPr>
      </w:pPr>
      <w:r>
        <w:rPr>
          <w:rFonts w:ascii="Arial" w:hAnsi="Arial" w:cs="Arial"/>
          <w:sz w:val="20"/>
          <w:szCs w:val="20"/>
          <w:lang w:eastAsia="en-US"/>
        </w:rPr>
        <w:t xml:space="preserve">První měsíc letošního roku přinesl další zdražení úvěrů na cokoli, ačkoli jen </w:t>
      </w:r>
      <w:r w:rsidR="00224339">
        <w:rPr>
          <w:rFonts w:ascii="Arial" w:hAnsi="Arial" w:cs="Arial"/>
          <w:sz w:val="20"/>
          <w:szCs w:val="20"/>
          <w:lang w:eastAsia="en-US"/>
        </w:rPr>
        <w:t xml:space="preserve">velice </w:t>
      </w:r>
      <w:r>
        <w:rPr>
          <w:rFonts w:ascii="Arial" w:hAnsi="Arial" w:cs="Arial"/>
          <w:sz w:val="20"/>
          <w:szCs w:val="20"/>
          <w:lang w:eastAsia="en-US"/>
        </w:rPr>
        <w:t>mírné.</w:t>
      </w:r>
      <w:r w:rsidRPr="003940D4">
        <w:rPr>
          <w:rFonts w:ascii="Arial" w:hAnsi="Arial" w:cs="Arial"/>
          <w:sz w:val="20"/>
          <w:szCs w:val="20"/>
          <w:lang w:eastAsia="en-US"/>
        </w:rPr>
        <w:t xml:space="preserve"> Výsledky Broker Consulting Indexu spotřebitelských úvěrů ukazují, že jeho hodnota meziměsíčně vzrostla o 0,19procentního bodu na 7,63 </w:t>
      </w:r>
      <w:r w:rsidR="002C0711">
        <w:rPr>
          <w:rFonts w:ascii="Arial" w:hAnsi="Arial" w:cs="Arial"/>
          <w:sz w:val="20"/>
          <w:szCs w:val="20"/>
          <w:lang w:eastAsia="en-US"/>
        </w:rPr>
        <w:t>procent</w:t>
      </w:r>
      <w:r w:rsidRPr="003940D4">
        <w:rPr>
          <w:rFonts w:ascii="Arial" w:hAnsi="Arial" w:cs="Arial"/>
          <w:sz w:val="20"/>
          <w:szCs w:val="20"/>
          <w:lang w:eastAsia="en-US"/>
        </w:rPr>
        <w:t>.</w:t>
      </w:r>
      <w:r w:rsidR="00E67BB1">
        <w:rPr>
          <w:rFonts w:ascii="Arial" w:hAnsi="Arial" w:cs="Arial"/>
          <w:sz w:val="20"/>
          <w:szCs w:val="20"/>
          <w:lang w:eastAsia="en-US"/>
        </w:rPr>
        <w:t xml:space="preserve"> </w:t>
      </w:r>
      <w:r w:rsidR="00803325" w:rsidRPr="00803325">
        <w:rPr>
          <w:rFonts w:ascii="Arial" w:hAnsi="Arial" w:cs="Arial"/>
          <w:i/>
          <w:sz w:val="20"/>
          <w:szCs w:val="20"/>
          <w:lang w:eastAsia="en-US"/>
        </w:rPr>
        <w:t>„</w:t>
      </w:r>
      <w:r w:rsidR="00E67BB1" w:rsidRPr="00803325">
        <w:rPr>
          <w:rFonts w:ascii="Arial" w:hAnsi="Arial" w:cs="Arial"/>
          <w:i/>
          <w:sz w:val="20"/>
          <w:szCs w:val="20"/>
          <w:lang w:eastAsia="en-US"/>
        </w:rPr>
        <w:t>I přes toto marginální zvýšení se</w:t>
      </w:r>
      <w:r w:rsidRPr="00803325">
        <w:rPr>
          <w:rFonts w:ascii="Arial" w:hAnsi="Arial" w:cs="Arial"/>
          <w:b/>
          <w:i/>
          <w:sz w:val="20"/>
          <w:szCs w:val="20"/>
        </w:rPr>
        <w:t xml:space="preserve"> </w:t>
      </w:r>
      <w:r w:rsidRPr="00803325">
        <w:rPr>
          <w:rFonts w:ascii="Arial" w:hAnsi="Arial" w:cs="Arial"/>
          <w:i/>
          <w:sz w:val="20"/>
          <w:szCs w:val="20"/>
        </w:rPr>
        <w:t>hodnoty dál pohybují poměrně hluboko pod osmiprocentní hranicí, a to již od listopadu 2024.</w:t>
      </w:r>
      <w:r w:rsidR="00E67BB1" w:rsidRPr="00803325">
        <w:rPr>
          <w:rFonts w:ascii="Arial" w:hAnsi="Arial" w:cs="Arial"/>
          <w:i/>
          <w:sz w:val="20"/>
          <w:szCs w:val="20"/>
        </w:rPr>
        <w:t xml:space="preserve"> </w:t>
      </w:r>
      <w:r w:rsidRPr="00E67BB1">
        <w:rPr>
          <w:rFonts w:ascii="Arial" w:hAnsi="Arial" w:cs="Arial"/>
          <w:i/>
          <w:sz w:val="20"/>
          <w:szCs w:val="20"/>
        </w:rPr>
        <w:t>Mírné výkyvy u toho typu produktu jsou poměrně časté, každopádně v následujících měsících neočekáváme žádn</w:t>
      </w:r>
      <w:r w:rsidR="00E67BB1" w:rsidRPr="00E67BB1">
        <w:rPr>
          <w:rFonts w:ascii="Arial" w:hAnsi="Arial" w:cs="Arial"/>
          <w:i/>
          <w:sz w:val="20"/>
          <w:szCs w:val="20"/>
        </w:rPr>
        <w:t>é v</w:t>
      </w:r>
      <w:r w:rsidR="00803325">
        <w:rPr>
          <w:rFonts w:ascii="Arial" w:hAnsi="Arial" w:cs="Arial"/>
          <w:i/>
          <w:sz w:val="20"/>
          <w:szCs w:val="20"/>
        </w:rPr>
        <w:t>ýrazné</w:t>
      </w:r>
      <w:r w:rsidR="00E67BB1" w:rsidRPr="00E67BB1">
        <w:rPr>
          <w:rFonts w:ascii="Arial" w:hAnsi="Arial" w:cs="Arial"/>
          <w:i/>
          <w:sz w:val="20"/>
          <w:szCs w:val="20"/>
        </w:rPr>
        <w:t xml:space="preserve"> změny ani jedním směrem,“ </w:t>
      </w:r>
      <w:r w:rsidR="00E67BB1">
        <w:rPr>
          <w:rFonts w:ascii="Arial" w:hAnsi="Arial" w:cs="Arial"/>
          <w:sz w:val="20"/>
          <w:szCs w:val="20"/>
        </w:rPr>
        <w:t>uvádí k aktuálním hodnotám sazeb</w:t>
      </w:r>
      <w:r w:rsidRPr="00587489">
        <w:rPr>
          <w:rFonts w:ascii="Arial" w:hAnsi="Arial" w:cs="Arial"/>
          <w:sz w:val="20"/>
          <w:szCs w:val="20"/>
        </w:rPr>
        <w:t xml:space="preserve"> </w:t>
      </w:r>
      <w:r w:rsidR="00E67BB1" w:rsidRPr="00E67BB1">
        <w:rPr>
          <w:rFonts w:ascii="Arial" w:hAnsi="Arial" w:cs="Arial"/>
          <w:b/>
          <w:sz w:val="20"/>
          <w:szCs w:val="20"/>
          <w:lang w:eastAsia="en-US"/>
        </w:rPr>
        <w:t>Michaela Pudilová, analytička hypotečních a spotřebitelských úvěrů společnosti Broker Consulting</w:t>
      </w:r>
      <w:r w:rsidR="00E67BB1" w:rsidRPr="00E67BB1">
        <w:rPr>
          <w:rFonts w:ascii="Arial" w:hAnsi="Arial" w:cs="Arial"/>
          <w:sz w:val="20"/>
          <w:szCs w:val="20"/>
          <w:lang w:eastAsia="en-US"/>
        </w:rPr>
        <w:t>.</w:t>
      </w:r>
      <w:r w:rsidR="002C0711">
        <w:rPr>
          <w:rFonts w:ascii="Arial" w:hAnsi="Arial" w:cs="Arial"/>
          <w:sz w:val="20"/>
          <w:szCs w:val="20"/>
          <w:lang w:eastAsia="en-US"/>
        </w:rPr>
        <w:t xml:space="preserve"> </w:t>
      </w:r>
    </w:p>
    <w:p w14:paraId="0C119BA4" w14:textId="77777777" w:rsidR="003940D4" w:rsidRPr="00587489" w:rsidRDefault="003940D4" w:rsidP="003940D4">
      <w:pPr>
        <w:jc w:val="both"/>
        <w:rPr>
          <w:rFonts w:ascii="Arial" w:hAnsi="Arial" w:cs="Arial"/>
          <w:sz w:val="20"/>
          <w:szCs w:val="20"/>
        </w:rPr>
      </w:pPr>
    </w:p>
    <w:p w14:paraId="1CDB9A7A" w14:textId="4AAC67D4" w:rsidR="003940D4" w:rsidRPr="007C2B55" w:rsidRDefault="003940D4" w:rsidP="007C2B55">
      <w:pPr>
        <w:jc w:val="both"/>
        <w:rPr>
          <w:rFonts w:ascii="Arial" w:hAnsi="Arial" w:cs="Arial"/>
          <w:sz w:val="20"/>
          <w:szCs w:val="20"/>
        </w:rPr>
      </w:pPr>
      <w:r w:rsidRPr="00517F1E">
        <w:rPr>
          <w:rFonts w:ascii="Arial" w:hAnsi="Arial" w:cs="Arial"/>
          <w:sz w:val="20"/>
          <w:szCs w:val="20"/>
        </w:rPr>
        <w:t xml:space="preserve">Při pohledu do historie sledování indexu se ukazuje, že letošní lednové sazby jsou z pohledu žadatelů o úvěr výrazně přijatelnější než před rokem. V lednu </w:t>
      </w:r>
      <w:r w:rsidR="00224339">
        <w:rPr>
          <w:rFonts w:ascii="Arial" w:hAnsi="Arial" w:cs="Arial"/>
          <w:sz w:val="20"/>
          <w:szCs w:val="20"/>
        </w:rPr>
        <w:t>minulého roku</w:t>
      </w:r>
      <w:r w:rsidRPr="00517F1E">
        <w:rPr>
          <w:rFonts w:ascii="Arial" w:hAnsi="Arial" w:cs="Arial"/>
          <w:sz w:val="20"/>
          <w:szCs w:val="20"/>
        </w:rPr>
        <w:t xml:space="preserve"> se totiž sazby </w:t>
      </w:r>
      <w:r w:rsidR="00224339">
        <w:rPr>
          <w:rFonts w:ascii="Arial" w:hAnsi="Arial" w:cs="Arial"/>
          <w:sz w:val="20"/>
          <w:szCs w:val="20"/>
        </w:rPr>
        <w:t xml:space="preserve">úvěrů na cokoli </w:t>
      </w:r>
      <w:r w:rsidRPr="00517F1E">
        <w:rPr>
          <w:rFonts w:ascii="Arial" w:hAnsi="Arial" w:cs="Arial"/>
          <w:sz w:val="20"/>
          <w:szCs w:val="20"/>
        </w:rPr>
        <w:t xml:space="preserve">pohybovaly </w:t>
      </w:r>
      <w:r w:rsidR="002C0711">
        <w:rPr>
          <w:rFonts w:ascii="Arial" w:hAnsi="Arial" w:cs="Arial"/>
          <w:sz w:val="20"/>
          <w:szCs w:val="20"/>
        </w:rPr>
        <w:t>o 0,68</w:t>
      </w:r>
      <w:r>
        <w:rPr>
          <w:rFonts w:ascii="Arial" w:hAnsi="Arial" w:cs="Arial"/>
          <w:sz w:val="20"/>
          <w:szCs w:val="20"/>
        </w:rPr>
        <w:t xml:space="preserve">procentního bodu </w:t>
      </w:r>
      <w:r w:rsidR="002C0711">
        <w:rPr>
          <w:rFonts w:ascii="Arial" w:hAnsi="Arial" w:cs="Arial"/>
          <w:sz w:val="20"/>
          <w:szCs w:val="20"/>
        </w:rPr>
        <w:t xml:space="preserve">výše – </w:t>
      </w:r>
      <w:r w:rsidRPr="00517F1E">
        <w:rPr>
          <w:rFonts w:ascii="Arial" w:hAnsi="Arial" w:cs="Arial"/>
          <w:sz w:val="20"/>
          <w:szCs w:val="20"/>
        </w:rPr>
        <w:t xml:space="preserve">na hodnotě 8,31 </w:t>
      </w:r>
      <w:r w:rsidR="002C0711">
        <w:rPr>
          <w:rFonts w:ascii="Arial" w:hAnsi="Arial" w:cs="Arial"/>
          <w:sz w:val="20"/>
          <w:szCs w:val="20"/>
        </w:rPr>
        <w:t>procent</w:t>
      </w:r>
      <w:r w:rsidR="00A969D4">
        <w:rPr>
          <w:rFonts w:ascii="Arial" w:hAnsi="Arial" w:cs="Arial"/>
          <w:sz w:val="20"/>
          <w:szCs w:val="20"/>
        </w:rPr>
        <w:t xml:space="preserve">. </w:t>
      </w:r>
      <w:r w:rsidR="00224339">
        <w:rPr>
          <w:rFonts w:ascii="Arial" w:hAnsi="Arial" w:cs="Arial"/>
          <w:sz w:val="20"/>
          <w:szCs w:val="20"/>
        </w:rPr>
        <w:t xml:space="preserve">Takto vysokých hodnot průměrné sazby podle Pudilové určitě v blízké době nedosáhnou. </w:t>
      </w:r>
      <w:r w:rsidR="007C2B55" w:rsidRPr="007C2B55">
        <w:rPr>
          <w:rFonts w:ascii="Arial" w:hAnsi="Arial" w:cs="Arial"/>
          <w:i/>
          <w:sz w:val="20"/>
          <w:szCs w:val="20"/>
        </w:rPr>
        <w:t>„</w:t>
      </w:r>
      <w:r w:rsidR="00803325">
        <w:rPr>
          <w:rFonts w:ascii="Arial" w:hAnsi="Arial" w:cs="Arial"/>
          <w:i/>
          <w:sz w:val="20"/>
          <w:szCs w:val="20"/>
        </w:rPr>
        <w:t>V</w:t>
      </w:r>
      <w:r w:rsidR="00803325" w:rsidRPr="007C2B55">
        <w:rPr>
          <w:rFonts w:ascii="Arial" w:hAnsi="Arial" w:cs="Arial"/>
          <w:i/>
          <w:sz w:val="20"/>
          <w:szCs w:val="20"/>
        </w:rPr>
        <w:t>edle úrokové</w:t>
      </w:r>
      <w:r w:rsidR="00803325">
        <w:rPr>
          <w:rFonts w:ascii="Arial" w:hAnsi="Arial" w:cs="Arial"/>
          <w:i/>
          <w:sz w:val="20"/>
          <w:szCs w:val="20"/>
        </w:rPr>
        <w:t xml:space="preserve"> sazby</w:t>
      </w:r>
      <w:r w:rsidR="00803325" w:rsidRPr="007C2B55">
        <w:rPr>
          <w:rFonts w:ascii="Arial" w:hAnsi="Arial" w:cs="Arial"/>
          <w:i/>
          <w:sz w:val="20"/>
          <w:szCs w:val="20"/>
        </w:rPr>
        <w:t xml:space="preserve"> </w:t>
      </w:r>
      <w:r w:rsidR="00803325">
        <w:rPr>
          <w:rFonts w:ascii="Arial" w:hAnsi="Arial" w:cs="Arial"/>
          <w:i/>
          <w:sz w:val="20"/>
          <w:szCs w:val="20"/>
        </w:rPr>
        <w:t>je n</w:t>
      </w:r>
      <w:r w:rsidR="007C2B55" w:rsidRPr="007C2B55">
        <w:rPr>
          <w:rFonts w:ascii="Arial" w:hAnsi="Arial" w:cs="Arial"/>
          <w:i/>
          <w:sz w:val="20"/>
          <w:szCs w:val="20"/>
        </w:rPr>
        <w:t>eméně zásadním</w:t>
      </w:r>
      <w:r w:rsidR="00224339" w:rsidRPr="007C2B55">
        <w:rPr>
          <w:rFonts w:ascii="Arial" w:hAnsi="Arial" w:cs="Arial"/>
          <w:i/>
          <w:sz w:val="20"/>
          <w:szCs w:val="20"/>
        </w:rPr>
        <w:t xml:space="preserve"> aspektem, který definuje celkovou výši spotřebitelského úvěru,</w:t>
      </w:r>
      <w:r w:rsidR="007C2B55" w:rsidRPr="007C2B55">
        <w:rPr>
          <w:rFonts w:ascii="Arial" w:hAnsi="Arial" w:cs="Arial"/>
          <w:i/>
          <w:sz w:val="20"/>
          <w:szCs w:val="20"/>
        </w:rPr>
        <w:t xml:space="preserve"> také délka </w:t>
      </w:r>
      <w:r w:rsidR="00224339" w:rsidRPr="007C2B55">
        <w:rPr>
          <w:rFonts w:ascii="Arial" w:hAnsi="Arial" w:cs="Arial"/>
          <w:i/>
          <w:sz w:val="20"/>
          <w:szCs w:val="20"/>
        </w:rPr>
        <w:t>jeho splatnosti</w:t>
      </w:r>
      <w:r w:rsidR="007C2B55" w:rsidRPr="007C2B55">
        <w:rPr>
          <w:rFonts w:ascii="Arial" w:hAnsi="Arial" w:cs="Arial"/>
          <w:i/>
          <w:sz w:val="20"/>
          <w:szCs w:val="20"/>
        </w:rPr>
        <w:t xml:space="preserve">. Samozřejmě je optimální </w:t>
      </w:r>
      <w:r w:rsidR="00224339" w:rsidRPr="007C2B55">
        <w:rPr>
          <w:rFonts w:ascii="Arial" w:hAnsi="Arial" w:cs="Arial"/>
          <w:i/>
          <w:sz w:val="20"/>
          <w:szCs w:val="20"/>
        </w:rPr>
        <w:t>splatit dlužnou částku co nejdříve</w:t>
      </w:r>
      <w:r w:rsidR="007C2B55" w:rsidRPr="007C2B55">
        <w:rPr>
          <w:rFonts w:ascii="Arial" w:hAnsi="Arial" w:cs="Arial"/>
          <w:i/>
          <w:sz w:val="20"/>
          <w:szCs w:val="20"/>
        </w:rPr>
        <w:t>, nicméně v této souvislosti d</w:t>
      </w:r>
      <w:r w:rsidR="00A969D4">
        <w:rPr>
          <w:rFonts w:ascii="Arial" w:hAnsi="Arial" w:cs="Arial"/>
          <w:i/>
          <w:sz w:val="20"/>
          <w:szCs w:val="20"/>
        </w:rPr>
        <w:t xml:space="preserve">oporučuji všem žadatelům o úvěr </w:t>
      </w:r>
      <w:r w:rsidR="007C2B55" w:rsidRPr="007C2B55">
        <w:rPr>
          <w:rFonts w:ascii="Arial" w:hAnsi="Arial" w:cs="Arial"/>
          <w:i/>
          <w:sz w:val="20"/>
          <w:szCs w:val="20"/>
        </w:rPr>
        <w:t xml:space="preserve">nejprve </w:t>
      </w:r>
      <w:r w:rsidR="00A969D4">
        <w:rPr>
          <w:rFonts w:ascii="Arial" w:hAnsi="Arial" w:cs="Arial"/>
          <w:i/>
          <w:sz w:val="20"/>
          <w:szCs w:val="20"/>
        </w:rPr>
        <w:t xml:space="preserve">věnovat čas </w:t>
      </w:r>
      <w:r w:rsidR="007C2B55" w:rsidRPr="007C2B55">
        <w:rPr>
          <w:rFonts w:ascii="Arial" w:hAnsi="Arial" w:cs="Arial"/>
          <w:i/>
          <w:sz w:val="20"/>
          <w:szCs w:val="20"/>
        </w:rPr>
        <w:t>finančním</w:t>
      </w:r>
      <w:r w:rsidR="00A969D4">
        <w:rPr>
          <w:rFonts w:ascii="Arial" w:hAnsi="Arial" w:cs="Arial"/>
          <w:i/>
          <w:sz w:val="20"/>
          <w:szCs w:val="20"/>
        </w:rPr>
        <w:t>u</w:t>
      </w:r>
      <w:r w:rsidR="007C2B55" w:rsidRPr="007C2B55">
        <w:rPr>
          <w:rFonts w:ascii="Arial" w:hAnsi="Arial" w:cs="Arial"/>
          <w:i/>
          <w:sz w:val="20"/>
          <w:szCs w:val="20"/>
        </w:rPr>
        <w:t xml:space="preserve"> plánování, které pomůže snížit riziko zadlužení a </w:t>
      </w:r>
      <w:r w:rsidR="00A969D4">
        <w:rPr>
          <w:rFonts w:ascii="Arial" w:hAnsi="Arial" w:cs="Arial"/>
          <w:i/>
          <w:sz w:val="20"/>
          <w:szCs w:val="20"/>
        </w:rPr>
        <w:t xml:space="preserve">také jim </w:t>
      </w:r>
      <w:r w:rsidR="007C2B55" w:rsidRPr="007C2B55">
        <w:rPr>
          <w:rFonts w:ascii="Arial" w:hAnsi="Arial" w:cs="Arial"/>
          <w:i/>
          <w:sz w:val="20"/>
          <w:szCs w:val="20"/>
        </w:rPr>
        <w:t xml:space="preserve">umožní </w:t>
      </w:r>
      <w:r w:rsidR="00803325">
        <w:rPr>
          <w:rFonts w:ascii="Arial" w:hAnsi="Arial" w:cs="Arial"/>
          <w:i/>
          <w:sz w:val="20"/>
          <w:szCs w:val="20"/>
        </w:rPr>
        <w:t>vytvořit si nějaké úspory</w:t>
      </w:r>
      <w:r w:rsidR="007C2B55" w:rsidRPr="007C2B55">
        <w:rPr>
          <w:rFonts w:ascii="Arial" w:hAnsi="Arial" w:cs="Arial"/>
          <w:i/>
          <w:sz w:val="20"/>
          <w:szCs w:val="20"/>
        </w:rPr>
        <w:t>,“</w:t>
      </w:r>
      <w:r w:rsidR="007C2B55">
        <w:rPr>
          <w:rFonts w:ascii="Arial" w:hAnsi="Arial" w:cs="Arial"/>
          <w:sz w:val="20"/>
          <w:szCs w:val="20"/>
        </w:rPr>
        <w:t xml:space="preserve"> vysvětluje </w:t>
      </w:r>
      <w:r w:rsidR="007C2B55" w:rsidRPr="007C2B55">
        <w:rPr>
          <w:rFonts w:ascii="Arial" w:hAnsi="Arial" w:cs="Arial"/>
          <w:b/>
          <w:sz w:val="20"/>
          <w:szCs w:val="20"/>
        </w:rPr>
        <w:t>Michaela Pudil</w:t>
      </w:r>
      <w:bookmarkStart w:id="0" w:name="_GoBack"/>
      <w:bookmarkEnd w:id="0"/>
      <w:r w:rsidR="007C2B55" w:rsidRPr="007C2B55">
        <w:rPr>
          <w:rFonts w:ascii="Arial" w:hAnsi="Arial" w:cs="Arial"/>
          <w:b/>
          <w:sz w:val="20"/>
          <w:szCs w:val="20"/>
        </w:rPr>
        <w:t>ová</w:t>
      </w:r>
      <w:r w:rsidR="007C2B55">
        <w:rPr>
          <w:rFonts w:ascii="Arial" w:hAnsi="Arial" w:cs="Arial"/>
          <w:sz w:val="20"/>
          <w:szCs w:val="20"/>
        </w:rPr>
        <w:t xml:space="preserve">. </w:t>
      </w:r>
      <w:r w:rsidR="002C0711">
        <w:rPr>
          <w:rFonts w:ascii="Arial" w:hAnsi="Arial" w:cs="Arial"/>
          <w:sz w:val="20"/>
          <w:szCs w:val="20"/>
        </w:rPr>
        <w:t xml:space="preserve"> </w:t>
      </w:r>
    </w:p>
    <w:p w14:paraId="2A6ACE3F" w14:textId="2388072C" w:rsidR="00486103" w:rsidRPr="00587489" w:rsidRDefault="00486103" w:rsidP="00486103">
      <w:pPr>
        <w:jc w:val="both"/>
        <w:rPr>
          <w:rFonts w:ascii="Arial" w:hAnsi="Arial" w:cs="Arial"/>
          <w:sz w:val="20"/>
          <w:szCs w:val="20"/>
        </w:rPr>
      </w:pPr>
    </w:p>
    <w:p w14:paraId="76EFDAAA" w14:textId="39E55EEF" w:rsidR="00C5437F" w:rsidRPr="00587489" w:rsidRDefault="00C5437F" w:rsidP="00DA4EBC">
      <w:pPr>
        <w:rPr>
          <w:rFonts w:ascii="Arial" w:hAnsi="Arial" w:cs="Arial"/>
          <w:b/>
          <w:sz w:val="20"/>
          <w:szCs w:val="20"/>
          <w:lang w:eastAsia="en-US"/>
        </w:rPr>
      </w:pPr>
    </w:p>
    <w:p w14:paraId="6445BAEA" w14:textId="15DB0C85" w:rsidR="00DA4EBC" w:rsidRPr="00587489" w:rsidRDefault="00B26B92" w:rsidP="00DA4EBC">
      <w:pPr>
        <w:rPr>
          <w:rFonts w:ascii="Arial" w:hAnsi="Arial" w:cs="Arial"/>
          <w:sz w:val="20"/>
          <w:szCs w:val="20"/>
          <w:lang w:eastAsia="en-US"/>
        </w:rPr>
      </w:pPr>
      <w:r>
        <w:rPr>
          <w:rFonts w:ascii="Arial" w:hAnsi="Arial" w:cs="Arial"/>
          <w:sz w:val="20"/>
          <w:szCs w:val="20"/>
          <w:lang w:eastAsia="en-US"/>
        </w:rPr>
        <w:pict w14:anchorId="5B0F06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7pt;height:244.25pt">
            <v:imagedata r:id="rId25" o:title="GRAF - BC Index spotr"/>
          </v:shape>
        </w:pict>
      </w:r>
    </w:p>
    <w:p w14:paraId="45FAD492" w14:textId="77777777" w:rsidR="00B80E2F" w:rsidRPr="00B80E2F" w:rsidRDefault="00B80E2F" w:rsidP="00DA4EBC">
      <w:pPr>
        <w:jc w:val="both"/>
        <w:rPr>
          <w:rFonts w:ascii="Arial" w:hAnsi="Arial" w:cs="Arial"/>
          <w:b/>
          <w:sz w:val="20"/>
          <w:szCs w:val="20"/>
        </w:rPr>
      </w:pPr>
    </w:p>
    <w:p w14:paraId="07DC2F97" w14:textId="6C523E98" w:rsidR="00B80E2F" w:rsidRPr="00803325" w:rsidRDefault="00B80E2F" w:rsidP="00DA4EBC">
      <w:pPr>
        <w:jc w:val="both"/>
        <w:rPr>
          <w:rFonts w:ascii="Arial" w:hAnsi="Arial" w:cs="Arial"/>
          <w:b/>
        </w:rPr>
      </w:pPr>
      <w:r w:rsidRPr="00803325">
        <w:rPr>
          <w:rFonts w:ascii="Arial" w:hAnsi="Arial" w:cs="Arial"/>
          <w:b/>
        </w:rPr>
        <w:t>Jaké příjmy banka uzná u žádosti o spotřebitelský úvěr?</w:t>
      </w:r>
    </w:p>
    <w:p w14:paraId="2114BB90" w14:textId="0D981F70" w:rsidR="00A969D4" w:rsidRPr="00A969D4" w:rsidRDefault="00A969D4" w:rsidP="00803325">
      <w:pPr>
        <w:widowControl/>
        <w:autoSpaceDE/>
        <w:autoSpaceDN/>
        <w:spacing w:before="100" w:beforeAutospacing="1" w:after="100" w:afterAutospacing="1"/>
        <w:jc w:val="both"/>
        <w:rPr>
          <w:rFonts w:ascii="Arial" w:hAnsi="Arial" w:cs="Arial"/>
          <w:sz w:val="20"/>
          <w:szCs w:val="20"/>
        </w:rPr>
      </w:pPr>
      <w:r w:rsidRPr="00A969D4">
        <w:rPr>
          <w:rFonts w:ascii="Arial" w:hAnsi="Arial" w:cs="Arial"/>
          <w:sz w:val="20"/>
          <w:szCs w:val="20"/>
        </w:rPr>
        <w:t xml:space="preserve">Před poskytnutím spotřebitelského úvěru banky vždy posuzují příjmy žadatele. </w:t>
      </w:r>
      <w:r w:rsidR="00803325" w:rsidRPr="00803325">
        <w:rPr>
          <w:rFonts w:ascii="Arial" w:hAnsi="Arial" w:cs="Arial"/>
          <w:i/>
          <w:sz w:val="20"/>
          <w:szCs w:val="20"/>
        </w:rPr>
        <w:t>„</w:t>
      </w:r>
      <w:r w:rsidRPr="00A969D4">
        <w:rPr>
          <w:rFonts w:ascii="Arial" w:hAnsi="Arial" w:cs="Arial"/>
          <w:i/>
          <w:sz w:val="20"/>
          <w:szCs w:val="20"/>
        </w:rPr>
        <w:t>Ty by měly být nejen dostatečné, ale také stabilní, aby banka minimalizovala riziko nesplácení. Pokud klient pobírá mzdu na účet u dané banky, obvykle není nutné příjmy dokládat jiným způsobem. V takových případech můž</w:t>
      </w:r>
      <w:r w:rsidR="00803325" w:rsidRPr="00803325">
        <w:rPr>
          <w:rFonts w:ascii="Arial" w:hAnsi="Arial" w:cs="Arial"/>
          <w:i/>
          <w:sz w:val="20"/>
          <w:szCs w:val="20"/>
        </w:rPr>
        <w:t xml:space="preserve">e banka rovnou vygenerovat takzvaný </w:t>
      </w:r>
      <w:proofErr w:type="spellStart"/>
      <w:r w:rsidRPr="00A969D4">
        <w:rPr>
          <w:rFonts w:ascii="Arial" w:hAnsi="Arial" w:cs="Arial"/>
          <w:i/>
          <w:sz w:val="20"/>
          <w:szCs w:val="20"/>
        </w:rPr>
        <w:t>předschválený</w:t>
      </w:r>
      <w:proofErr w:type="spellEnd"/>
      <w:r w:rsidRPr="00A969D4">
        <w:rPr>
          <w:rFonts w:ascii="Arial" w:hAnsi="Arial" w:cs="Arial"/>
          <w:i/>
          <w:sz w:val="20"/>
          <w:szCs w:val="20"/>
        </w:rPr>
        <w:t xml:space="preserve"> limit, což umožňuje rychlé a jednodušší čerpání úvěru</w:t>
      </w:r>
      <w:r w:rsidR="00803325" w:rsidRPr="00803325">
        <w:rPr>
          <w:rFonts w:ascii="Arial" w:hAnsi="Arial" w:cs="Arial"/>
          <w:i/>
          <w:sz w:val="20"/>
          <w:szCs w:val="20"/>
        </w:rPr>
        <w:t xml:space="preserve">,“ </w:t>
      </w:r>
      <w:r w:rsidR="00803325">
        <w:rPr>
          <w:rFonts w:ascii="Arial" w:hAnsi="Arial" w:cs="Arial"/>
          <w:sz w:val="20"/>
          <w:szCs w:val="20"/>
        </w:rPr>
        <w:t xml:space="preserve">popisuje </w:t>
      </w:r>
      <w:r w:rsidR="00803325" w:rsidRPr="00803325">
        <w:rPr>
          <w:rFonts w:ascii="Arial" w:hAnsi="Arial" w:cs="Arial"/>
          <w:b/>
          <w:sz w:val="20"/>
          <w:szCs w:val="20"/>
        </w:rPr>
        <w:t>Michaela Pudilová</w:t>
      </w:r>
      <w:r w:rsidRPr="00A969D4">
        <w:rPr>
          <w:rFonts w:ascii="Arial" w:hAnsi="Arial" w:cs="Arial"/>
          <w:sz w:val="20"/>
          <w:szCs w:val="20"/>
        </w:rPr>
        <w:t>.</w:t>
      </w:r>
    </w:p>
    <w:p w14:paraId="6CC08E73" w14:textId="74FAE569" w:rsidR="00153646" w:rsidRPr="00803325" w:rsidRDefault="00A969D4" w:rsidP="00803325">
      <w:pPr>
        <w:widowControl/>
        <w:autoSpaceDE/>
        <w:autoSpaceDN/>
        <w:spacing w:before="100" w:beforeAutospacing="1" w:after="100" w:afterAutospacing="1"/>
        <w:jc w:val="both"/>
        <w:rPr>
          <w:rFonts w:ascii="Arial" w:hAnsi="Arial" w:cs="Arial"/>
          <w:sz w:val="20"/>
          <w:szCs w:val="20"/>
        </w:rPr>
      </w:pPr>
      <w:r w:rsidRPr="00A969D4">
        <w:rPr>
          <w:rFonts w:ascii="Arial" w:hAnsi="Arial" w:cs="Arial"/>
          <w:sz w:val="20"/>
          <w:szCs w:val="20"/>
        </w:rPr>
        <w:t xml:space="preserve">Dalším způsobem doložení příjmů je </w:t>
      </w:r>
      <w:r w:rsidR="002C0711">
        <w:rPr>
          <w:rFonts w:ascii="Arial" w:hAnsi="Arial" w:cs="Arial"/>
          <w:sz w:val="20"/>
          <w:szCs w:val="20"/>
        </w:rPr>
        <w:t xml:space="preserve">podle Pudilové </w:t>
      </w:r>
      <w:r w:rsidRPr="00A969D4">
        <w:rPr>
          <w:rFonts w:ascii="Arial" w:hAnsi="Arial" w:cs="Arial"/>
          <w:sz w:val="20"/>
          <w:szCs w:val="20"/>
        </w:rPr>
        <w:t>potvrzení od zaměstnavatele nebo poslední daňové přiznání v případě podnikatelů. Banky však zohledňují i jiné druhy příjmů, jako jsou starobní a invalidní důchody, rodičovský příspěvek nebo příjmy z pronájmu. Přístup k těmto příjmům se však může lišit – některé banky je akceptují v plné výši, jiné jen částečně nebo vůbec.</w:t>
      </w:r>
      <w:r w:rsidR="00803325">
        <w:rPr>
          <w:rFonts w:ascii="Arial" w:hAnsi="Arial" w:cs="Arial"/>
          <w:sz w:val="20"/>
          <w:szCs w:val="20"/>
        </w:rPr>
        <w:t xml:space="preserve"> </w:t>
      </w:r>
      <w:r w:rsidRPr="00A969D4">
        <w:rPr>
          <w:rFonts w:ascii="Arial" w:hAnsi="Arial" w:cs="Arial"/>
          <w:sz w:val="20"/>
          <w:szCs w:val="20"/>
        </w:rPr>
        <w:t xml:space="preserve">Klíčové je, aby </w:t>
      </w:r>
      <w:r w:rsidR="00803325">
        <w:rPr>
          <w:rFonts w:ascii="Arial" w:hAnsi="Arial" w:cs="Arial"/>
          <w:sz w:val="20"/>
          <w:szCs w:val="20"/>
        </w:rPr>
        <w:t xml:space="preserve">žadatel o spotřebitelský úvěr měl </w:t>
      </w:r>
      <w:r w:rsidR="00803325" w:rsidRPr="00A969D4">
        <w:rPr>
          <w:rFonts w:ascii="Arial" w:hAnsi="Arial" w:cs="Arial"/>
          <w:sz w:val="20"/>
          <w:szCs w:val="20"/>
        </w:rPr>
        <w:t xml:space="preserve">stabilní </w:t>
      </w:r>
      <w:r w:rsidRPr="00A969D4">
        <w:rPr>
          <w:rFonts w:ascii="Arial" w:hAnsi="Arial" w:cs="Arial"/>
          <w:sz w:val="20"/>
          <w:szCs w:val="20"/>
        </w:rPr>
        <w:t xml:space="preserve">příjmy a </w:t>
      </w:r>
      <w:r w:rsidR="00803325">
        <w:rPr>
          <w:rFonts w:ascii="Arial" w:hAnsi="Arial" w:cs="Arial"/>
          <w:sz w:val="20"/>
          <w:szCs w:val="20"/>
        </w:rPr>
        <w:t xml:space="preserve">zároveň aby </w:t>
      </w:r>
      <w:r w:rsidR="00803325" w:rsidRPr="00587489">
        <w:rPr>
          <w:rFonts w:ascii="Arial" w:hAnsi="Arial" w:cs="Arial"/>
          <w:sz w:val="20"/>
          <w:szCs w:val="20"/>
        </w:rPr>
        <w:t>trvaly minimálně po celou dobu splácení úvěru</w:t>
      </w:r>
      <w:r w:rsidR="00803325">
        <w:rPr>
          <w:rFonts w:ascii="Arial" w:hAnsi="Arial" w:cs="Arial"/>
          <w:sz w:val="20"/>
          <w:szCs w:val="20"/>
        </w:rPr>
        <w:t>.</w:t>
      </w:r>
    </w:p>
    <w:p w14:paraId="7C29C945" w14:textId="6A1B5440" w:rsidR="00803325" w:rsidRDefault="00491AEC" w:rsidP="00803325">
      <w:pPr>
        <w:spacing w:before="120"/>
        <w:jc w:val="both"/>
        <w:rPr>
          <w:rFonts w:ascii="Arial" w:hAnsi="Arial" w:cs="Arial"/>
          <w:b/>
          <w:sz w:val="20"/>
          <w:szCs w:val="20"/>
        </w:rPr>
      </w:pPr>
      <w:r>
        <w:rPr>
          <w:rFonts w:ascii="Arial" w:hAnsi="Arial" w:cs="Arial"/>
          <w:b/>
          <w:sz w:val="20"/>
          <w:szCs w:val="20"/>
        </w:rPr>
        <w:lastRenderedPageBreak/>
        <w:pict w14:anchorId="357C0294">
          <v:rect id="_x0000_i1026" style="width:0;height:1.5pt" o:hralign="center" o:hrstd="t" o:hr="t" fillcolor="#a0a0a0" stroked="f"/>
        </w:pict>
      </w:r>
    </w:p>
    <w:p w14:paraId="4CF17F9A" w14:textId="1F46DA1A" w:rsidR="00C10C80" w:rsidRPr="00153646" w:rsidRDefault="008F3C6D" w:rsidP="00EE3451">
      <w:pPr>
        <w:spacing w:before="120"/>
        <w:rPr>
          <w:rFonts w:ascii="Arial" w:hAnsi="Arial" w:cs="Arial"/>
          <w:b/>
          <w:sz w:val="20"/>
          <w:szCs w:val="20"/>
        </w:rPr>
      </w:pPr>
      <w:r w:rsidRPr="00153646">
        <w:rPr>
          <w:rFonts w:ascii="Arial" w:hAnsi="Arial" w:cs="Arial"/>
          <w:b/>
          <w:sz w:val="20"/>
          <w:szCs w:val="20"/>
        </w:rPr>
        <w:t>Broker Consulting Index spotřebitelských úvěrů</w:t>
      </w:r>
      <w:r w:rsidRPr="00153646">
        <w:rPr>
          <w:rFonts w:ascii="Arial" w:hAnsi="Arial" w:cs="Arial"/>
          <w:sz w:val="20"/>
          <w:szCs w:val="20"/>
        </w:rPr>
        <w:t xml:space="preserve"> je analytický nástroj, který ukazuje průměrnou úrokovou sazbu </w:t>
      </w:r>
      <w:r w:rsidR="00BE768F" w:rsidRPr="00153646">
        <w:rPr>
          <w:rFonts w:ascii="Arial" w:hAnsi="Arial" w:cs="Arial"/>
          <w:sz w:val="20"/>
          <w:szCs w:val="20"/>
        </w:rPr>
        <w:br/>
      </w:r>
      <w:r w:rsidRPr="00153646">
        <w:rPr>
          <w:rFonts w:ascii="Arial" w:hAnsi="Arial" w:cs="Arial"/>
          <w:sz w:val="20"/>
          <w:szCs w:val="20"/>
        </w:rPr>
        <w:t>u spotřebitelských úvěrů, jež zprostředkovali konzultanti Brok</w:t>
      </w:r>
      <w:r w:rsidR="00BB537C" w:rsidRPr="00153646">
        <w:rPr>
          <w:rFonts w:ascii="Arial" w:hAnsi="Arial" w:cs="Arial"/>
          <w:sz w:val="20"/>
          <w:szCs w:val="20"/>
        </w:rPr>
        <w:t>er Consulting a pobočky Broker Point či Broker Point Premium,</w:t>
      </w:r>
      <w:r w:rsidRPr="00153646">
        <w:rPr>
          <w:rFonts w:ascii="Arial" w:hAnsi="Arial" w:cs="Arial"/>
          <w:sz w:val="20"/>
          <w:szCs w:val="20"/>
        </w:rPr>
        <w:t xml:space="preserve"> u kteréhokoli poskytovatele bankovních úvěrů. Jedná se o vážený aritmetický průměr, kdy hlavní vahou je objem úvěru. Tedy čím vyšší úvěr, tím jeho sazba do Indexu vstupuje větší vahou. Výhodou metody výpočtu je to, že se do stati</w:t>
      </w:r>
      <w:r w:rsidR="009066E9" w:rsidRPr="00153646">
        <w:rPr>
          <w:rFonts w:ascii="Arial" w:hAnsi="Arial" w:cs="Arial"/>
          <w:sz w:val="20"/>
          <w:szCs w:val="20"/>
        </w:rPr>
        <w:t xml:space="preserve">stiky dostávají pouze  skutečně schválené </w:t>
      </w:r>
      <w:r w:rsidRPr="00153646">
        <w:rPr>
          <w:rFonts w:ascii="Arial" w:hAnsi="Arial" w:cs="Arial"/>
          <w:sz w:val="20"/>
          <w:szCs w:val="20"/>
        </w:rPr>
        <w:t xml:space="preserve">úvěry, a to bez výjimky všechny. Nemůže tak </w:t>
      </w:r>
      <w:r w:rsidR="00EE3451" w:rsidRPr="00153646">
        <w:rPr>
          <w:rFonts w:ascii="Arial" w:hAnsi="Arial" w:cs="Arial"/>
          <w:sz w:val="20"/>
          <w:szCs w:val="20"/>
        </w:rPr>
        <w:t>dojít ke zkreslení informací a i</w:t>
      </w:r>
      <w:r w:rsidRPr="00153646">
        <w:rPr>
          <w:rFonts w:ascii="Arial" w:hAnsi="Arial" w:cs="Arial"/>
          <w:sz w:val="20"/>
          <w:szCs w:val="20"/>
        </w:rPr>
        <w:t>ndex není závislý na datech dodávaných třetími stranami.</w:t>
      </w:r>
      <w:r w:rsidRPr="00153646">
        <w:rPr>
          <w:rFonts w:ascii="Arial" w:hAnsi="Arial" w:cs="Arial"/>
          <w:b/>
          <w:sz w:val="20"/>
          <w:szCs w:val="20"/>
        </w:rPr>
        <w:tab/>
      </w:r>
    </w:p>
    <w:p w14:paraId="2FA3FD44" w14:textId="1E7A17D8" w:rsidR="008F3C6D" w:rsidRPr="00153646" w:rsidRDefault="008F3C6D" w:rsidP="00EE3451">
      <w:pPr>
        <w:spacing w:before="120" w:after="120"/>
        <w:rPr>
          <w:rFonts w:ascii="Arial" w:hAnsi="Arial" w:cs="Arial"/>
          <w:b/>
          <w:sz w:val="20"/>
          <w:szCs w:val="20"/>
        </w:rPr>
      </w:pPr>
      <w:r w:rsidRPr="00153646">
        <w:rPr>
          <w:rFonts w:ascii="Arial" w:hAnsi="Arial" w:cs="Arial"/>
          <w:b/>
          <w:sz w:val="20"/>
          <w:szCs w:val="20"/>
        </w:rPr>
        <w:t>Proč je dobré Index sledovat</w:t>
      </w:r>
      <w:r w:rsidRPr="00153646">
        <w:rPr>
          <w:rFonts w:ascii="Arial" w:hAnsi="Arial" w:cs="Arial"/>
          <w:b/>
          <w:sz w:val="20"/>
          <w:szCs w:val="20"/>
        </w:rPr>
        <w:tab/>
      </w:r>
    </w:p>
    <w:p w14:paraId="3C9B9C6D" w14:textId="77777777" w:rsidR="0014220D" w:rsidRPr="00153646" w:rsidRDefault="008F3C6D" w:rsidP="00EF6D8C">
      <w:pPr>
        <w:pBdr>
          <w:bottom w:val="single" w:sz="4" w:space="1" w:color="auto"/>
        </w:pBdr>
        <w:spacing w:after="120"/>
        <w:rPr>
          <w:rFonts w:ascii="Arial" w:hAnsi="Arial" w:cs="Arial"/>
          <w:sz w:val="20"/>
          <w:szCs w:val="20"/>
        </w:rPr>
      </w:pPr>
      <w:r w:rsidRPr="00153646">
        <w:rPr>
          <w:rFonts w:ascii="Arial" w:hAnsi="Arial" w:cs="Arial"/>
          <w:sz w:val="20"/>
          <w:szCs w:val="20"/>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w:t>
      </w:r>
      <w:r w:rsidR="00FE619E" w:rsidRPr="00153646">
        <w:rPr>
          <w:rFonts w:ascii="Arial" w:hAnsi="Arial" w:cs="Arial"/>
          <w:sz w:val="20"/>
          <w:szCs w:val="20"/>
        </w:rPr>
        <w:t>,</w:t>
      </w:r>
      <w:r w:rsidRPr="00153646">
        <w:rPr>
          <w:rFonts w:ascii="Arial" w:hAnsi="Arial" w:cs="Arial"/>
          <w:sz w:val="20"/>
          <w:szCs w:val="20"/>
        </w:rPr>
        <w:t xml:space="preserve"> a úroková sazba je výrazněji vyšší než aktuální index, je potřeba zpozornět.</w:t>
      </w:r>
    </w:p>
    <w:p w14:paraId="0979CE30" w14:textId="41DC5452" w:rsidR="008B3925" w:rsidRPr="00153646" w:rsidRDefault="008F3C6D" w:rsidP="00EF6D8C">
      <w:pPr>
        <w:pBdr>
          <w:bottom w:val="single" w:sz="4" w:space="1" w:color="auto"/>
        </w:pBdr>
        <w:spacing w:after="120"/>
        <w:rPr>
          <w:rFonts w:ascii="Arial" w:hAnsi="Arial" w:cs="Arial"/>
          <w:sz w:val="20"/>
          <w:szCs w:val="20"/>
        </w:rPr>
      </w:pPr>
      <w:r w:rsidRPr="00153646">
        <w:rPr>
          <w:rFonts w:ascii="Arial" w:hAnsi="Arial" w:cs="Arial"/>
          <w:sz w:val="20"/>
          <w:szCs w:val="20"/>
        </w:rPr>
        <w:tab/>
      </w:r>
    </w:p>
    <w:p w14:paraId="5F16FECD" w14:textId="69AB3698" w:rsidR="008F3C6D" w:rsidRPr="00153646" w:rsidRDefault="008F3C6D" w:rsidP="008F3C6D">
      <w:pPr>
        <w:jc w:val="both"/>
        <w:rPr>
          <w:rFonts w:ascii="Arial" w:hAnsi="Arial" w:cs="Arial"/>
          <w:sz w:val="20"/>
          <w:szCs w:val="20"/>
        </w:rPr>
      </w:pPr>
    </w:p>
    <w:p w14:paraId="685A4AD2" w14:textId="2E6F37DA" w:rsidR="00B51F55" w:rsidRPr="00736162" w:rsidRDefault="00B51F55" w:rsidP="00EF6D8C">
      <w:pPr>
        <w:spacing w:after="120"/>
        <w:rPr>
          <w:rFonts w:ascii="Arial" w:hAnsi="Arial" w:cs="Arial"/>
          <w:color w:val="1D1D1B"/>
          <w:w w:val="105"/>
          <w:sz w:val="19"/>
          <w:szCs w:val="19"/>
        </w:rPr>
      </w:pPr>
      <w:r w:rsidRPr="007216D1">
        <w:rPr>
          <w:rFonts w:ascii="Arial" w:hAnsi="Arial" w:cs="Arial"/>
          <w:b/>
          <w:sz w:val="19"/>
          <w:szCs w:val="19"/>
        </w:rPr>
        <w:t>Poznámka pro média:</w:t>
      </w:r>
      <w:r w:rsidRPr="007216D1">
        <w:rPr>
          <w:rFonts w:ascii="Arial" w:hAnsi="Arial" w:cs="Arial"/>
          <w:sz w:val="19"/>
          <w:szCs w:val="19"/>
        </w:rPr>
        <w:t xml:space="preserve"> </w:t>
      </w:r>
      <w:r w:rsidRPr="007216D1">
        <w:rPr>
          <w:rFonts w:ascii="Arial" w:hAnsi="Arial" w:cs="Arial"/>
          <w:color w:val="1D1D1B"/>
          <w:w w:val="105"/>
          <w:sz w:val="19"/>
          <w:szCs w:val="19"/>
        </w:rPr>
        <w:t>Broker</w:t>
      </w:r>
      <w:r w:rsidRPr="007216D1">
        <w:rPr>
          <w:rFonts w:ascii="Arial" w:hAnsi="Arial" w:cs="Arial"/>
          <w:color w:val="1D1D1B"/>
          <w:spacing w:val="-9"/>
          <w:w w:val="105"/>
          <w:sz w:val="19"/>
          <w:szCs w:val="19"/>
        </w:rPr>
        <w:t xml:space="preserve"> </w:t>
      </w:r>
      <w:r w:rsidRPr="007216D1">
        <w:rPr>
          <w:rFonts w:ascii="Arial" w:hAnsi="Arial" w:cs="Arial"/>
          <w:color w:val="1D1D1B"/>
          <w:w w:val="105"/>
          <w:sz w:val="19"/>
          <w:szCs w:val="19"/>
        </w:rPr>
        <w:t>Consulting</w:t>
      </w:r>
      <w:r w:rsidRPr="007216D1">
        <w:rPr>
          <w:rFonts w:ascii="Arial" w:hAnsi="Arial" w:cs="Arial"/>
          <w:color w:val="1D1D1B"/>
          <w:spacing w:val="-8"/>
          <w:w w:val="105"/>
          <w:sz w:val="19"/>
          <w:szCs w:val="19"/>
        </w:rPr>
        <w:t xml:space="preserve"> </w:t>
      </w:r>
      <w:r w:rsidRPr="007216D1">
        <w:rPr>
          <w:rFonts w:ascii="Arial" w:hAnsi="Arial" w:cs="Arial"/>
          <w:color w:val="1D1D1B"/>
          <w:w w:val="105"/>
          <w:sz w:val="19"/>
          <w:szCs w:val="19"/>
        </w:rPr>
        <w:t>Indexy</w:t>
      </w:r>
      <w:r w:rsidRPr="007216D1">
        <w:rPr>
          <w:rFonts w:ascii="Arial" w:hAnsi="Arial" w:cs="Arial"/>
          <w:color w:val="1D1D1B"/>
          <w:spacing w:val="-9"/>
          <w:w w:val="105"/>
          <w:sz w:val="19"/>
          <w:szCs w:val="19"/>
        </w:rPr>
        <w:t xml:space="preserve"> </w:t>
      </w:r>
      <w:r w:rsidRPr="007216D1">
        <w:rPr>
          <w:rFonts w:ascii="Arial" w:hAnsi="Arial" w:cs="Arial"/>
          <w:color w:val="1D1D1B"/>
          <w:w w:val="105"/>
          <w:sz w:val="19"/>
          <w:szCs w:val="19"/>
        </w:rPr>
        <w:t>je</w:t>
      </w:r>
      <w:r w:rsidRPr="007216D1">
        <w:rPr>
          <w:rFonts w:ascii="Arial" w:hAnsi="Arial" w:cs="Arial"/>
          <w:color w:val="1D1D1B"/>
          <w:spacing w:val="-8"/>
          <w:w w:val="105"/>
          <w:sz w:val="19"/>
          <w:szCs w:val="19"/>
        </w:rPr>
        <w:t xml:space="preserve"> </w:t>
      </w:r>
      <w:r w:rsidRPr="007216D1">
        <w:rPr>
          <w:rFonts w:ascii="Arial" w:hAnsi="Arial" w:cs="Arial"/>
          <w:color w:val="1D1D1B"/>
          <w:w w:val="105"/>
          <w:sz w:val="19"/>
          <w:szCs w:val="19"/>
        </w:rPr>
        <w:t>možné</w:t>
      </w:r>
      <w:r w:rsidRPr="007216D1">
        <w:rPr>
          <w:rFonts w:ascii="Arial" w:hAnsi="Arial" w:cs="Arial"/>
          <w:color w:val="1D1D1B"/>
          <w:spacing w:val="-9"/>
          <w:w w:val="105"/>
          <w:sz w:val="19"/>
          <w:szCs w:val="19"/>
        </w:rPr>
        <w:t xml:space="preserve"> </w:t>
      </w:r>
      <w:r w:rsidRPr="007216D1">
        <w:rPr>
          <w:rFonts w:ascii="Arial" w:hAnsi="Arial" w:cs="Arial"/>
          <w:color w:val="1D1D1B"/>
          <w:w w:val="105"/>
          <w:sz w:val="19"/>
          <w:szCs w:val="19"/>
        </w:rPr>
        <w:t>volně</w:t>
      </w:r>
      <w:r w:rsidRPr="007216D1">
        <w:rPr>
          <w:rFonts w:ascii="Arial" w:hAnsi="Arial" w:cs="Arial"/>
          <w:color w:val="1D1D1B"/>
          <w:spacing w:val="-8"/>
          <w:w w:val="105"/>
          <w:sz w:val="19"/>
          <w:szCs w:val="19"/>
        </w:rPr>
        <w:t xml:space="preserve"> </w:t>
      </w:r>
      <w:r w:rsidRPr="007216D1">
        <w:rPr>
          <w:rFonts w:ascii="Arial" w:hAnsi="Arial" w:cs="Arial"/>
          <w:color w:val="1D1D1B"/>
          <w:spacing w:val="2"/>
          <w:w w:val="105"/>
          <w:sz w:val="19"/>
          <w:szCs w:val="19"/>
        </w:rPr>
        <w:t>publikovat</w:t>
      </w:r>
      <w:r w:rsidRPr="007216D1">
        <w:rPr>
          <w:rFonts w:ascii="Arial" w:hAnsi="Arial" w:cs="Arial"/>
          <w:color w:val="1D1D1B"/>
          <w:spacing w:val="-9"/>
          <w:w w:val="105"/>
          <w:sz w:val="19"/>
          <w:szCs w:val="19"/>
        </w:rPr>
        <w:t xml:space="preserve"> </w:t>
      </w:r>
      <w:r w:rsidRPr="007216D1">
        <w:rPr>
          <w:rFonts w:ascii="Arial" w:hAnsi="Arial" w:cs="Arial"/>
          <w:color w:val="1D1D1B"/>
          <w:w w:val="105"/>
          <w:sz w:val="19"/>
          <w:szCs w:val="19"/>
        </w:rPr>
        <w:t>pouze</w:t>
      </w:r>
      <w:r w:rsidRPr="007216D1">
        <w:rPr>
          <w:rFonts w:ascii="Arial" w:hAnsi="Arial" w:cs="Arial"/>
          <w:color w:val="1D1D1B"/>
          <w:spacing w:val="-8"/>
          <w:w w:val="105"/>
          <w:sz w:val="19"/>
          <w:szCs w:val="19"/>
        </w:rPr>
        <w:t xml:space="preserve"> </w:t>
      </w:r>
      <w:r w:rsidRPr="007216D1">
        <w:rPr>
          <w:rFonts w:ascii="Arial" w:hAnsi="Arial" w:cs="Arial"/>
          <w:color w:val="1D1D1B"/>
          <w:w w:val="105"/>
          <w:sz w:val="19"/>
          <w:szCs w:val="19"/>
        </w:rPr>
        <w:t>s</w:t>
      </w:r>
      <w:r w:rsidRPr="007216D1">
        <w:rPr>
          <w:rFonts w:ascii="Arial" w:hAnsi="Arial" w:cs="Arial"/>
          <w:color w:val="1D1D1B"/>
          <w:spacing w:val="-9"/>
          <w:w w:val="105"/>
          <w:sz w:val="19"/>
          <w:szCs w:val="19"/>
        </w:rPr>
        <w:t xml:space="preserve"> </w:t>
      </w:r>
      <w:r w:rsidRPr="007216D1">
        <w:rPr>
          <w:rFonts w:ascii="Arial" w:hAnsi="Arial" w:cs="Arial"/>
          <w:color w:val="1D1D1B"/>
          <w:w w:val="105"/>
          <w:sz w:val="19"/>
          <w:szCs w:val="19"/>
        </w:rPr>
        <w:t>označením</w:t>
      </w:r>
      <w:r w:rsidRPr="007216D1">
        <w:rPr>
          <w:rFonts w:ascii="Arial" w:hAnsi="Arial" w:cs="Arial"/>
          <w:color w:val="1D1D1B"/>
          <w:spacing w:val="-8"/>
          <w:w w:val="105"/>
          <w:sz w:val="19"/>
          <w:szCs w:val="19"/>
        </w:rPr>
        <w:t xml:space="preserve"> </w:t>
      </w:r>
      <w:r w:rsidRPr="007216D1">
        <w:rPr>
          <w:rFonts w:ascii="Arial" w:hAnsi="Arial" w:cs="Arial"/>
          <w:color w:val="1D1D1B"/>
          <w:w w:val="105"/>
          <w:sz w:val="19"/>
          <w:szCs w:val="19"/>
        </w:rPr>
        <w:t>„Broker</w:t>
      </w:r>
      <w:r w:rsidRPr="007216D1">
        <w:rPr>
          <w:rFonts w:ascii="Arial" w:hAnsi="Arial" w:cs="Arial"/>
          <w:color w:val="1D1D1B"/>
          <w:spacing w:val="-9"/>
          <w:w w:val="105"/>
          <w:sz w:val="19"/>
          <w:szCs w:val="19"/>
        </w:rPr>
        <w:t xml:space="preserve"> </w:t>
      </w:r>
      <w:r w:rsidRPr="007216D1">
        <w:rPr>
          <w:rFonts w:ascii="Arial" w:hAnsi="Arial" w:cs="Arial"/>
          <w:color w:val="1D1D1B"/>
          <w:w w:val="105"/>
          <w:sz w:val="19"/>
          <w:szCs w:val="19"/>
        </w:rPr>
        <w:t>Consulting</w:t>
      </w:r>
      <w:r w:rsidRPr="007216D1">
        <w:rPr>
          <w:rFonts w:ascii="Arial" w:hAnsi="Arial" w:cs="Arial"/>
          <w:color w:val="1D1D1B"/>
          <w:spacing w:val="-8"/>
          <w:w w:val="105"/>
          <w:sz w:val="19"/>
          <w:szCs w:val="19"/>
        </w:rPr>
        <w:t xml:space="preserve"> </w:t>
      </w:r>
      <w:r w:rsidRPr="007216D1">
        <w:rPr>
          <w:rFonts w:ascii="Arial" w:hAnsi="Arial" w:cs="Arial"/>
          <w:color w:val="1D1D1B"/>
          <w:w w:val="105"/>
          <w:sz w:val="19"/>
          <w:szCs w:val="19"/>
        </w:rPr>
        <w:t>Index“</w:t>
      </w:r>
      <w:r w:rsidRPr="007216D1">
        <w:rPr>
          <w:rFonts w:ascii="Arial" w:hAnsi="Arial" w:cs="Arial"/>
          <w:color w:val="1D1D1B"/>
          <w:spacing w:val="-9"/>
          <w:w w:val="105"/>
          <w:sz w:val="19"/>
          <w:szCs w:val="19"/>
        </w:rPr>
        <w:t xml:space="preserve"> </w:t>
      </w:r>
      <w:r w:rsidRPr="007216D1">
        <w:rPr>
          <w:rFonts w:ascii="Arial" w:hAnsi="Arial" w:cs="Arial"/>
          <w:color w:val="1D1D1B"/>
          <w:spacing w:val="-3"/>
          <w:w w:val="105"/>
          <w:sz w:val="19"/>
          <w:szCs w:val="19"/>
        </w:rPr>
        <w:t>(</w:t>
      </w:r>
      <w:r w:rsidRPr="007216D1">
        <w:rPr>
          <w:rFonts w:ascii="Arial" w:hAnsi="Arial" w:cs="Arial"/>
          <w:i/>
          <w:color w:val="1D1D1B"/>
          <w:spacing w:val="-3"/>
          <w:w w:val="105"/>
          <w:sz w:val="19"/>
          <w:szCs w:val="19"/>
        </w:rPr>
        <w:t>např.</w:t>
      </w:r>
      <w:r w:rsidRPr="007216D1">
        <w:rPr>
          <w:rFonts w:ascii="Arial" w:hAnsi="Arial" w:cs="Arial"/>
          <w:i/>
          <w:color w:val="1D1D1B"/>
          <w:spacing w:val="-8"/>
          <w:w w:val="105"/>
          <w:sz w:val="19"/>
          <w:szCs w:val="19"/>
        </w:rPr>
        <w:t xml:space="preserve"> </w:t>
      </w:r>
      <w:r w:rsidRPr="007216D1">
        <w:rPr>
          <w:rFonts w:ascii="Arial" w:hAnsi="Arial" w:cs="Arial"/>
          <w:i/>
          <w:color w:val="1D1D1B"/>
          <w:w w:val="105"/>
          <w:sz w:val="19"/>
          <w:szCs w:val="19"/>
        </w:rPr>
        <w:t>Broker</w:t>
      </w:r>
      <w:r w:rsidRPr="007216D1">
        <w:rPr>
          <w:rFonts w:ascii="Arial" w:hAnsi="Arial" w:cs="Arial"/>
          <w:i/>
          <w:color w:val="1D1D1B"/>
          <w:spacing w:val="-9"/>
          <w:w w:val="105"/>
          <w:sz w:val="19"/>
          <w:szCs w:val="19"/>
        </w:rPr>
        <w:t xml:space="preserve"> </w:t>
      </w:r>
      <w:r w:rsidRPr="007216D1">
        <w:rPr>
          <w:rFonts w:ascii="Arial" w:hAnsi="Arial" w:cs="Arial"/>
          <w:i/>
          <w:color w:val="1D1D1B"/>
          <w:w w:val="105"/>
          <w:sz w:val="19"/>
          <w:szCs w:val="19"/>
        </w:rPr>
        <w:t>Consulting</w:t>
      </w:r>
      <w:r w:rsidRPr="007216D1">
        <w:rPr>
          <w:rFonts w:ascii="Arial" w:hAnsi="Arial" w:cs="Arial"/>
          <w:i/>
          <w:color w:val="1D1D1B"/>
          <w:spacing w:val="-8"/>
          <w:w w:val="105"/>
          <w:sz w:val="19"/>
          <w:szCs w:val="19"/>
        </w:rPr>
        <w:t xml:space="preserve"> Index </w:t>
      </w:r>
      <w:r w:rsidRPr="007216D1">
        <w:rPr>
          <w:rFonts w:ascii="Arial" w:hAnsi="Arial" w:cs="Arial"/>
          <w:i/>
          <w:color w:val="1D1D1B"/>
          <w:w w:val="105"/>
          <w:sz w:val="19"/>
          <w:szCs w:val="19"/>
        </w:rPr>
        <w:t>hypoteční</w:t>
      </w:r>
      <w:r w:rsidRPr="007216D1">
        <w:rPr>
          <w:rFonts w:ascii="Arial" w:hAnsi="Arial" w:cs="Arial"/>
          <w:i/>
          <w:color w:val="1D1D1B"/>
          <w:spacing w:val="-9"/>
          <w:w w:val="105"/>
          <w:sz w:val="19"/>
          <w:szCs w:val="19"/>
        </w:rPr>
        <w:t>ch úvěrů</w:t>
      </w:r>
      <w:r w:rsidRPr="007216D1">
        <w:rPr>
          <w:rFonts w:ascii="Arial" w:hAnsi="Arial" w:cs="Arial"/>
          <w:i/>
          <w:color w:val="1D1D1B"/>
          <w:w w:val="105"/>
          <w:sz w:val="19"/>
          <w:szCs w:val="19"/>
        </w:rPr>
        <w:t xml:space="preserve">). </w:t>
      </w:r>
      <w:r w:rsidRPr="00736162">
        <w:rPr>
          <w:rFonts w:ascii="Arial" w:hAnsi="Arial" w:cs="Arial"/>
          <w:color w:val="1D1D1B"/>
          <w:w w:val="105"/>
          <w:sz w:val="19"/>
          <w:szCs w:val="19"/>
        </w:rPr>
        <w:t xml:space="preserve">Více informací najdete též na webu </w:t>
      </w:r>
      <w:r w:rsidRPr="00736162">
        <w:rPr>
          <w:rStyle w:val="Hypertextovodkaz"/>
          <w:rFonts w:ascii="Arial" w:hAnsi="Arial" w:cs="Arial"/>
          <w:w w:val="105"/>
          <w:sz w:val="19"/>
          <w:szCs w:val="19"/>
        </w:rPr>
        <w:t>https://www.bcas.cz/onas/pro-media/</w:t>
      </w:r>
      <w:r w:rsidRPr="00736162">
        <w:rPr>
          <w:rFonts w:ascii="Arial" w:hAnsi="Arial" w:cs="Arial"/>
          <w:color w:val="1D1D1B"/>
          <w:w w:val="105"/>
          <w:sz w:val="19"/>
          <w:szCs w:val="19"/>
        </w:rPr>
        <w:t xml:space="preserve">. </w:t>
      </w:r>
    </w:p>
    <w:p w14:paraId="7BBE6894" w14:textId="77777777" w:rsidR="007216D1" w:rsidRPr="007216D1" w:rsidRDefault="007216D1" w:rsidP="00EF6D8C">
      <w:pPr>
        <w:spacing w:after="120"/>
        <w:rPr>
          <w:rFonts w:ascii="Arial" w:hAnsi="Arial" w:cs="Arial"/>
          <w:sz w:val="19"/>
          <w:szCs w:val="19"/>
        </w:rPr>
      </w:pPr>
    </w:p>
    <w:p w14:paraId="5245244C" w14:textId="4C7ADB5C" w:rsidR="007563D8" w:rsidRPr="007216D1" w:rsidRDefault="007563D8" w:rsidP="00A2244B">
      <w:pPr>
        <w:rPr>
          <w:rFonts w:ascii="Arial" w:hAnsi="Arial" w:cs="Arial"/>
          <w:b/>
          <w:color w:val="1D1D1B"/>
          <w:w w:val="105"/>
          <w:sz w:val="19"/>
          <w:szCs w:val="19"/>
        </w:rPr>
      </w:pPr>
      <w:r w:rsidRPr="007216D1">
        <w:rPr>
          <w:rFonts w:ascii="Arial" w:hAnsi="Arial" w:cs="Arial"/>
          <w:b/>
          <w:color w:val="FF0000"/>
          <w:w w:val="105"/>
          <w:sz w:val="19"/>
          <w:szCs w:val="19"/>
        </w:rPr>
        <w:t>Broker Consulting Indexy je nyní možné sledovat v interaktivní formě na webu</w:t>
      </w:r>
      <w:r w:rsidR="0014220D" w:rsidRPr="007216D1">
        <w:rPr>
          <w:rFonts w:ascii="Arial" w:hAnsi="Arial" w:cs="Arial"/>
          <w:w w:val="105"/>
          <w:sz w:val="19"/>
          <w:szCs w:val="19"/>
        </w:rPr>
        <w:t xml:space="preserve">, kde </w:t>
      </w:r>
      <w:r w:rsidRPr="007216D1">
        <w:rPr>
          <w:rFonts w:ascii="Arial" w:hAnsi="Arial" w:cs="Arial"/>
          <w:w w:val="105"/>
          <w:sz w:val="19"/>
          <w:szCs w:val="19"/>
        </w:rPr>
        <w:t xml:space="preserve">lze </w:t>
      </w:r>
      <w:r w:rsidR="0014220D" w:rsidRPr="007216D1">
        <w:rPr>
          <w:rFonts w:ascii="Arial" w:hAnsi="Arial" w:cs="Arial"/>
          <w:w w:val="105"/>
          <w:sz w:val="19"/>
          <w:szCs w:val="19"/>
        </w:rPr>
        <w:t xml:space="preserve">současně </w:t>
      </w:r>
      <w:r w:rsidRPr="007216D1">
        <w:rPr>
          <w:rFonts w:ascii="Arial" w:hAnsi="Arial" w:cs="Arial"/>
          <w:w w:val="105"/>
          <w:sz w:val="19"/>
          <w:szCs w:val="19"/>
        </w:rPr>
        <w:t>exportovat zdrojová data ke grafům. V</w:t>
      </w:r>
      <w:r w:rsidR="0014220D" w:rsidRPr="007216D1">
        <w:rPr>
          <w:rFonts w:ascii="Arial" w:hAnsi="Arial" w:cs="Arial"/>
          <w:w w:val="105"/>
          <w:sz w:val="19"/>
          <w:szCs w:val="19"/>
        </w:rPr>
        <w:t>í</w:t>
      </w:r>
      <w:r w:rsidRPr="007216D1">
        <w:rPr>
          <w:rFonts w:ascii="Arial" w:hAnsi="Arial" w:cs="Arial"/>
          <w:w w:val="105"/>
          <w:sz w:val="19"/>
          <w:szCs w:val="19"/>
        </w:rPr>
        <w:t>ce dostupné na odkaze</w:t>
      </w:r>
      <w:r w:rsidRPr="007216D1">
        <w:rPr>
          <w:rFonts w:ascii="Arial" w:hAnsi="Arial" w:cs="Arial"/>
          <w:b/>
          <w:w w:val="105"/>
          <w:sz w:val="19"/>
          <w:szCs w:val="19"/>
        </w:rPr>
        <w:t xml:space="preserve"> </w:t>
      </w:r>
      <w:hyperlink r:id="rId26" w:history="1">
        <w:r w:rsidRPr="00736162">
          <w:rPr>
            <w:rStyle w:val="Hypertextovodkaz"/>
            <w:rFonts w:ascii="Arial" w:hAnsi="Arial" w:cs="Arial"/>
            <w:sz w:val="19"/>
            <w:szCs w:val="19"/>
          </w:rPr>
          <w:t>https://www.bcas.cz/o-nas/broker-consulting-index-spotrebitelskych-uveru/</w:t>
        </w:r>
      </w:hyperlink>
      <w:r w:rsidRPr="00736162">
        <w:rPr>
          <w:rFonts w:ascii="Arial" w:hAnsi="Arial" w:cs="Arial"/>
          <w:sz w:val="19"/>
          <w:szCs w:val="19"/>
        </w:rPr>
        <w:t>.</w:t>
      </w:r>
      <w:r w:rsidRPr="007216D1">
        <w:rPr>
          <w:rFonts w:ascii="Arial" w:hAnsi="Arial" w:cs="Arial"/>
          <w:b/>
          <w:sz w:val="19"/>
          <w:szCs w:val="19"/>
        </w:rPr>
        <w:t xml:space="preserve"> </w:t>
      </w:r>
    </w:p>
    <w:p w14:paraId="5D218463" w14:textId="77777777" w:rsidR="0014220D" w:rsidRPr="00153646" w:rsidRDefault="0014220D" w:rsidP="00EF6D8C">
      <w:pPr>
        <w:spacing w:before="120"/>
        <w:rPr>
          <w:rFonts w:ascii="Arial" w:eastAsia="Calibri" w:hAnsi="Arial" w:cs="Arial"/>
          <w:b/>
          <w:bCs/>
          <w:noProof/>
          <w:sz w:val="20"/>
          <w:szCs w:val="20"/>
        </w:rPr>
      </w:pPr>
    </w:p>
    <w:p w14:paraId="6CDBA645" w14:textId="77777777" w:rsidR="0014220D" w:rsidRPr="00153646" w:rsidRDefault="0014220D" w:rsidP="00EF6D8C">
      <w:pPr>
        <w:spacing w:before="120"/>
        <w:rPr>
          <w:rFonts w:ascii="Arial" w:eastAsia="Calibri" w:hAnsi="Arial" w:cs="Arial"/>
          <w:b/>
          <w:bCs/>
          <w:noProof/>
          <w:sz w:val="20"/>
          <w:szCs w:val="20"/>
        </w:rPr>
      </w:pPr>
    </w:p>
    <w:p w14:paraId="3FDF8955" w14:textId="69E0B70F" w:rsidR="00EF6D8C" w:rsidRPr="00153646" w:rsidRDefault="008F3C6D" w:rsidP="00EF6D8C">
      <w:pPr>
        <w:spacing w:before="120"/>
        <w:rPr>
          <w:rFonts w:ascii="Arial" w:eastAsia="Calibri" w:hAnsi="Arial" w:cs="Arial"/>
          <w:b/>
          <w:bCs/>
          <w:noProof/>
          <w:sz w:val="20"/>
          <w:szCs w:val="20"/>
        </w:rPr>
      </w:pPr>
      <w:r w:rsidRPr="00153646">
        <w:rPr>
          <w:rFonts w:ascii="Arial" w:eastAsia="Calibri" w:hAnsi="Arial" w:cs="Arial"/>
          <w:b/>
          <w:bCs/>
          <w:noProof/>
          <w:sz w:val="20"/>
          <w:szCs w:val="20"/>
        </w:rPr>
        <w:t>Kontakt pro média:</w:t>
      </w:r>
    </w:p>
    <w:p w14:paraId="028D413E" w14:textId="77777777" w:rsidR="007216D1" w:rsidRDefault="007216D1" w:rsidP="007216D1">
      <w:pPr>
        <w:pStyle w:val="Bezmezer"/>
        <w:ind w:right="142"/>
        <w:jc w:val="both"/>
        <w:rPr>
          <w:rFonts w:ascii="Arial" w:eastAsia="F015TEELig" w:hAnsi="Arial" w:cs="Arial"/>
          <w:b/>
          <w:sz w:val="18"/>
          <w:szCs w:val="18"/>
        </w:rPr>
      </w:pPr>
    </w:p>
    <w:p w14:paraId="288E633E" w14:textId="52BEF36B" w:rsidR="007216D1" w:rsidRPr="007216D1" w:rsidRDefault="007216D1" w:rsidP="007216D1">
      <w:pPr>
        <w:pStyle w:val="Bezmezer"/>
        <w:ind w:right="142"/>
        <w:jc w:val="both"/>
        <w:rPr>
          <w:rFonts w:ascii="Arial" w:eastAsia="F015TEELig" w:hAnsi="Arial" w:cs="Arial"/>
          <w:sz w:val="20"/>
          <w:szCs w:val="20"/>
        </w:rPr>
      </w:pPr>
      <w:r w:rsidRPr="007216D1">
        <w:rPr>
          <w:rFonts w:ascii="Arial" w:eastAsia="F015TEELig" w:hAnsi="Arial" w:cs="Arial"/>
          <w:sz w:val="20"/>
          <w:szCs w:val="20"/>
        </w:rPr>
        <w:t>Tereza Záhrubská</w:t>
      </w:r>
    </w:p>
    <w:p w14:paraId="79820841" w14:textId="77777777" w:rsidR="007216D1" w:rsidRPr="007216D1" w:rsidRDefault="007216D1" w:rsidP="007216D1">
      <w:pPr>
        <w:pStyle w:val="Bezmezer"/>
        <w:ind w:right="142"/>
        <w:jc w:val="both"/>
        <w:rPr>
          <w:rFonts w:ascii="Arial" w:eastAsia="F015TEELig" w:hAnsi="Arial" w:cs="Arial"/>
          <w:sz w:val="20"/>
          <w:szCs w:val="20"/>
        </w:rPr>
      </w:pPr>
      <w:r w:rsidRPr="007216D1">
        <w:rPr>
          <w:rFonts w:ascii="Arial" w:eastAsia="F015TEELig" w:hAnsi="Arial" w:cs="Arial"/>
          <w:sz w:val="20"/>
          <w:szCs w:val="20"/>
        </w:rPr>
        <w:t>Specialistka PR a externí komunikace</w:t>
      </w:r>
    </w:p>
    <w:p w14:paraId="0A87D22D" w14:textId="0FEC3A15" w:rsidR="007216D1" w:rsidRDefault="007216D1" w:rsidP="007216D1">
      <w:pPr>
        <w:pStyle w:val="Bezmezer"/>
        <w:ind w:right="142"/>
        <w:jc w:val="both"/>
        <w:rPr>
          <w:rFonts w:ascii="Arial" w:eastAsia="F015TEELig" w:hAnsi="Arial" w:cs="Arial"/>
          <w:sz w:val="20"/>
          <w:szCs w:val="20"/>
        </w:rPr>
      </w:pPr>
      <w:r w:rsidRPr="007216D1">
        <w:rPr>
          <w:rFonts w:ascii="Arial" w:eastAsia="F015TEELig" w:hAnsi="Arial" w:cs="Arial"/>
          <w:sz w:val="20"/>
          <w:szCs w:val="20"/>
        </w:rPr>
        <w:t>Mobil: +420 </w:t>
      </w:r>
      <w:r w:rsidRPr="007216D1">
        <w:rPr>
          <w:rFonts w:ascii="Arial" w:eastAsia="Calibri" w:hAnsi="Arial" w:cs="Arial"/>
          <w:noProof/>
          <w:sz w:val="20"/>
          <w:szCs w:val="20"/>
        </w:rPr>
        <w:t>731 537</w:t>
      </w:r>
      <w:r>
        <w:rPr>
          <w:rFonts w:ascii="Arial" w:eastAsia="Calibri" w:hAnsi="Arial" w:cs="Arial"/>
          <w:noProof/>
          <w:sz w:val="20"/>
          <w:szCs w:val="20"/>
        </w:rPr>
        <w:t> </w:t>
      </w:r>
      <w:r w:rsidRPr="007216D1">
        <w:rPr>
          <w:rFonts w:ascii="Arial" w:eastAsia="Calibri" w:hAnsi="Arial" w:cs="Arial"/>
          <w:noProof/>
          <w:sz w:val="20"/>
          <w:szCs w:val="20"/>
        </w:rPr>
        <w:t>716</w:t>
      </w:r>
    </w:p>
    <w:p w14:paraId="0C839170" w14:textId="747CED0D" w:rsidR="007216D1" w:rsidRPr="007216D1" w:rsidRDefault="007216D1" w:rsidP="007216D1">
      <w:pPr>
        <w:pStyle w:val="Bezmezer"/>
        <w:ind w:right="142"/>
        <w:jc w:val="both"/>
        <w:rPr>
          <w:rFonts w:ascii="Arial" w:eastAsia="F015TEELig" w:hAnsi="Arial" w:cs="Arial"/>
          <w:sz w:val="20"/>
          <w:szCs w:val="20"/>
        </w:rPr>
      </w:pPr>
      <w:r>
        <w:rPr>
          <w:rFonts w:ascii="Arial" w:eastAsia="F015TEELig" w:hAnsi="Arial" w:cs="Arial"/>
          <w:sz w:val="20"/>
          <w:szCs w:val="20"/>
        </w:rPr>
        <w:t>E</w:t>
      </w:r>
      <w:r w:rsidRPr="007216D1">
        <w:rPr>
          <w:rFonts w:ascii="Arial" w:eastAsia="F015TEELig" w:hAnsi="Arial" w:cs="Arial"/>
          <w:sz w:val="20"/>
          <w:szCs w:val="20"/>
        </w:rPr>
        <w:t>-mail:</w:t>
      </w:r>
      <w:r w:rsidRPr="007216D1">
        <w:rPr>
          <w:rFonts w:ascii="Arial" w:eastAsia="Calibri" w:hAnsi="Arial" w:cs="Arial"/>
          <w:noProof/>
          <w:sz w:val="20"/>
          <w:szCs w:val="20"/>
        </w:rPr>
        <w:t xml:space="preserve"> </w:t>
      </w:r>
      <w:hyperlink r:id="rId27" w:history="1">
        <w:r w:rsidRPr="007216D1">
          <w:rPr>
            <w:rStyle w:val="Hypertextovodkaz"/>
            <w:rFonts w:ascii="Arial" w:eastAsia="Calibri" w:hAnsi="Arial" w:cs="Arial"/>
            <w:noProof/>
            <w:sz w:val="20"/>
            <w:szCs w:val="20"/>
          </w:rPr>
          <w:t>tereza.zahrubska@bcas.cz</w:t>
        </w:r>
      </w:hyperlink>
      <w:r w:rsidRPr="007216D1">
        <w:rPr>
          <w:rFonts w:ascii="Arial" w:eastAsia="Calibri" w:hAnsi="Arial" w:cs="Arial"/>
          <w:noProof/>
          <w:sz w:val="20"/>
          <w:szCs w:val="20"/>
        </w:rPr>
        <w:t xml:space="preserve"> </w:t>
      </w:r>
    </w:p>
    <w:p w14:paraId="12134AC2" w14:textId="4F708FE7" w:rsidR="008F3C6D" w:rsidRPr="00153646" w:rsidRDefault="008F3C6D" w:rsidP="00EF6D8C">
      <w:pPr>
        <w:rPr>
          <w:rFonts w:ascii="Arial" w:eastAsiaTheme="minorEastAsia" w:hAnsi="Arial" w:cs="Arial"/>
          <w:noProof/>
          <w:color w:val="000000" w:themeColor="text1"/>
          <w:sz w:val="20"/>
          <w:szCs w:val="20"/>
          <w:lang w:bidi="ar-SA"/>
        </w:rPr>
      </w:pPr>
    </w:p>
    <w:sectPr w:rsidR="008F3C6D" w:rsidRPr="00153646"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97A2BF" w14:textId="77777777" w:rsidR="00491AEC" w:rsidRDefault="00491AEC">
      <w:r>
        <w:separator/>
      </w:r>
    </w:p>
  </w:endnote>
  <w:endnote w:type="continuationSeparator" w:id="0">
    <w:p w14:paraId="5FEEEE40" w14:textId="77777777" w:rsidR="00491AEC" w:rsidRDefault="0049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491AEC"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0F3D91"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491AEC"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0F3D91"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491AEC"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0F3D91"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48CC4" w14:textId="77777777" w:rsidR="00491AEC" w:rsidRDefault="00491AEC">
      <w:r>
        <w:separator/>
      </w:r>
    </w:p>
  </w:footnote>
  <w:footnote w:type="continuationSeparator" w:id="0">
    <w:p w14:paraId="5866A685" w14:textId="77777777" w:rsidR="00491AEC" w:rsidRDefault="00491AE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BC331D" w:rsidRDefault="00D80B6D" w:rsidP="00E95698">
    <w:pPr>
      <w:tabs>
        <w:tab w:val="left" w:pos="8633"/>
      </w:tabs>
      <w:spacing w:before="80"/>
      <w:ind w:firstLine="2880"/>
      <w:rPr>
        <w:rFonts w:asciiTheme="minorHAnsi" w:hAnsiTheme="minorHAnsi" w:cstheme="minorHAnsi"/>
        <w:sz w:val="52"/>
      </w:rPr>
    </w:pPr>
    <w:r w:rsidRPr="00BC331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BC331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BC331D">
      <w:rPr>
        <w:rFonts w:asciiTheme="minorHAnsi" w:hAnsiTheme="minorHAnsi" w:cstheme="minorHAnsi"/>
        <w:color w:val="1D1D1B"/>
        <w:sz w:val="48"/>
      </w:rPr>
      <w:t xml:space="preserve">BROKER CONSULTING </w:t>
    </w:r>
    <w:r w:rsidRPr="00BC331D">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1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2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53FBB"/>
    <w:multiLevelType w:val="hybridMultilevel"/>
    <w:tmpl w:val="09B0E60C"/>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8E0C12"/>
    <w:multiLevelType w:val="hybridMultilevel"/>
    <w:tmpl w:val="7C44D2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3" w15:restartNumberingAfterBreak="0">
    <w:nsid w:val="3DFD5456"/>
    <w:multiLevelType w:val="hybridMultilevel"/>
    <w:tmpl w:val="414C9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58C4F68"/>
    <w:multiLevelType w:val="hybridMultilevel"/>
    <w:tmpl w:val="1B0AB248"/>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39C3D22"/>
    <w:multiLevelType w:val="hybridMultilevel"/>
    <w:tmpl w:val="011C0E20"/>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F062222"/>
    <w:multiLevelType w:val="hybridMultilevel"/>
    <w:tmpl w:val="8C283B0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15:restartNumberingAfterBreak="0">
    <w:nsid w:val="6786571F"/>
    <w:multiLevelType w:val="hybridMultilevel"/>
    <w:tmpl w:val="1B086EF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75E63C89"/>
    <w:multiLevelType w:val="hybridMultilevel"/>
    <w:tmpl w:val="FF200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0"/>
  </w:num>
  <w:num w:numId="4">
    <w:abstractNumId w:val="9"/>
  </w:num>
  <w:num w:numId="5">
    <w:abstractNumId w:val="5"/>
  </w:num>
  <w:num w:numId="6">
    <w:abstractNumId w:val="8"/>
  </w:num>
  <w:num w:numId="7">
    <w:abstractNumId w:val="3"/>
  </w:num>
  <w:num w:numId="8">
    <w:abstractNumId w:val="9"/>
  </w:num>
  <w:num w:numId="9">
    <w:abstractNumId w:val="1"/>
  </w:num>
  <w:num w:numId="10">
    <w:abstractNumId w:val="0"/>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4E72"/>
    <w:rsid w:val="00017A80"/>
    <w:rsid w:val="00020EC7"/>
    <w:rsid w:val="00021C70"/>
    <w:rsid w:val="00022715"/>
    <w:rsid w:val="00024AC6"/>
    <w:rsid w:val="00026F23"/>
    <w:rsid w:val="000276A7"/>
    <w:rsid w:val="000277AC"/>
    <w:rsid w:val="000307FD"/>
    <w:rsid w:val="000329A2"/>
    <w:rsid w:val="00032D94"/>
    <w:rsid w:val="00035A27"/>
    <w:rsid w:val="00036C73"/>
    <w:rsid w:val="000374D7"/>
    <w:rsid w:val="000400E4"/>
    <w:rsid w:val="0004253B"/>
    <w:rsid w:val="00045B39"/>
    <w:rsid w:val="0005252A"/>
    <w:rsid w:val="0005423A"/>
    <w:rsid w:val="00057018"/>
    <w:rsid w:val="00057DE7"/>
    <w:rsid w:val="000611E3"/>
    <w:rsid w:val="000618FE"/>
    <w:rsid w:val="00061ABB"/>
    <w:rsid w:val="00062CC5"/>
    <w:rsid w:val="00063164"/>
    <w:rsid w:val="00070317"/>
    <w:rsid w:val="00070675"/>
    <w:rsid w:val="000766E7"/>
    <w:rsid w:val="00076D0E"/>
    <w:rsid w:val="0007763B"/>
    <w:rsid w:val="00080552"/>
    <w:rsid w:val="00080ADE"/>
    <w:rsid w:val="00081616"/>
    <w:rsid w:val="00082FDB"/>
    <w:rsid w:val="000853D4"/>
    <w:rsid w:val="00085ABF"/>
    <w:rsid w:val="000865AA"/>
    <w:rsid w:val="00087263"/>
    <w:rsid w:val="00091F9C"/>
    <w:rsid w:val="0009776B"/>
    <w:rsid w:val="000A377B"/>
    <w:rsid w:val="000A4B8B"/>
    <w:rsid w:val="000A5467"/>
    <w:rsid w:val="000A6063"/>
    <w:rsid w:val="000B0D84"/>
    <w:rsid w:val="000B2E5D"/>
    <w:rsid w:val="000B2F39"/>
    <w:rsid w:val="000B50B5"/>
    <w:rsid w:val="000B5339"/>
    <w:rsid w:val="000B54E5"/>
    <w:rsid w:val="000C0090"/>
    <w:rsid w:val="000C0C52"/>
    <w:rsid w:val="000C1853"/>
    <w:rsid w:val="000C4394"/>
    <w:rsid w:val="000C4C77"/>
    <w:rsid w:val="000C50AA"/>
    <w:rsid w:val="000D145E"/>
    <w:rsid w:val="000D14E2"/>
    <w:rsid w:val="000D5F5D"/>
    <w:rsid w:val="000D68AC"/>
    <w:rsid w:val="000D7A4D"/>
    <w:rsid w:val="000E0EEC"/>
    <w:rsid w:val="000E168E"/>
    <w:rsid w:val="000E3D86"/>
    <w:rsid w:val="000F0BA4"/>
    <w:rsid w:val="000F1EC4"/>
    <w:rsid w:val="000F29D1"/>
    <w:rsid w:val="000F3D91"/>
    <w:rsid w:val="000F6152"/>
    <w:rsid w:val="000F6249"/>
    <w:rsid w:val="00100F77"/>
    <w:rsid w:val="00103543"/>
    <w:rsid w:val="001069A1"/>
    <w:rsid w:val="0010739A"/>
    <w:rsid w:val="00111C28"/>
    <w:rsid w:val="00112079"/>
    <w:rsid w:val="00112CC0"/>
    <w:rsid w:val="00112D65"/>
    <w:rsid w:val="001130B7"/>
    <w:rsid w:val="00114F7B"/>
    <w:rsid w:val="00115429"/>
    <w:rsid w:val="0011716E"/>
    <w:rsid w:val="0012330F"/>
    <w:rsid w:val="00123939"/>
    <w:rsid w:val="001302C1"/>
    <w:rsid w:val="0013044E"/>
    <w:rsid w:val="00131A69"/>
    <w:rsid w:val="001352B7"/>
    <w:rsid w:val="00136C97"/>
    <w:rsid w:val="00137003"/>
    <w:rsid w:val="0013717C"/>
    <w:rsid w:val="00137474"/>
    <w:rsid w:val="0014220D"/>
    <w:rsid w:val="00143EFE"/>
    <w:rsid w:val="0014644B"/>
    <w:rsid w:val="00153646"/>
    <w:rsid w:val="00153932"/>
    <w:rsid w:val="001546F5"/>
    <w:rsid w:val="00156082"/>
    <w:rsid w:val="00161D10"/>
    <w:rsid w:val="00164597"/>
    <w:rsid w:val="001675AF"/>
    <w:rsid w:val="00170556"/>
    <w:rsid w:val="00170D87"/>
    <w:rsid w:val="00170E0F"/>
    <w:rsid w:val="00173F5C"/>
    <w:rsid w:val="00175224"/>
    <w:rsid w:val="001767A5"/>
    <w:rsid w:val="00180051"/>
    <w:rsid w:val="00182B07"/>
    <w:rsid w:val="0018460D"/>
    <w:rsid w:val="00186EAB"/>
    <w:rsid w:val="00187ECB"/>
    <w:rsid w:val="001901D0"/>
    <w:rsid w:val="00191B34"/>
    <w:rsid w:val="001925C8"/>
    <w:rsid w:val="00192716"/>
    <w:rsid w:val="00192C2A"/>
    <w:rsid w:val="00193550"/>
    <w:rsid w:val="00194C95"/>
    <w:rsid w:val="0019698F"/>
    <w:rsid w:val="001A54DD"/>
    <w:rsid w:val="001B08C7"/>
    <w:rsid w:val="001B296D"/>
    <w:rsid w:val="001B29C7"/>
    <w:rsid w:val="001B2DB2"/>
    <w:rsid w:val="001B3C85"/>
    <w:rsid w:val="001B501B"/>
    <w:rsid w:val="001B6A93"/>
    <w:rsid w:val="001B745F"/>
    <w:rsid w:val="001D015A"/>
    <w:rsid w:val="001D3DFC"/>
    <w:rsid w:val="001D4EA8"/>
    <w:rsid w:val="001D66D5"/>
    <w:rsid w:val="001D6965"/>
    <w:rsid w:val="001E22F1"/>
    <w:rsid w:val="001E3D5F"/>
    <w:rsid w:val="001E3FBF"/>
    <w:rsid w:val="001E4209"/>
    <w:rsid w:val="001E44AC"/>
    <w:rsid w:val="001E5305"/>
    <w:rsid w:val="001E5D83"/>
    <w:rsid w:val="001E6A39"/>
    <w:rsid w:val="001F045E"/>
    <w:rsid w:val="001F25C4"/>
    <w:rsid w:val="001F2BE0"/>
    <w:rsid w:val="001F353D"/>
    <w:rsid w:val="001F3CF1"/>
    <w:rsid w:val="001F7194"/>
    <w:rsid w:val="001F71BA"/>
    <w:rsid w:val="001F7D30"/>
    <w:rsid w:val="00200B65"/>
    <w:rsid w:val="00201E92"/>
    <w:rsid w:val="002035A6"/>
    <w:rsid w:val="00203943"/>
    <w:rsid w:val="0020668E"/>
    <w:rsid w:val="002079AA"/>
    <w:rsid w:val="002116F0"/>
    <w:rsid w:val="00213566"/>
    <w:rsid w:val="002141AF"/>
    <w:rsid w:val="002157B1"/>
    <w:rsid w:val="0022066E"/>
    <w:rsid w:val="00220944"/>
    <w:rsid w:val="002227D9"/>
    <w:rsid w:val="00223A4A"/>
    <w:rsid w:val="00224339"/>
    <w:rsid w:val="002259CD"/>
    <w:rsid w:val="0023042D"/>
    <w:rsid w:val="00232F1A"/>
    <w:rsid w:val="00233A58"/>
    <w:rsid w:val="0023469F"/>
    <w:rsid w:val="002368F3"/>
    <w:rsid w:val="002402BD"/>
    <w:rsid w:val="002404A1"/>
    <w:rsid w:val="002406A8"/>
    <w:rsid w:val="00241313"/>
    <w:rsid w:val="00242D4D"/>
    <w:rsid w:val="00243075"/>
    <w:rsid w:val="00243C49"/>
    <w:rsid w:val="00244AC3"/>
    <w:rsid w:val="0024551C"/>
    <w:rsid w:val="0025264B"/>
    <w:rsid w:val="0025428A"/>
    <w:rsid w:val="002542AA"/>
    <w:rsid w:val="00255003"/>
    <w:rsid w:val="00255182"/>
    <w:rsid w:val="00257823"/>
    <w:rsid w:val="00263C8C"/>
    <w:rsid w:val="002645E4"/>
    <w:rsid w:val="002679C9"/>
    <w:rsid w:val="00270DB3"/>
    <w:rsid w:val="00271F07"/>
    <w:rsid w:val="002743F2"/>
    <w:rsid w:val="0027623E"/>
    <w:rsid w:val="00276C5D"/>
    <w:rsid w:val="00281834"/>
    <w:rsid w:val="00281C3A"/>
    <w:rsid w:val="002831C1"/>
    <w:rsid w:val="00285397"/>
    <w:rsid w:val="0028590C"/>
    <w:rsid w:val="00287D46"/>
    <w:rsid w:val="00290416"/>
    <w:rsid w:val="00295227"/>
    <w:rsid w:val="00295432"/>
    <w:rsid w:val="002A0285"/>
    <w:rsid w:val="002A2A64"/>
    <w:rsid w:val="002A3F19"/>
    <w:rsid w:val="002A6FA3"/>
    <w:rsid w:val="002A7325"/>
    <w:rsid w:val="002B0728"/>
    <w:rsid w:val="002B1317"/>
    <w:rsid w:val="002B47AF"/>
    <w:rsid w:val="002B7DA9"/>
    <w:rsid w:val="002B7F6D"/>
    <w:rsid w:val="002C00F6"/>
    <w:rsid w:val="002C0240"/>
    <w:rsid w:val="002C0711"/>
    <w:rsid w:val="002C4A25"/>
    <w:rsid w:val="002C4BCE"/>
    <w:rsid w:val="002C569B"/>
    <w:rsid w:val="002C7224"/>
    <w:rsid w:val="002D1619"/>
    <w:rsid w:val="002D20B9"/>
    <w:rsid w:val="002D6D20"/>
    <w:rsid w:val="002E1ABC"/>
    <w:rsid w:val="002E3DC6"/>
    <w:rsid w:val="002E633F"/>
    <w:rsid w:val="002F002B"/>
    <w:rsid w:val="002F05B2"/>
    <w:rsid w:val="002F1DD3"/>
    <w:rsid w:val="002F3FCA"/>
    <w:rsid w:val="002F485A"/>
    <w:rsid w:val="002F56BD"/>
    <w:rsid w:val="002F59DF"/>
    <w:rsid w:val="002F7EC2"/>
    <w:rsid w:val="003001F4"/>
    <w:rsid w:val="003028DB"/>
    <w:rsid w:val="00304C85"/>
    <w:rsid w:val="003055CB"/>
    <w:rsid w:val="00306EEA"/>
    <w:rsid w:val="00306FE1"/>
    <w:rsid w:val="00307E95"/>
    <w:rsid w:val="00310BEB"/>
    <w:rsid w:val="00311F45"/>
    <w:rsid w:val="0031287A"/>
    <w:rsid w:val="003128F8"/>
    <w:rsid w:val="00313A87"/>
    <w:rsid w:val="00315AC2"/>
    <w:rsid w:val="00316FA6"/>
    <w:rsid w:val="0031712D"/>
    <w:rsid w:val="0031752C"/>
    <w:rsid w:val="00320455"/>
    <w:rsid w:val="00320E0F"/>
    <w:rsid w:val="00320EEF"/>
    <w:rsid w:val="00321518"/>
    <w:rsid w:val="00321E19"/>
    <w:rsid w:val="003226EB"/>
    <w:rsid w:val="003247B0"/>
    <w:rsid w:val="00330918"/>
    <w:rsid w:val="00331E15"/>
    <w:rsid w:val="00332FBA"/>
    <w:rsid w:val="003358BA"/>
    <w:rsid w:val="00340DB5"/>
    <w:rsid w:val="0034184F"/>
    <w:rsid w:val="00342F85"/>
    <w:rsid w:val="0034360E"/>
    <w:rsid w:val="00345686"/>
    <w:rsid w:val="00345DAD"/>
    <w:rsid w:val="00345DD2"/>
    <w:rsid w:val="00347557"/>
    <w:rsid w:val="003502B4"/>
    <w:rsid w:val="00352D2E"/>
    <w:rsid w:val="00355366"/>
    <w:rsid w:val="00356752"/>
    <w:rsid w:val="00361D44"/>
    <w:rsid w:val="003629B6"/>
    <w:rsid w:val="00365407"/>
    <w:rsid w:val="0036580F"/>
    <w:rsid w:val="003705A1"/>
    <w:rsid w:val="00370C35"/>
    <w:rsid w:val="003721AD"/>
    <w:rsid w:val="0037300C"/>
    <w:rsid w:val="00374182"/>
    <w:rsid w:val="00374618"/>
    <w:rsid w:val="00383942"/>
    <w:rsid w:val="00383DC5"/>
    <w:rsid w:val="00385325"/>
    <w:rsid w:val="00385EED"/>
    <w:rsid w:val="00386B09"/>
    <w:rsid w:val="00387C6C"/>
    <w:rsid w:val="00390B58"/>
    <w:rsid w:val="00392024"/>
    <w:rsid w:val="003940D4"/>
    <w:rsid w:val="003948A1"/>
    <w:rsid w:val="00396E90"/>
    <w:rsid w:val="003A1549"/>
    <w:rsid w:val="003A285A"/>
    <w:rsid w:val="003A2887"/>
    <w:rsid w:val="003A375A"/>
    <w:rsid w:val="003A43AB"/>
    <w:rsid w:val="003A6435"/>
    <w:rsid w:val="003B0E4E"/>
    <w:rsid w:val="003B0E4F"/>
    <w:rsid w:val="003B3F0C"/>
    <w:rsid w:val="003B4BD8"/>
    <w:rsid w:val="003C0CBE"/>
    <w:rsid w:val="003C1EAE"/>
    <w:rsid w:val="003C2A23"/>
    <w:rsid w:val="003C5664"/>
    <w:rsid w:val="003C59A8"/>
    <w:rsid w:val="003C6F57"/>
    <w:rsid w:val="003C7F98"/>
    <w:rsid w:val="003D157E"/>
    <w:rsid w:val="003D1987"/>
    <w:rsid w:val="003D2162"/>
    <w:rsid w:val="003D47CB"/>
    <w:rsid w:val="003D654E"/>
    <w:rsid w:val="003E0649"/>
    <w:rsid w:val="003E255B"/>
    <w:rsid w:val="003E3701"/>
    <w:rsid w:val="003E5B34"/>
    <w:rsid w:val="003E6537"/>
    <w:rsid w:val="003E70DD"/>
    <w:rsid w:val="003F0CAF"/>
    <w:rsid w:val="003F324C"/>
    <w:rsid w:val="003F7018"/>
    <w:rsid w:val="003F79EC"/>
    <w:rsid w:val="0040257E"/>
    <w:rsid w:val="00403729"/>
    <w:rsid w:val="004041EF"/>
    <w:rsid w:val="00404530"/>
    <w:rsid w:val="004053BB"/>
    <w:rsid w:val="004075C9"/>
    <w:rsid w:val="00411153"/>
    <w:rsid w:val="004116FD"/>
    <w:rsid w:val="0041759C"/>
    <w:rsid w:val="0042193A"/>
    <w:rsid w:val="004228ED"/>
    <w:rsid w:val="00422A4A"/>
    <w:rsid w:val="00424406"/>
    <w:rsid w:val="00431BE5"/>
    <w:rsid w:val="00432DAE"/>
    <w:rsid w:val="0043345B"/>
    <w:rsid w:val="0043347D"/>
    <w:rsid w:val="004336E4"/>
    <w:rsid w:val="00433F20"/>
    <w:rsid w:val="00434FA2"/>
    <w:rsid w:val="00434FAE"/>
    <w:rsid w:val="00435342"/>
    <w:rsid w:val="004372BB"/>
    <w:rsid w:val="004376B0"/>
    <w:rsid w:val="00445316"/>
    <w:rsid w:val="00445D0A"/>
    <w:rsid w:val="00447FBA"/>
    <w:rsid w:val="004501B9"/>
    <w:rsid w:val="00453CFE"/>
    <w:rsid w:val="00454843"/>
    <w:rsid w:val="004556BB"/>
    <w:rsid w:val="00455F65"/>
    <w:rsid w:val="00456137"/>
    <w:rsid w:val="00457FFE"/>
    <w:rsid w:val="00460FA7"/>
    <w:rsid w:val="00461BF2"/>
    <w:rsid w:val="004625DF"/>
    <w:rsid w:val="0046273D"/>
    <w:rsid w:val="004627B9"/>
    <w:rsid w:val="00463191"/>
    <w:rsid w:val="00467849"/>
    <w:rsid w:val="004678E9"/>
    <w:rsid w:val="00467E69"/>
    <w:rsid w:val="00471166"/>
    <w:rsid w:val="00473E24"/>
    <w:rsid w:val="00474C76"/>
    <w:rsid w:val="00477DC5"/>
    <w:rsid w:val="00480982"/>
    <w:rsid w:val="00483C09"/>
    <w:rsid w:val="00486103"/>
    <w:rsid w:val="0048655B"/>
    <w:rsid w:val="00486655"/>
    <w:rsid w:val="00491AEC"/>
    <w:rsid w:val="0049280D"/>
    <w:rsid w:val="00492BA9"/>
    <w:rsid w:val="004935C2"/>
    <w:rsid w:val="00496374"/>
    <w:rsid w:val="004A40C5"/>
    <w:rsid w:val="004A59C1"/>
    <w:rsid w:val="004A7830"/>
    <w:rsid w:val="004B2DF6"/>
    <w:rsid w:val="004B2FF6"/>
    <w:rsid w:val="004B4E91"/>
    <w:rsid w:val="004B5797"/>
    <w:rsid w:val="004B7412"/>
    <w:rsid w:val="004B7436"/>
    <w:rsid w:val="004B7D0D"/>
    <w:rsid w:val="004C222D"/>
    <w:rsid w:val="004C3DD1"/>
    <w:rsid w:val="004C3F71"/>
    <w:rsid w:val="004D5196"/>
    <w:rsid w:val="004D5CC6"/>
    <w:rsid w:val="004D6DB4"/>
    <w:rsid w:val="004E09B8"/>
    <w:rsid w:val="004E1737"/>
    <w:rsid w:val="004F303D"/>
    <w:rsid w:val="004F38CD"/>
    <w:rsid w:val="004F5D36"/>
    <w:rsid w:val="004F6195"/>
    <w:rsid w:val="00504EBB"/>
    <w:rsid w:val="0050659B"/>
    <w:rsid w:val="005130A9"/>
    <w:rsid w:val="005141D4"/>
    <w:rsid w:val="00514932"/>
    <w:rsid w:val="005153F7"/>
    <w:rsid w:val="00515952"/>
    <w:rsid w:val="00517F1E"/>
    <w:rsid w:val="005220A8"/>
    <w:rsid w:val="005224C1"/>
    <w:rsid w:val="005231DA"/>
    <w:rsid w:val="00530625"/>
    <w:rsid w:val="0053079B"/>
    <w:rsid w:val="0053153F"/>
    <w:rsid w:val="00531C9F"/>
    <w:rsid w:val="005328D4"/>
    <w:rsid w:val="00533EEB"/>
    <w:rsid w:val="00534AE7"/>
    <w:rsid w:val="005361AF"/>
    <w:rsid w:val="00536822"/>
    <w:rsid w:val="00536954"/>
    <w:rsid w:val="0053728E"/>
    <w:rsid w:val="00540563"/>
    <w:rsid w:val="00540606"/>
    <w:rsid w:val="005411AC"/>
    <w:rsid w:val="00541870"/>
    <w:rsid w:val="005436EC"/>
    <w:rsid w:val="00543DD3"/>
    <w:rsid w:val="00544A37"/>
    <w:rsid w:val="00545971"/>
    <w:rsid w:val="00550147"/>
    <w:rsid w:val="00550AC2"/>
    <w:rsid w:val="00551FDB"/>
    <w:rsid w:val="00554D18"/>
    <w:rsid w:val="00564382"/>
    <w:rsid w:val="00564CF5"/>
    <w:rsid w:val="00564E3C"/>
    <w:rsid w:val="0056501A"/>
    <w:rsid w:val="00565024"/>
    <w:rsid w:val="00571AD4"/>
    <w:rsid w:val="00573886"/>
    <w:rsid w:val="00573EE2"/>
    <w:rsid w:val="005766D5"/>
    <w:rsid w:val="00577D19"/>
    <w:rsid w:val="00590190"/>
    <w:rsid w:val="005907CD"/>
    <w:rsid w:val="00597875"/>
    <w:rsid w:val="005A2139"/>
    <w:rsid w:val="005A37E5"/>
    <w:rsid w:val="005A4EB8"/>
    <w:rsid w:val="005A50EB"/>
    <w:rsid w:val="005A5BBA"/>
    <w:rsid w:val="005A5F08"/>
    <w:rsid w:val="005B3143"/>
    <w:rsid w:val="005B31D7"/>
    <w:rsid w:val="005B460E"/>
    <w:rsid w:val="005C0BC2"/>
    <w:rsid w:val="005C150C"/>
    <w:rsid w:val="005C318A"/>
    <w:rsid w:val="005D3285"/>
    <w:rsid w:val="005D52F3"/>
    <w:rsid w:val="005D75B2"/>
    <w:rsid w:val="005E1193"/>
    <w:rsid w:val="005E14B1"/>
    <w:rsid w:val="005E5A67"/>
    <w:rsid w:val="005E61BF"/>
    <w:rsid w:val="005E7301"/>
    <w:rsid w:val="005E7865"/>
    <w:rsid w:val="005E7EC0"/>
    <w:rsid w:val="005F2D95"/>
    <w:rsid w:val="005F6BD8"/>
    <w:rsid w:val="005F7E72"/>
    <w:rsid w:val="005F7EAE"/>
    <w:rsid w:val="0060397A"/>
    <w:rsid w:val="0060554F"/>
    <w:rsid w:val="006125B9"/>
    <w:rsid w:val="006135FD"/>
    <w:rsid w:val="0061438C"/>
    <w:rsid w:val="006166CE"/>
    <w:rsid w:val="0062060D"/>
    <w:rsid w:val="006218E4"/>
    <w:rsid w:val="00623C47"/>
    <w:rsid w:val="00624358"/>
    <w:rsid w:val="006264E4"/>
    <w:rsid w:val="0062747C"/>
    <w:rsid w:val="0062786E"/>
    <w:rsid w:val="00636142"/>
    <w:rsid w:val="006365D5"/>
    <w:rsid w:val="0064160C"/>
    <w:rsid w:val="00643131"/>
    <w:rsid w:val="00646E6F"/>
    <w:rsid w:val="00650123"/>
    <w:rsid w:val="006509E8"/>
    <w:rsid w:val="00651B48"/>
    <w:rsid w:val="006542CA"/>
    <w:rsid w:val="006548C4"/>
    <w:rsid w:val="00655AC3"/>
    <w:rsid w:val="0066135D"/>
    <w:rsid w:val="00662758"/>
    <w:rsid w:val="00662AC6"/>
    <w:rsid w:val="00664259"/>
    <w:rsid w:val="00664867"/>
    <w:rsid w:val="00667012"/>
    <w:rsid w:val="00675867"/>
    <w:rsid w:val="006768F0"/>
    <w:rsid w:val="00677078"/>
    <w:rsid w:val="00681F49"/>
    <w:rsid w:val="00682D62"/>
    <w:rsid w:val="006839FB"/>
    <w:rsid w:val="00683F9A"/>
    <w:rsid w:val="0068571D"/>
    <w:rsid w:val="006859AC"/>
    <w:rsid w:val="006859FD"/>
    <w:rsid w:val="00685AF9"/>
    <w:rsid w:val="0068617E"/>
    <w:rsid w:val="006870AB"/>
    <w:rsid w:val="006902C0"/>
    <w:rsid w:val="00690415"/>
    <w:rsid w:val="00691527"/>
    <w:rsid w:val="006939E7"/>
    <w:rsid w:val="00697D81"/>
    <w:rsid w:val="006A2F6C"/>
    <w:rsid w:val="006A3510"/>
    <w:rsid w:val="006A3BE2"/>
    <w:rsid w:val="006A4E81"/>
    <w:rsid w:val="006A5A20"/>
    <w:rsid w:val="006B2F00"/>
    <w:rsid w:val="006B4027"/>
    <w:rsid w:val="006B58D8"/>
    <w:rsid w:val="006B7185"/>
    <w:rsid w:val="006C5C1A"/>
    <w:rsid w:val="006C5ED3"/>
    <w:rsid w:val="006C61E8"/>
    <w:rsid w:val="006D18F3"/>
    <w:rsid w:val="006D1EDF"/>
    <w:rsid w:val="006D1F87"/>
    <w:rsid w:val="006D2B43"/>
    <w:rsid w:val="006D39DF"/>
    <w:rsid w:val="006D65EC"/>
    <w:rsid w:val="006E26DC"/>
    <w:rsid w:val="006E6A2F"/>
    <w:rsid w:val="006E70A0"/>
    <w:rsid w:val="006F32FB"/>
    <w:rsid w:val="006F4298"/>
    <w:rsid w:val="006F66F1"/>
    <w:rsid w:val="006F7641"/>
    <w:rsid w:val="007046C5"/>
    <w:rsid w:val="00704CBA"/>
    <w:rsid w:val="00704D83"/>
    <w:rsid w:val="007052FC"/>
    <w:rsid w:val="00705D83"/>
    <w:rsid w:val="00707E44"/>
    <w:rsid w:val="00710AF5"/>
    <w:rsid w:val="00710E0C"/>
    <w:rsid w:val="007131CE"/>
    <w:rsid w:val="00713AF1"/>
    <w:rsid w:val="00716355"/>
    <w:rsid w:val="0072112C"/>
    <w:rsid w:val="0072112F"/>
    <w:rsid w:val="007216D1"/>
    <w:rsid w:val="00724267"/>
    <w:rsid w:val="00725BF5"/>
    <w:rsid w:val="00727B95"/>
    <w:rsid w:val="007320FB"/>
    <w:rsid w:val="00736162"/>
    <w:rsid w:val="007362E3"/>
    <w:rsid w:val="007408D1"/>
    <w:rsid w:val="00741E71"/>
    <w:rsid w:val="00743390"/>
    <w:rsid w:val="00743627"/>
    <w:rsid w:val="00743E6A"/>
    <w:rsid w:val="00744C4D"/>
    <w:rsid w:val="00745A31"/>
    <w:rsid w:val="0074636A"/>
    <w:rsid w:val="00750450"/>
    <w:rsid w:val="00753B64"/>
    <w:rsid w:val="007563D8"/>
    <w:rsid w:val="0076114C"/>
    <w:rsid w:val="00762590"/>
    <w:rsid w:val="0076280C"/>
    <w:rsid w:val="00762B82"/>
    <w:rsid w:val="007630EF"/>
    <w:rsid w:val="007648F0"/>
    <w:rsid w:val="0076667F"/>
    <w:rsid w:val="007672BB"/>
    <w:rsid w:val="00771B91"/>
    <w:rsid w:val="00772415"/>
    <w:rsid w:val="007725B8"/>
    <w:rsid w:val="00772FF0"/>
    <w:rsid w:val="007741A2"/>
    <w:rsid w:val="007748AF"/>
    <w:rsid w:val="007753A0"/>
    <w:rsid w:val="00776CDE"/>
    <w:rsid w:val="007815BB"/>
    <w:rsid w:val="007824F4"/>
    <w:rsid w:val="00782848"/>
    <w:rsid w:val="00784109"/>
    <w:rsid w:val="0078410A"/>
    <w:rsid w:val="0078525A"/>
    <w:rsid w:val="00785FC5"/>
    <w:rsid w:val="0078631B"/>
    <w:rsid w:val="0078653C"/>
    <w:rsid w:val="00791A2B"/>
    <w:rsid w:val="00791B3A"/>
    <w:rsid w:val="00791E6F"/>
    <w:rsid w:val="00792EE9"/>
    <w:rsid w:val="0079572A"/>
    <w:rsid w:val="007969EF"/>
    <w:rsid w:val="007A1121"/>
    <w:rsid w:val="007A1122"/>
    <w:rsid w:val="007A15A6"/>
    <w:rsid w:val="007A1AB2"/>
    <w:rsid w:val="007A41BD"/>
    <w:rsid w:val="007A6A4D"/>
    <w:rsid w:val="007A74F9"/>
    <w:rsid w:val="007A7C7B"/>
    <w:rsid w:val="007B152D"/>
    <w:rsid w:val="007B358E"/>
    <w:rsid w:val="007B48B8"/>
    <w:rsid w:val="007C0F6D"/>
    <w:rsid w:val="007C2B55"/>
    <w:rsid w:val="007D0C39"/>
    <w:rsid w:val="007D14AE"/>
    <w:rsid w:val="007D325D"/>
    <w:rsid w:val="007D6231"/>
    <w:rsid w:val="007E3027"/>
    <w:rsid w:val="007E38CD"/>
    <w:rsid w:val="007E4D49"/>
    <w:rsid w:val="007E5614"/>
    <w:rsid w:val="007E6E9A"/>
    <w:rsid w:val="007E768B"/>
    <w:rsid w:val="007F13CC"/>
    <w:rsid w:val="007F2512"/>
    <w:rsid w:val="007F2DE8"/>
    <w:rsid w:val="007F3E94"/>
    <w:rsid w:val="007F4493"/>
    <w:rsid w:val="007F4C72"/>
    <w:rsid w:val="007F5903"/>
    <w:rsid w:val="007F64D9"/>
    <w:rsid w:val="007F71F9"/>
    <w:rsid w:val="008011E7"/>
    <w:rsid w:val="0080323F"/>
    <w:rsid w:val="00803325"/>
    <w:rsid w:val="00805BDB"/>
    <w:rsid w:val="008063BB"/>
    <w:rsid w:val="00812394"/>
    <w:rsid w:val="008123FF"/>
    <w:rsid w:val="0081387C"/>
    <w:rsid w:val="00814072"/>
    <w:rsid w:val="0081474E"/>
    <w:rsid w:val="008171F9"/>
    <w:rsid w:val="008200C4"/>
    <w:rsid w:val="00826BAD"/>
    <w:rsid w:val="0083053E"/>
    <w:rsid w:val="008317A3"/>
    <w:rsid w:val="00831B5E"/>
    <w:rsid w:val="00832F5B"/>
    <w:rsid w:val="00837ECF"/>
    <w:rsid w:val="00841AC4"/>
    <w:rsid w:val="008432B3"/>
    <w:rsid w:val="00845A34"/>
    <w:rsid w:val="00850AB7"/>
    <w:rsid w:val="00852192"/>
    <w:rsid w:val="00852BBB"/>
    <w:rsid w:val="00856806"/>
    <w:rsid w:val="00856D3C"/>
    <w:rsid w:val="00857BC8"/>
    <w:rsid w:val="00860609"/>
    <w:rsid w:val="00863360"/>
    <w:rsid w:val="00863FC3"/>
    <w:rsid w:val="0087199F"/>
    <w:rsid w:val="00871CBD"/>
    <w:rsid w:val="00874C1A"/>
    <w:rsid w:val="00877EBC"/>
    <w:rsid w:val="00880B97"/>
    <w:rsid w:val="00881800"/>
    <w:rsid w:val="00883A3E"/>
    <w:rsid w:val="008845ED"/>
    <w:rsid w:val="0088579E"/>
    <w:rsid w:val="00885B2F"/>
    <w:rsid w:val="008875C1"/>
    <w:rsid w:val="00891E25"/>
    <w:rsid w:val="008926E5"/>
    <w:rsid w:val="008926F3"/>
    <w:rsid w:val="008953F0"/>
    <w:rsid w:val="008A04D3"/>
    <w:rsid w:val="008A0BD0"/>
    <w:rsid w:val="008A2FCE"/>
    <w:rsid w:val="008A4116"/>
    <w:rsid w:val="008A60F1"/>
    <w:rsid w:val="008B2EEE"/>
    <w:rsid w:val="008B30CD"/>
    <w:rsid w:val="008B3925"/>
    <w:rsid w:val="008B4E8C"/>
    <w:rsid w:val="008B4F0F"/>
    <w:rsid w:val="008C000E"/>
    <w:rsid w:val="008C04FA"/>
    <w:rsid w:val="008C1795"/>
    <w:rsid w:val="008C2254"/>
    <w:rsid w:val="008C3938"/>
    <w:rsid w:val="008C3A59"/>
    <w:rsid w:val="008C4B0D"/>
    <w:rsid w:val="008E1286"/>
    <w:rsid w:val="008E19F3"/>
    <w:rsid w:val="008E1F4A"/>
    <w:rsid w:val="008E79E2"/>
    <w:rsid w:val="008F08A1"/>
    <w:rsid w:val="008F0C4A"/>
    <w:rsid w:val="008F1824"/>
    <w:rsid w:val="008F2AEC"/>
    <w:rsid w:val="008F36CB"/>
    <w:rsid w:val="008F3C6D"/>
    <w:rsid w:val="008F6AAF"/>
    <w:rsid w:val="00901DB4"/>
    <w:rsid w:val="00901E1F"/>
    <w:rsid w:val="0090292E"/>
    <w:rsid w:val="0090656A"/>
    <w:rsid w:val="009066E9"/>
    <w:rsid w:val="00906E67"/>
    <w:rsid w:val="0091135A"/>
    <w:rsid w:val="009144B1"/>
    <w:rsid w:val="00915ADA"/>
    <w:rsid w:val="00916B03"/>
    <w:rsid w:val="00920391"/>
    <w:rsid w:val="0092097A"/>
    <w:rsid w:val="00921003"/>
    <w:rsid w:val="009222C9"/>
    <w:rsid w:val="009228CF"/>
    <w:rsid w:val="0092416B"/>
    <w:rsid w:val="00925499"/>
    <w:rsid w:val="00930569"/>
    <w:rsid w:val="00931F18"/>
    <w:rsid w:val="00932625"/>
    <w:rsid w:val="009343CC"/>
    <w:rsid w:val="009344C2"/>
    <w:rsid w:val="00934B3E"/>
    <w:rsid w:val="00934CD7"/>
    <w:rsid w:val="00935CE8"/>
    <w:rsid w:val="009412B0"/>
    <w:rsid w:val="00944750"/>
    <w:rsid w:val="00944E57"/>
    <w:rsid w:val="00945E96"/>
    <w:rsid w:val="009462A7"/>
    <w:rsid w:val="0094645B"/>
    <w:rsid w:val="0094705C"/>
    <w:rsid w:val="00954814"/>
    <w:rsid w:val="00957739"/>
    <w:rsid w:val="00957B41"/>
    <w:rsid w:val="009631E0"/>
    <w:rsid w:val="009649D2"/>
    <w:rsid w:val="009660BD"/>
    <w:rsid w:val="009674F1"/>
    <w:rsid w:val="009750FA"/>
    <w:rsid w:val="009771E2"/>
    <w:rsid w:val="009771E6"/>
    <w:rsid w:val="00977540"/>
    <w:rsid w:val="009834E2"/>
    <w:rsid w:val="00983BFD"/>
    <w:rsid w:val="00985DC8"/>
    <w:rsid w:val="009917AF"/>
    <w:rsid w:val="0099427B"/>
    <w:rsid w:val="009A0029"/>
    <w:rsid w:val="009A4FC0"/>
    <w:rsid w:val="009A52BA"/>
    <w:rsid w:val="009A63A0"/>
    <w:rsid w:val="009A69B1"/>
    <w:rsid w:val="009A700C"/>
    <w:rsid w:val="009B1D25"/>
    <w:rsid w:val="009B5BDB"/>
    <w:rsid w:val="009C0ECA"/>
    <w:rsid w:val="009C16D4"/>
    <w:rsid w:val="009C45BA"/>
    <w:rsid w:val="009C7948"/>
    <w:rsid w:val="009C79BD"/>
    <w:rsid w:val="009D01A2"/>
    <w:rsid w:val="009D1D17"/>
    <w:rsid w:val="009D2197"/>
    <w:rsid w:val="009D24BB"/>
    <w:rsid w:val="009D44DD"/>
    <w:rsid w:val="009D64B2"/>
    <w:rsid w:val="009D729E"/>
    <w:rsid w:val="009D7493"/>
    <w:rsid w:val="009E233F"/>
    <w:rsid w:val="009E2575"/>
    <w:rsid w:val="009E317D"/>
    <w:rsid w:val="009E31C0"/>
    <w:rsid w:val="009E3B52"/>
    <w:rsid w:val="009E5992"/>
    <w:rsid w:val="009F2CB2"/>
    <w:rsid w:val="009F342D"/>
    <w:rsid w:val="009F3DA2"/>
    <w:rsid w:val="009F59EE"/>
    <w:rsid w:val="009F6CFC"/>
    <w:rsid w:val="00A008B8"/>
    <w:rsid w:val="00A00D89"/>
    <w:rsid w:val="00A04BAE"/>
    <w:rsid w:val="00A04EC0"/>
    <w:rsid w:val="00A069E2"/>
    <w:rsid w:val="00A07639"/>
    <w:rsid w:val="00A10289"/>
    <w:rsid w:val="00A106F8"/>
    <w:rsid w:val="00A10BF9"/>
    <w:rsid w:val="00A11C90"/>
    <w:rsid w:val="00A12900"/>
    <w:rsid w:val="00A1353C"/>
    <w:rsid w:val="00A1395B"/>
    <w:rsid w:val="00A13D4D"/>
    <w:rsid w:val="00A14701"/>
    <w:rsid w:val="00A16A29"/>
    <w:rsid w:val="00A16E82"/>
    <w:rsid w:val="00A20BBF"/>
    <w:rsid w:val="00A2244B"/>
    <w:rsid w:val="00A22B56"/>
    <w:rsid w:val="00A252BA"/>
    <w:rsid w:val="00A26285"/>
    <w:rsid w:val="00A27237"/>
    <w:rsid w:val="00A27A7B"/>
    <w:rsid w:val="00A31C39"/>
    <w:rsid w:val="00A350E5"/>
    <w:rsid w:val="00A36CBA"/>
    <w:rsid w:val="00A36D79"/>
    <w:rsid w:val="00A3783E"/>
    <w:rsid w:val="00A41EA4"/>
    <w:rsid w:val="00A43785"/>
    <w:rsid w:val="00A43AC5"/>
    <w:rsid w:val="00A44FE0"/>
    <w:rsid w:val="00A4618A"/>
    <w:rsid w:val="00A500F9"/>
    <w:rsid w:val="00A50D03"/>
    <w:rsid w:val="00A522F5"/>
    <w:rsid w:val="00A53799"/>
    <w:rsid w:val="00A551C6"/>
    <w:rsid w:val="00A55209"/>
    <w:rsid w:val="00A566B1"/>
    <w:rsid w:val="00A61269"/>
    <w:rsid w:val="00A624BA"/>
    <w:rsid w:val="00A64F9A"/>
    <w:rsid w:val="00A672BC"/>
    <w:rsid w:val="00A712B2"/>
    <w:rsid w:val="00A720B2"/>
    <w:rsid w:val="00A74214"/>
    <w:rsid w:val="00A7796E"/>
    <w:rsid w:val="00A812F9"/>
    <w:rsid w:val="00A86544"/>
    <w:rsid w:val="00A879DE"/>
    <w:rsid w:val="00A9085F"/>
    <w:rsid w:val="00A92C95"/>
    <w:rsid w:val="00A93A25"/>
    <w:rsid w:val="00A95A73"/>
    <w:rsid w:val="00A969D4"/>
    <w:rsid w:val="00AA0920"/>
    <w:rsid w:val="00AA3055"/>
    <w:rsid w:val="00AA469A"/>
    <w:rsid w:val="00AA5141"/>
    <w:rsid w:val="00AA6E6D"/>
    <w:rsid w:val="00AA715C"/>
    <w:rsid w:val="00AA7977"/>
    <w:rsid w:val="00AA79D9"/>
    <w:rsid w:val="00AB0126"/>
    <w:rsid w:val="00AB50FF"/>
    <w:rsid w:val="00AB6239"/>
    <w:rsid w:val="00AC4BEC"/>
    <w:rsid w:val="00AC57BB"/>
    <w:rsid w:val="00AC614D"/>
    <w:rsid w:val="00AD0323"/>
    <w:rsid w:val="00AD1F39"/>
    <w:rsid w:val="00AD4295"/>
    <w:rsid w:val="00AD4BC3"/>
    <w:rsid w:val="00AD647D"/>
    <w:rsid w:val="00AE02FD"/>
    <w:rsid w:val="00AE267B"/>
    <w:rsid w:val="00AE2698"/>
    <w:rsid w:val="00AE313F"/>
    <w:rsid w:val="00AE34F4"/>
    <w:rsid w:val="00AF042F"/>
    <w:rsid w:val="00AF412F"/>
    <w:rsid w:val="00B00C49"/>
    <w:rsid w:val="00B01601"/>
    <w:rsid w:val="00B0200B"/>
    <w:rsid w:val="00B03105"/>
    <w:rsid w:val="00B03461"/>
    <w:rsid w:val="00B0766F"/>
    <w:rsid w:val="00B07F42"/>
    <w:rsid w:val="00B10787"/>
    <w:rsid w:val="00B11974"/>
    <w:rsid w:val="00B12CF8"/>
    <w:rsid w:val="00B13035"/>
    <w:rsid w:val="00B225A2"/>
    <w:rsid w:val="00B244B9"/>
    <w:rsid w:val="00B24559"/>
    <w:rsid w:val="00B26B92"/>
    <w:rsid w:val="00B27020"/>
    <w:rsid w:val="00B27178"/>
    <w:rsid w:val="00B310C3"/>
    <w:rsid w:val="00B41E5B"/>
    <w:rsid w:val="00B42229"/>
    <w:rsid w:val="00B43ABC"/>
    <w:rsid w:val="00B44FA9"/>
    <w:rsid w:val="00B50DC6"/>
    <w:rsid w:val="00B51125"/>
    <w:rsid w:val="00B51F55"/>
    <w:rsid w:val="00B52CDF"/>
    <w:rsid w:val="00B5679C"/>
    <w:rsid w:val="00B60D60"/>
    <w:rsid w:val="00B63CDD"/>
    <w:rsid w:val="00B65687"/>
    <w:rsid w:val="00B6589C"/>
    <w:rsid w:val="00B65A3B"/>
    <w:rsid w:val="00B67AF0"/>
    <w:rsid w:val="00B72C6B"/>
    <w:rsid w:val="00B72E16"/>
    <w:rsid w:val="00B73012"/>
    <w:rsid w:val="00B80E2F"/>
    <w:rsid w:val="00B83D7B"/>
    <w:rsid w:val="00B85620"/>
    <w:rsid w:val="00B91131"/>
    <w:rsid w:val="00B94E88"/>
    <w:rsid w:val="00B95BB2"/>
    <w:rsid w:val="00B95EBA"/>
    <w:rsid w:val="00B97151"/>
    <w:rsid w:val="00BA037E"/>
    <w:rsid w:val="00BA04AB"/>
    <w:rsid w:val="00BA23D8"/>
    <w:rsid w:val="00BA35C9"/>
    <w:rsid w:val="00BA3EE0"/>
    <w:rsid w:val="00BA786D"/>
    <w:rsid w:val="00BB0AA7"/>
    <w:rsid w:val="00BB4D49"/>
    <w:rsid w:val="00BB537C"/>
    <w:rsid w:val="00BB6439"/>
    <w:rsid w:val="00BB675F"/>
    <w:rsid w:val="00BB7776"/>
    <w:rsid w:val="00BC331B"/>
    <w:rsid w:val="00BC331D"/>
    <w:rsid w:val="00BC332B"/>
    <w:rsid w:val="00BC3E08"/>
    <w:rsid w:val="00BC6E15"/>
    <w:rsid w:val="00BD17B0"/>
    <w:rsid w:val="00BD21B8"/>
    <w:rsid w:val="00BD3E59"/>
    <w:rsid w:val="00BD4403"/>
    <w:rsid w:val="00BD56B7"/>
    <w:rsid w:val="00BD5A47"/>
    <w:rsid w:val="00BD5FB6"/>
    <w:rsid w:val="00BE2BCC"/>
    <w:rsid w:val="00BE3896"/>
    <w:rsid w:val="00BE424D"/>
    <w:rsid w:val="00BE4A23"/>
    <w:rsid w:val="00BE7068"/>
    <w:rsid w:val="00BE768F"/>
    <w:rsid w:val="00C03192"/>
    <w:rsid w:val="00C10C80"/>
    <w:rsid w:val="00C11CD5"/>
    <w:rsid w:val="00C22046"/>
    <w:rsid w:val="00C23E32"/>
    <w:rsid w:val="00C251C4"/>
    <w:rsid w:val="00C266F9"/>
    <w:rsid w:val="00C27759"/>
    <w:rsid w:val="00C314C1"/>
    <w:rsid w:val="00C31917"/>
    <w:rsid w:val="00C33557"/>
    <w:rsid w:val="00C33D9F"/>
    <w:rsid w:val="00C37B8E"/>
    <w:rsid w:val="00C40571"/>
    <w:rsid w:val="00C40D7F"/>
    <w:rsid w:val="00C41741"/>
    <w:rsid w:val="00C41DD9"/>
    <w:rsid w:val="00C427DA"/>
    <w:rsid w:val="00C42C49"/>
    <w:rsid w:val="00C42FAF"/>
    <w:rsid w:val="00C47FE5"/>
    <w:rsid w:val="00C521D9"/>
    <w:rsid w:val="00C52C56"/>
    <w:rsid w:val="00C53D22"/>
    <w:rsid w:val="00C5437F"/>
    <w:rsid w:val="00C56053"/>
    <w:rsid w:val="00C568FB"/>
    <w:rsid w:val="00C56D0A"/>
    <w:rsid w:val="00C7063D"/>
    <w:rsid w:val="00C71320"/>
    <w:rsid w:val="00C7255C"/>
    <w:rsid w:val="00C72FDA"/>
    <w:rsid w:val="00C734F1"/>
    <w:rsid w:val="00C73AA7"/>
    <w:rsid w:val="00C73DAB"/>
    <w:rsid w:val="00C76BF4"/>
    <w:rsid w:val="00C76F3B"/>
    <w:rsid w:val="00C85569"/>
    <w:rsid w:val="00C863A3"/>
    <w:rsid w:val="00C864DC"/>
    <w:rsid w:val="00C866E4"/>
    <w:rsid w:val="00C90075"/>
    <w:rsid w:val="00C915B4"/>
    <w:rsid w:val="00C92177"/>
    <w:rsid w:val="00C94C33"/>
    <w:rsid w:val="00C94EEA"/>
    <w:rsid w:val="00CA1722"/>
    <w:rsid w:val="00CA172B"/>
    <w:rsid w:val="00CA452F"/>
    <w:rsid w:val="00CA6098"/>
    <w:rsid w:val="00CA7673"/>
    <w:rsid w:val="00CB1227"/>
    <w:rsid w:val="00CB1255"/>
    <w:rsid w:val="00CB18B1"/>
    <w:rsid w:val="00CB38CA"/>
    <w:rsid w:val="00CB66A2"/>
    <w:rsid w:val="00CB6F2B"/>
    <w:rsid w:val="00CC1067"/>
    <w:rsid w:val="00CC1159"/>
    <w:rsid w:val="00CC2EC2"/>
    <w:rsid w:val="00CC3679"/>
    <w:rsid w:val="00CC721B"/>
    <w:rsid w:val="00CD18B3"/>
    <w:rsid w:val="00CD3324"/>
    <w:rsid w:val="00CD5FBC"/>
    <w:rsid w:val="00CD6162"/>
    <w:rsid w:val="00CE36F9"/>
    <w:rsid w:val="00CE3B40"/>
    <w:rsid w:val="00CE4309"/>
    <w:rsid w:val="00CE6C6E"/>
    <w:rsid w:val="00CF42B9"/>
    <w:rsid w:val="00CF580B"/>
    <w:rsid w:val="00CF7819"/>
    <w:rsid w:val="00D01832"/>
    <w:rsid w:val="00D033AD"/>
    <w:rsid w:val="00D04527"/>
    <w:rsid w:val="00D201A6"/>
    <w:rsid w:val="00D21C96"/>
    <w:rsid w:val="00D30854"/>
    <w:rsid w:val="00D31127"/>
    <w:rsid w:val="00D33134"/>
    <w:rsid w:val="00D366B5"/>
    <w:rsid w:val="00D4052C"/>
    <w:rsid w:val="00D43DD3"/>
    <w:rsid w:val="00D447AC"/>
    <w:rsid w:val="00D4538C"/>
    <w:rsid w:val="00D4539F"/>
    <w:rsid w:val="00D458F0"/>
    <w:rsid w:val="00D45D3C"/>
    <w:rsid w:val="00D472C6"/>
    <w:rsid w:val="00D5079D"/>
    <w:rsid w:val="00D50B73"/>
    <w:rsid w:val="00D535DF"/>
    <w:rsid w:val="00D54957"/>
    <w:rsid w:val="00D55BD2"/>
    <w:rsid w:val="00D57CA6"/>
    <w:rsid w:val="00D6041B"/>
    <w:rsid w:val="00D60D98"/>
    <w:rsid w:val="00D61018"/>
    <w:rsid w:val="00D6265B"/>
    <w:rsid w:val="00D66D12"/>
    <w:rsid w:val="00D67732"/>
    <w:rsid w:val="00D72F33"/>
    <w:rsid w:val="00D7707C"/>
    <w:rsid w:val="00D80919"/>
    <w:rsid w:val="00D80B6D"/>
    <w:rsid w:val="00D80CAD"/>
    <w:rsid w:val="00D82CBC"/>
    <w:rsid w:val="00D8513A"/>
    <w:rsid w:val="00D85BBB"/>
    <w:rsid w:val="00D90628"/>
    <w:rsid w:val="00D92D49"/>
    <w:rsid w:val="00D930E7"/>
    <w:rsid w:val="00D93623"/>
    <w:rsid w:val="00D93D7A"/>
    <w:rsid w:val="00D94672"/>
    <w:rsid w:val="00D9690A"/>
    <w:rsid w:val="00DA073A"/>
    <w:rsid w:val="00DA08E6"/>
    <w:rsid w:val="00DA244F"/>
    <w:rsid w:val="00DA441B"/>
    <w:rsid w:val="00DA4EBC"/>
    <w:rsid w:val="00DA50BA"/>
    <w:rsid w:val="00DA5330"/>
    <w:rsid w:val="00DA55A8"/>
    <w:rsid w:val="00DA7B87"/>
    <w:rsid w:val="00DB0266"/>
    <w:rsid w:val="00DB0F40"/>
    <w:rsid w:val="00DB36D4"/>
    <w:rsid w:val="00DB63D9"/>
    <w:rsid w:val="00DB7514"/>
    <w:rsid w:val="00DB795C"/>
    <w:rsid w:val="00DB7E77"/>
    <w:rsid w:val="00DC0B27"/>
    <w:rsid w:val="00DC1667"/>
    <w:rsid w:val="00DC2FCA"/>
    <w:rsid w:val="00DC30D0"/>
    <w:rsid w:val="00DC78F9"/>
    <w:rsid w:val="00DC7E88"/>
    <w:rsid w:val="00DD3AB0"/>
    <w:rsid w:val="00DD68B5"/>
    <w:rsid w:val="00DD7FC1"/>
    <w:rsid w:val="00DE62D6"/>
    <w:rsid w:val="00DE7740"/>
    <w:rsid w:val="00DF0000"/>
    <w:rsid w:val="00DF020C"/>
    <w:rsid w:val="00DF05CC"/>
    <w:rsid w:val="00DF16F7"/>
    <w:rsid w:val="00DF4BD2"/>
    <w:rsid w:val="00DF5A2C"/>
    <w:rsid w:val="00DF7709"/>
    <w:rsid w:val="00DF7D1B"/>
    <w:rsid w:val="00E003F9"/>
    <w:rsid w:val="00E00DC6"/>
    <w:rsid w:val="00E01A0A"/>
    <w:rsid w:val="00E02B4A"/>
    <w:rsid w:val="00E058A3"/>
    <w:rsid w:val="00E06422"/>
    <w:rsid w:val="00E11439"/>
    <w:rsid w:val="00E151F3"/>
    <w:rsid w:val="00E161C6"/>
    <w:rsid w:val="00E17539"/>
    <w:rsid w:val="00E17D0C"/>
    <w:rsid w:val="00E21CDE"/>
    <w:rsid w:val="00E225BA"/>
    <w:rsid w:val="00E2483C"/>
    <w:rsid w:val="00E26CF0"/>
    <w:rsid w:val="00E30987"/>
    <w:rsid w:val="00E31346"/>
    <w:rsid w:val="00E33BF5"/>
    <w:rsid w:val="00E35966"/>
    <w:rsid w:val="00E36C23"/>
    <w:rsid w:val="00E376F8"/>
    <w:rsid w:val="00E40550"/>
    <w:rsid w:val="00E40650"/>
    <w:rsid w:val="00E409BF"/>
    <w:rsid w:val="00E4121F"/>
    <w:rsid w:val="00E41C99"/>
    <w:rsid w:val="00E423B5"/>
    <w:rsid w:val="00E4313E"/>
    <w:rsid w:val="00E43F59"/>
    <w:rsid w:val="00E448C8"/>
    <w:rsid w:val="00E45D9D"/>
    <w:rsid w:val="00E461E4"/>
    <w:rsid w:val="00E47FF9"/>
    <w:rsid w:val="00E518BB"/>
    <w:rsid w:val="00E56A60"/>
    <w:rsid w:val="00E57F9B"/>
    <w:rsid w:val="00E65A9A"/>
    <w:rsid w:val="00E6726D"/>
    <w:rsid w:val="00E67BB1"/>
    <w:rsid w:val="00E76043"/>
    <w:rsid w:val="00E77BCA"/>
    <w:rsid w:val="00E81433"/>
    <w:rsid w:val="00E81C95"/>
    <w:rsid w:val="00E8372E"/>
    <w:rsid w:val="00E84B41"/>
    <w:rsid w:val="00E852A3"/>
    <w:rsid w:val="00E93958"/>
    <w:rsid w:val="00EA01CC"/>
    <w:rsid w:val="00EA0A92"/>
    <w:rsid w:val="00EA0C1C"/>
    <w:rsid w:val="00EA3819"/>
    <w:rsid w:val="00EA477A"/>
    <w:rsid w:val="00EA4F68"/>
    <w:rsid w:val="00EA57EB"/>
    <w:rsid w:val="00EA674F"/>
    <w:rsid w:val="00EB1036"/>
    <w:rsid w:val="00EB4746"/>
    <w:rsid w:val="00EB4785"/>
    <w:rsid w:val="00EB48E6"/>
    <w:rsid w:val="00EB716B"/>
    <w:rsid w:val="00EC3BED"/>
    <w:rsid w:val="00EC72E9"/>
    <w:rsid w:val="00EC7BC1"/>
    <w:rsid w:val="00EC7F0E"/>
    <w:rsid w:val="00ED1BBB"/>
    <w:rsid w:val="00ED2D1F"/>
    <w:rsid w:val="00ED47B9"/>
    <w:rsid w:val="00ED58E9"/>
    <w:rsid w:val="00ED79D6"/>
    <w:rsid w:val="00EE1831"/>
    <w:rsid w:val="00EE3451"/>
    <w:rsid w:val="00EE3C70"/>
    <w:rsid w:val="00EE63BE"/>
    <w:rsid w:val="00EE6922"/>
    <w:rsid w:val="00EE6E06"/>
    <w:rsid w:val="00EE6F99"/>
    <w:rsid w:val="00EF0284"/>
    <w:rsid w:val="00EF18D9"/>
    <w:rsid w:val="00EF1AE7"/>
    <w:rsid w:val="00EF2F7C"/>
    <w:rsid w:val="00EF318B"/>
    <w:rsid w:val="00EF6D8C"/>
    <w:rsid w:val="00F01A8D"/>
    <w:rsid w:val="00F01BFC"/>
    <w:rsid w:val="00F02356"/>
    <w:rsid w:val="00F02D95"/>
    <w:rsid w:val="00F101B3"/>
    <w:rsid w:val="00F10A3C"/>
    <w:rsid w:val="00F13FDA"/>
    <w:rsid w:val="00F14982"/>
    <w:rsid w:val="00F14B6E"/>
    <w:rsid w:val="00F20B64"/>
    <w:rsid w:val="00F20D55"/>
    <w:rsid w:val="00F21D05"/>
    <w:rsid w:val="00F250B8"/>
    <w:rsid w:val="00F253CD"/>
    <w:rsid w:val="00F25676"/>
    <w:rsid w:val="00F2598D"/>
    <w:rsid w:val="00F259AE"/>
    <w:rsid w:val="00F30F02"/>
    <w:rsid w:val="00F311EB"/>
    <w:rsid w:val="00F31B7E"/>
    <w:rsid w:val="00F336A2"/>
    <w:rsid w:val="00F33826"/>
    <w:rsid w:val="00F33D58"/>
    <w:rsid w:val="00F34E7C"/>
    <w:rsid w:val="00F3561E"/>
    <w:rsid w:val="00F36EC6"/>
    <w:rsid w:val="00F4229F"/>
    <w:rsid w:val="00F43A8C"/>
    <w:rsid w:val="00F44AEB"/>
    <w:rsid w:val="00F45620"/>
    <w:rsid w:val="00F465B7"/>
    <w:rsid w:val="00F46BBD"/>
    <w:rsid w:val="00F479A2"/>
    <w:rsid w:val="00F51B95"/>
    <w:rsid w:val="00F5432C"/>
    <w:rsid w:val="00F5470D"/>
    <w:rsid w:val="00F5611C"/>
    <w:rsid w:val="00F56253"/>
    <w:rsid w:val="00F637FB"/>
    <w:rsid w:val="00F640A4"/>
    <w:rsid w:val="00F66B41"/>
    <w:rsid w:val="00F712AB"/>
    <w:rsid w:val="00F77D7D"/>
    <w:rsid w:val="00F800F5"/>
    <w:rsid w:val="00F80CD0"/>
    <w:rsid w:val="00F82DDB"/>
    <w:rsid w:val="00F838FF"/>
    <w:rsid w:val="00F83CDB"/>
    <w:rsid w:val="00F8401D"/>
    <w:rsid w:val="00F8771B"/>
    <w:rsid w:val="00F87E05"/>
    <w:rsid w:val="00F90003"/>
    <w:rsid w:val="00F9173C"/>
    <w:rsid w:val="00F94180"/>
    <w:rsid w:val="00F95752"/>
    <w:rsid w:val="00FA04F3"/>
    <w:rsid w:val="00FA1C73"/>
    <w:rsid w:val="00FA3302"/>
    <w:rsid w:val="00FA69C2"/>
    <w:rsid w:val="00FA6B22"/>
    <w:rsid w:val="00FA6E63"/>
    <w:rsid w:val="00FA73E5"/>
    <w:rsid w:val="00FB18D0"/>
    <w:rsid w:val="00FB2ED6"/>
    <w:rsid w:val="00FB3309"/>
    <w:rsid w:val="00FB53F1"/>
    <w:rsid w:val="00FC0973"/>
    <w:rsid w:val="00FC2216"/>
    <w:rsid w:val="00FC23FE"/>
    <w:rsid w:val="00FC2522"/>
    <w:rsid w:val="00FC309B"/>
    <w:rsid w:val="00FC5B56"/>
    <w:rsid w:val="00FC7D97"/>
    <w:rsid w:val="00FC7DA9"/>
    <w:rsid w:val="00FD43E4"/>
    <w:rsid w:val="00FD4B12"/>
    <w:rsid w:val="00FD7195"/>
    <w:rsid w:val="00FD747A"/>
    <w:rsid w:val="00FE10BB"/>
    <w:rsid w:val="00FE3038"/>
    <w:rsid w:val="00FE34CB"/>
    <w:rsid w:val="00FE4313"/>
    <w:rsid w:val="00FE6055"/>
    <w:rsid w:val="00FE619E"/>
    <w:rsid w:val="00FF0DE6"/>
    <w:rsid w:val="00FF21FF"/>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Nevyeenzmnka1">
    <w:name w:val="Nevyřešená zmínka1"/>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 w:type="table" w:styleId="Mkatabulky">
    <w:name w:val="Table Grid"/>
    <w:basedOn w:val="Normlntabulka"/>
    <w:uiPriority w:val="39"/>
    <w:rsid w:val="0060397A"/>
    <w:pPr>
      <w:widowControl/>
      <w:autoSpaceDE/>
      <w:autoSpaceDN/>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7D32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11561255">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151334288">
      <w:bodyDiv w:val="1"/>
      <w:marLeft w:val="0"/>
      <w:marRight w:val="0"/>
      <w:marTop w:val="0"/>
      <w:marBottom w:val="0"/>
      <w:divBdr>
        <w:top w:val="none" w:sz="0" w:space="0" w:color="auto"/>
        <w:left w:val="none" w:sz="0" w:space="0" w:color="auto"/>
        <w:bottom w:val="none" w:sz="0" w:space="0" w:color="auto"/>
        <w:right w:val="none" w:sz="0" w:space="0" w:color="auto"/>
      </w:divBdr>
    </w:div>
    <w:div w:id="181625473">
      <w:bodyDiv w:val="1"/>
      <w:marLeft w:val="0"/>
      <w:marRight w:val="0"/>
      <w:marTop w:val="0"/>
      <w:marBottom w:val="0"/>
      <w:divBdr>
        <w:top w:val="none" w:sz="0" w:space="0" w:color="auto"/>
        <w:left w:val="none" w:sz="0" w:space="0" w:color="auto"/>
        <w:bottom w:val="none" w:sz="0" w:space="0" w:color="auto"/>
        <w:right w:val="none" w:sz="0" w:space="0" w:color="auto"/>
      </w:divBdr>
      <w:divsChild>
        <w:div w:id="1740320161">
          <w:marLeft w:val="0"/>
          <w:marRight w:val="0"/>
          <w:marTop w:val="0"/>
          <w:marBottom w:val="0"/>
          <w:divBdr>
            <w:top w:val="none" w:sz="0" w:space="0" w:color="auto"/>
            <w:left w:val="none" w:sz="0" w:space="0" w:color="auto"/>
            <w:bottom w:val="none" w:sz="0" w:space="0" w:color="auto"/>
            <w:right w:val="none" w:sz="0" w:space="0" w:color="auto"/>
          </w:divBdr>
          <w:divsChild>
            <w:div w:id="1151946120">
              <w:marLeft w:val="0"/>
              <w:marRight w:val="0"/>
              <w:marTop w:val="0"/>
              <w:marBottom w:val="0"/>
              <w:divBdr>
                <w:top w:val="none" w:sz="0" w:space="0" w:color="auto"/>
                <w:left w:val="none" w:sz="0" w:space="0" w:color="auto"/>
                <w:bottom w:val="none" w:sz="0" w:space="0" w:color="auto"/>
                <w:right w:val="none" w:sz="0" w:space="0" w:color="auto"/>
              </w:divBdr>
              <w:divsChild>
                <w:div w:id="25453510">
                  <w:marLeft w:val="0"/>
                  <w:marRight w:val="0"/>
                  <w:marTop w:val="0"/>
                  <w:marBottom w:val="0"/>
                  <w:divBdr>
                    <w:top w:val="none" w:sz="0" w:space="0" w:color="auto"/>
                    <w:left w:val="none" w:sz="0" w:space="0" w:color="auto"/>
                    <w:bottom w:val="none" w:sz="0" w:space="0" w:color="auto"/>
                    <w:right w:val="none" w:sz="0" w:space="0" w:color="auto"/>
                  </w:divBdr>
                  <w:divsChild>
                    <w:div w:id="1540241522">
                      <w:marLeft w:val="0"/>
                      <w:marRight w:val="0"/>
                      <w:marTop w:val="0"/>
                      <w:marBottom w:val="0"/>
                      <w:divBdr>
                        <w:top w:val="none" w:sz="0" w:space="0" w:color="auto"/>
                        <w:left w:val="none" w:sz="0" w:space="0" w:color="auto"/>
                        <w:bottom w:val="none" w:sz="0" w:space="0" w:color="auto"/>
                        <w:right w:val="none" w:sz="0" w:space="0" w:color="auto"/>
                      </w:divBdr>
                      <w:divsChild>
                        <w:div w:id="776369963">
                          <w:marLeft w:val="0"/>
                          <w:marRight w:val="0"/>
                          <w:marTop w:val="0"/>
                          <w:marBottom w:val="0"/>
                          <w:divBdr>
                            <w:top w:val="none" w:sz="0" w:space="0" w:color="auto"/>
                            <w:left w:val="none" w:sz="0" w:space="0" w:color="auto"/>
                            <w:bottom w:val="none" w:sz="0" w:space="0" w:color="auto"/>
                            <w:right w:val="none" w:sz="0" w:space="0" w:color="auto"/>
                          </w:divBdr>
                          <w:divsChild>
                            <w:div w:id="191774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975976">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1425086">
      <w:bodyDiv w:val="1"/>
      <w:marLeft w:val="0"/>
      <w:marRight w:val="0"/>
      <w:marTop w:val="0"/>
      <w:marBottom w:val="0"/>
      <w:divBdr>
        <w:top w:val="none" w:sz="0" w:space="0" w:color="auto"/>
        <w:left w:val="none" w:sz="0" w:space="0" w:color="auto"/>
        <w:bottom w:val="none" w:sz="0" w:space="0" w:color="auto"/>
        <w:right w:val="none" w:sz="0" w:space="0" w:color="auto"/>
      </w:divBdr>
    </w:div>
    <w:div w:id="235557152">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262307797">
      <w:bodyDiv w:val="1"/>
      <w:marLeft w:val="0"/>
      <w:marRight w:val="0"/>
      <w:marTop w:val="0"/>
      <w:marBottom w:val="0"/>
      <w:divBdr>
        <w:top w:val="none" w:sz="0" w:space="0" w:color="auto"/>
        <w:left w:val="none" w:sz="0" w:space="0" w:color="auto"/>
        <w:bottom w:val="none" w:sz="0" w:space="0" w:color="auto"/>
        <w:right w:val="none" w:sz="0" w:space="0" w:color="auto"/>
      </w:divBdr>
    </w:div>
    <w:div w:id="492724173">
      <w:bodyDiv w:val="1"/>
      <w:marLeft w:val="0"/>
      <w:marRight w:val="0"/>
      <w:marTop w:val="0"/>
      <w:marBottom w:val="0"/>
      <w:divBdr>
        <w:top w:val="none" w:sz="0" w:space="0" w:color="auto"/>
        <w:left w:val="none" w:sz="0" w:space="0" w:color="auto"/>
        <w:bottom w:val="none" w:sz="0" w:space="0" w:color="auto"/>
        <w:right w:val="none" w:sz="0" w:space="0" w:color="auto"/>
      </w:divBdr>
    </w:div>
    <w:div w:id="496388250">
      <w:bodyDiv w:val="1"/>
      <w:marLeft w:val="0"/>
      <w:marRight w:val="0"/>
      <w:marTop w:val="0"/>
      <w:marBottom w:val="0"/>
      <w:divBdr>
        <w:top w:val="none" w:sz="0" w:space="0" w:color="auto"/>
        <w:left w:val="none" w:sz="0" w:space="0" w:color="auto"/>
        <w:bottom w:val="none" w:sz="0" w:space="0" w:color="auto"/>
        <w:right w:val="none" w:sz="0" w:space="0" w:color="auto"/>
      </w:divBdr>
    </w:div>
    <w:div w:id="521670953">
      <w:bodyDiv w:val="1"/>
      <w:marLeft w:val="0"/>
      <w:marRight w:val="0"/>
      <w:marTop w:val="0"/>
      <w:marBottom w:val="0"/>
      <w:divBdr>
        <w:top w:val="none" w:sz="0" w:space="0" w:color="auto"/>
        <w:left w:val="none" w:sz="0" w:space="0" w:color="auto"/>
        <w:bottom w:val="none" w:sz="0" w:space="0" w:color="auto"/>
        <w:right w:val="none" w:sz="0" w:space="0" w:color="auto"/>
      </w:divBdr>
    </w:div>
    <w:div w:id="712386259">
      <w:bodyDiv w:val="1"/>
      <w:marLeft w:val="0"/>
      <w:marRight w:val="0"/>
      <w:marTop w:val="0"/>
      <w:marBottom w:val="0"/>
      <w:divBdr>
        <w:top w:val="none" w:sz="0" w:space="0" w:color="auto"/>
        <w:left w:val="none" w:sz="0" w:space="0" w:color="auto"/>
        <w:bottom w:val="none" w:sz="0" w:space="0" w:color="auto"/>
        <w:right w:val="none" w:sz="0" w:space="0" w:color="auto"/>
      </w:divBdr>
    </w:div>
    <w:div w:id="727850146">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809589709">
      <w:bodyDiv w:val="1"/>
      <w:marLeft w:val="0"/>
      <w:marRight w:val="0"/>
      <w:marTop w:val="0"/>
      <w:marBottom w:val="0"/>
      <w:divBdr>
        <w:top w:val="none" w:sz="0" w:space="0" w:color="auto"/>
        <w:left w:val="none" w:sz="0" w:space="0" w:color="auto"/>
        <w:bottom w:val="none" w:sz="0" w:space="0" w:color="auto"/>
        <w:right w:val="none" w:sz="0" w:space="0" w:color="auto"/>
      </w:divBdr>
    </w:div>
    <w:div w:id="839541219">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48380583">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20759940">
      <w:bodyDiv w:val="1"/>
      <w:marLeft w:val="0"/>
      <w:marRight w:val="0"/>
      <w:marTop w:val="0"/>
      <w:marBottom w:val="0"/>
      <w:divBdr>
        <w:top w:val="none" w:sz="0" w:space="0" w:color="auto"/>
        <w:left w:val="none" w:sz="0" w:space="0" w:color="auto"/>
        <w:bottom w:val="none" w:sz="0" w:space="0" w:color="auto"/>
        <w:right w:val="none" w:sz="0" w:space="0" w:color="auto"/>
      </w:divBdr>
    </w:div>
    <w:div w:id="1142887116">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11453985">
      <w:bodyDiv w:val="1"/>
      <w:marLeft w:val="0"/>
      <w:marRight w:val="0"/>
      <w:marTop w:val="0"/>
      <w:marBottom w:val="0"/>
      <w:divBdr>
        <w:top w:val="none" w:sz="0" w:space="0" w:color="auto"/>
        <w:left w:val="none" w:sz="0" w:space="0" w:color="auto"/>
        <w:bottom w:val="none" w:sz="0" w:space="0" w:color="auto"/>
        <w:right w:val="none" w:sz="0" w:space="0" w:color="auto"/>
      </w:divBdr>
    </w:div>
    <w:div w:id="1220826212">
      <w:bodyDiv w:val="1"/>
      <w:marLeft w:val="0"/>
      <w:marRight w:val="0"/>
      <w:marTop w:val="0"/>
      <w:marBottom w:val="0"/>
      <w:divBdr>
        <w:top w:val="none" w:sz="0" w:space="0" w:color="auto"/>
        <w:left w:val="none" w:sz="0" w:space="0" w:color="auto"/>
        <w:bottom w:val="none" w:sz="0" w:space="0" w:color="auto"/>
        <w:right w:val="none" w:sz="0" w:space="0" w:color="auto"/>
      </w:divBdr>
      <w:divsChild>
        <w:div w:id="751632536">
          <w:marLeft w:val="0"/>
          <w:marRight w:val="0"/>
          <w:marTop w:val="0"/>
          <w:marBottom w:val="0"/>
          <w:divBdr>
            <w:top w:val="none" w:sz="0" w:space="0" w:color="auto"/>
            <w:left w:val="none" w:sz="0" w:space="0" w:color="auto"/>
            <w:bottom w:val="none" w:sz="0" w:space="0" w:color="auto"/>
            <w:right w:val="none" w:sz="0" w:space="0" w:color="auto"/>
          </w:divBdr>
          <w:divsChild>
            <w:div w:id="1611233610">
              <w:marLeft w:val="0"/>
              <w:marRight w:val="0"/>
              <w:marTop w:val="0"/>
              <w:marBottom w:val="0"/>
              <w:divBdr>
                <w:top w:val="none" w:sz="0" w:space="0" w:color="auto"/>
                <w:left w:val="none" w:sz="0" w:space="0" w:color="auto"/>
                <w:bottom w:val="none" w:sz="0" w:space="0" w:color="auto"/>
                <w:right w:val="none" w:sz="0" w:space="0" w:color="auto"/>
              </w:divBdr>
              <w:divsChild>
                <w:div w:id="478158412">
                  <w:marLeft w:val="0"/>
                  <w:marRight w:val="0"/>
                  <w:marTop w:val="0"/>
                  <w:marBottom w:val="0"/>
                  <w:divBdr>
                    <w:top w:val="none" w:sz="0" w:space="0" w:color="auto"/>
                    <w:left w:val="none" w:sz="0" w:space="0" w:color="auto"/>
                    <w:bottom w:val="none" w:sz="0" w:space="0" w:color="auto"/>
                    <w:right w:val="none" w:sz="0" w:space="0" w:color="auto"/>
                  </w:divBdr>
                  <w:divsChild>
                    <w:div w:id="52896651">
                      <w:marLeft w:val="0"/>
                      <w:marRight w:val="0"/>
                      <w:marTop w:val="0"/>
                      <w:marBottom w:val="0"/>
                      <w:divBdr>
                        <w:top w:val="none" w:sz="0" w:space="0" w:color="auto"/>
                        <w:left w:val="none" w:sz="0" w:space="0" w:color="auto"/>
                        <w:bottom w:val="none" w:sz="0" w:space="0" w:color="auto"/>
                        <w:right w:val="none" w:sz="0" w:space="0" w:color="auto"/>
                      </w:divBdr>
                      <w:divsChild>
                        <w:div w:id="1875776120">
                          <w:marLeft w:val="0"/>
                          <w:marRight w:val="0"/>
                          <w:marTop w:val="0"/>
                          <w:marBottom w:val="0"/>
                          <w:divBdr>
                            <w:top w:val="none" w:sz="0" w:space="0" w:color="auto"/>
                            <w:left w:val="none" w:sz="0" w:space="0" w:color="auto"/>
                            <w:bottom w:val="none" w:sz="0" w:space="0" w:color="auto"/>
                            <w:right w:val="none" w:sz="0" w:space="0" w:color="auto"/>
                          </w:divBdr>
                          <w:divsChild>
                            <w:div w:id="2158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07737293">
      <w:bodyDiv w:val="1"/>
      <w:marLeft w:val="0"/>
      <w:marRight w:val="0"/>
      <w:marTop w:val="0"/>
      <w:marBottom w:val="0"/>
      <w:divBdr>
        <w:top w:val="none" w:sz="0" w:space="0" w:color="auto"/>
        <w:left w:val="none" w:sz="0" w:space="0" w:color="auto"/>
        <w:bottom w:val="none" w:sz="0" w:space="0" w:color="auto"/>
        <w:right w:val="none" w:sz="0" w:space="0" w:color="auto"/>
      </w:divBdr>
    </w:div>
    <w:div w:id="1321469928">
      <w:bodyDiv w:val="1"/>
      <w:marLeft w:val="0"/>
      <w:marRight w:val="0"/>
      <w:marTop w:val="0"/>
      <w:marBottom w:val="0"/>
      <w:divBdr>
        <w:top w:val="none" w:sz="0" w:space="0" w:color="auto"/>
        <w:left w:val="none" w:sz="0" w:space="0" w:color="auto"/>
        <w:bottom w:val="none" w:sz="0" w:space="0" w:color="auto"/>
        <w:right w:val="none" w:sz="0" w:space="0" w:color="auto"/>
      </w:divBdr>
    </w:div>
    <w:div w:id="1328364310">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470827945">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07399407">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2743599">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56926848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814322425">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1957104834">
      <w:bodyDiv w:val="1"/>
      <w:marLeft w:val="0"/>
      <w:marRight w:val="0"/>
      <w:marTop w:val="0"/>
      <w:marBottom w:val="0"/>
      <w:divBdr>
        <w:top w:val="none" w:sz="0" w:space="0" w:color="auto"/>
        <w:left w:val="none" w:sz="0" w:space="0" w:color="auto"/>
        <w:bottom w:val="none" w:sz="0" w:space="0" w:color="auto"/>
        <w:right w:val="none" w:sz="0" w:space="0" w:color="auto"/>
      </w:divBdr>
      <w:divsChild>
        <w:div w:id="293759737">
          <w:marLeft w:val="0"/>
          <w:marRight w:val="0"/>
          <w:marTop w:val="0"/>
          <w:marBottom w:val="0"/>
          <w:divBdr>
            <w:top w:val="none" w:sz="0" w:space="0" w:color="auto"/>
            <w:left w:val="none" w:sz="0" w:space="0" w:color="auto"/>
            <w:bottom w:val="none" w:sz="0" w:space="0" w:color="auto"/>
            <w:right w:val="none" w:sz="0" w:space="0" w:color="auto"/>
          </w:divBdr>
          <w:divsChild>
            <w:div w:id="1283809187">
              <w:marLeft w:val="0"/>
              <w:marRight w:val="0"/>
              <w:marTop w:val="0"/>
              <w:marBottom w:val="0"/>
              <w:divBdr>
                <w:top w:val="none" w:sz="0" w:space="0" w:color="auto"/>
                <w:left w:val="none" w:sz="0" w:space="0" w:color="auto"/>
                <w:bottom w:val="none" w:sz="0" w:space="0" w:color="auto"/>
                <w:right w:val="none" w:sz="0" w:space="0" w:color="auto"/>
              </w:divBdr>
              <w:divsChild>
                <w:div w:id="277949201">
                  <w:marLeft w:val="0"/>
                  <w:marRight w:val="0"/>
                  <w:marTop w:val="0"/>
                  <w:marBottom w:val="0"/>
                  <w:divBdr>
                    <w:top w:val="none" w:sz="0" w:space="0" w:color="auto"/>
                    <w:left w:val="none" w:sz="0" w:space="0" w:color="auto"/>
                    <w:bottom w:val="none" w:sz="0" w:space="0" w:color="auto"/>
                    <w:right w:val="none" w:sz="0" w:space="0" w:color="auto"/>
                  </w:divBdr>
                  <w:divsChild>
                    <w:div w:id="2126071203">
                      <w:marLeft w:val="0"/>
                      <w:marRight w:val="0"/>
                      <w:marTop w:val="0"/>
                      <w:marBottom w:val="0"/>
                      <w:divBdr>
                        <w:top w:val="none" w:sz="0" w:space="0" w:color="auto"/>
                        <w:left w:val="none" w:sz="0" w:space="0" w:color="auto"/>
                        <w:bottom w:val="none" w:sz="0" w:space="0" w:color="auto"/>
                        <w:right w:val="none" w:sz="0" w:space="0" w:color="auto"/>
                      </w:divBdr>
                      <w:divsChild>
                        <w:div w:id="12920731">
                          <w:marLeft w:val="0"/>
                          <w:marRight w:val="0"/>
                          <w:marTop w:val="0"/>
                          <w:marBottom w:val="0"/>
                          <w:divBdr>
                            <w:top w:val="none" w:sz="0" w:space="0" w:color="auto"/>
                            <w:left w:val="none" w:sz="0" w:space="0" w:color="auto"/>
                            <w:bottom w:val="none" w:sz="0" w:space="0" w:color="auto"/>
                            <w:right w:val="none" w:sz="0" w:space="0" w:color="auto"/>
                          </w:divBdr>
                          <w:divsChild>
                            <w:div w:id="9115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874814">
      <w:bodyDiv w:val="1"/>
      <w:marLeft w:val="0"/>
      <w:marRight w:val="0"/>
      <w:marTop w:val="0"/>
      <w:marBottom w:val="0"/>
      <w:divBdr>
        <w:top w:val="none" w:sz="0" w:space="0" w:color="auto"/>
        <w:left w:val="none" w:sz="0" w:space="0" w:color="auto"/>
        <w:bottom w:val="none" w:sz="0" w:space="0" w:color="auto"/>
        <w:right w:val="none" w:sz="0" w:space="0" w:color="auto"/>
      </w:divBdr>
    </w:div>
    <w:div w:id="2035156383">
      <w:bodyDiv w:val="1"/>
      <w:marLeft w:val="0"/>
      <w:marRight w:val="0"/>
      <w:marTop w:val="0"/>
      <w:marBottom w:val="0"/>
      <w:divBdr>
        <w:top w:val="none" w:sz="0" w:space="0" w:color="auto"/>
        <w:left w:val="none" w:sz="0" w:space="0" w:color="auto"/>
        <w:bottom w:val="none" w:sz="0" w:space="0" w:color="auto"/>
        <w:right w:val="none" w:sz="0" w:space="0" w:color="auto"/>
      </w:divBdr>
      <w:divsChild>
        <w:div w:id="1400832100">
          <w:marLeft w:val="0"/>
          <w:marRight w:val="0"/>
          <w:marTop w:val="0"/>
          <w:marBottom w:val="0"/>
          <w:divBdr>
            <w:top w:val="none" w:sz="0" w:space="0" w:color="auto"/>
            <w:left w:val="none" w:sz="0" w:space="0" w:color="auto"/>
            <w:bottom w:val="none" w:sz="0" w:space="0" w:color="auto"/>
            <w:right w:val="none" w:sz="0" w:space="0" w:color="auto"/>
          </w:divBdr>
          <w:divsChild>
            <w:div w:id="446974766">
              <w:marLeft w:val="0"/>
              <w:marRight w:val="0"/>
              <w:marTop w:val="0"/>
              <w:marBottom w:val="0"/>
              <w:divBdr>
                <w:top w:val="none" w:sz="0" w:space="0" w:color="auto"/>
                <w:left w:val="none" w:sz="0" w:space="0" w:color="auto"/>
                <w:bottom w:val="none" w:sz="0" w:space="0" w:color="auto"/>
                <w:right w:val="none" w:sz="0" w:space="0" w:color="auto"/>
              </w:divBdr>
              <w:divsChild>
                <w:div w:id="113598995">
                  <w:marLeft w:val="0"/>
                  <w:marRight w:val="0"/>
                  <w:marTop w:val="0"/>
                  <w:marBottom w:val="0"/>
                  <w:divBdr>
                    <w:top w:val="none" w:sz="0" w:space="0" w:color="auto"/>
                    <w:left w:val="none" w:sz="0" w:space="0" w:color="auto"/>
                    <w:bottom w:val="none" w:sz="0" w:space="0" w:color="auto"/>
                    <w:right w:val="none" w:sz="0" w:space="0" w:color="auto"/>
                  </w:divBdr>
                  <w:divsChild>
                    <w:div w:id="1244342809">
                      <w:marLeft w:val="0"/>
                      <w:marRight w:val="0"/>
                      <w:marTop w:val="0"/>
                      <w:marBottom w:val="0"/>
                      <w:divBdr>
                        <w:top w:val="none" w:sz="0" w:space="0" w:color="auto"/>
                        <w:left w:val="none" w:sz="0" w:space="0" w:color="auto"/>
                        <w:bottom w:val="none" w:sz="0" w:space="0" w:color="auto"/>
                        <w:right w:val="none" w:sz="0" w:space="0" w:color="auto"/>
                      </w:divBdr>
                      <w:divsChild>
                        <w:div w:id="617759047">
                          <w:marLeft w:val="0"/>
                          <w:marRight w:val="0"/>
                          <w:marTop w:val="0"/>
                          <w:marBottom w:val="0"/>
                          <w:divBdr>
                            <w:top w:val="none" w:sz="0" w:space="0" w:color="auto"/>
                            <w:left w:val="none" w:sz="0" w:space="0" w:color="auto"/>
                            <w:bottom w:val="none" w:sz="0" w:space="0" w:color="auto"/>
                            <w:right w:val="none" w:sz="0" w:space="0" w:color="auto"/>
                          </w:divBdr>
                          <w:divsChild>
                            <w:div w:id="8337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436420">
      <w:bodyDiv w:val="1"/>
      <w:marLeft w:val="0"/>
      <w:marRight w:val="0"/>
      <w:marTop w:val="0"/>
      <w:marBottom w:val="0"/>
      <w:divBdr>
        <w:top w:val="none" w:sz="0" w:space="0" w:color="auto"/>
        <w:left w:val="none" w:sz="0" w:space="0" w:color="auto"/>
        <w:bottom w:val="none" w:sz="0" w:space="0" w:color="auto"/>
        <w:right w:val="none" w:sz="0" w:space="0" w:color="auto"/>
      </w:divBdr>
    </w:div>
    <w:div w:id="2080445261">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https://www.bcas.cz/o-nas/broker-consulting-index-spotrebitelskych-uve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hyperlink" Target="mailto:tereza.zahrubska@bcas.cz"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D4A5E-98D5-4953-A2A7-C322D58AD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3</Pages>
  <Words>1051</Words>
  <Characters>6204</Characters>
  <Application>Microsoft Office Word</Application>
  <DocSecurity>0</DocSecurity>
  <Lines>51</Lines>
  <Paragraphs>14</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Tereza Záhrubská</cp:lastModifiedBy>
  <cp:revision>17</cp:revision>
  <dcterms:created xsi:type="dcterms:W3CDTF">2024-12-18T10:45:00Z</dcterms:created>
  <dcterms:modified xsi:type="dcterms:W3CDTF">2025-02-24T08:05:00Z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