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6A9EF2EE" w14:textId="318AFB90" w:rsidR="005541A6"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r w:rsidRPr="00A0680F">
        <w:rPr>
          <w:rFonts w:asciiTheme="minorHAnsi" w:hAnsiTheme="minorHAnsi" w:cstheme="minorHAnsi"/>
          <w:b/>
          <w:color w:val="FF0000"/>
          <w:sz w:val="20"/>
          <w:szCs w:val="20"/>
        </w:rPr>
        <w:t>Franchisor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od České asociace franchisingu</w:t>
      </w:r>
      <w:r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54C4A66" w14:textId="5E94A117" w:rsidR="009E6D78" w:rsidRPr="004F1CA3" w:rsidRDefault="00736701" w:rsidP="005541A6">
      <w:pPr>
        <w:spacing w:after="120"/>
        <w:jc w:val="center"/>
        <w:rPr>
          <w:rFonts w:asciiTheme="minorHAnsi" w:hAnsiTheme="minorHAnsi" w:cstheme="minorHAnsi"/>
          <w:color w:val="000000" w:themeColor="text1"/>
          <w:sz w:val="20"/>
          <w:szCs w:val="20"/>
          <w:lang w:val="de-DE"/>
        </w:rPr>
      </w:pPr>
      <w:r>
        <w:rPr>
          <w:rFonts w:asciiTheme="minorHAnsi" w:hAnsiTheme="minorHAnsi" w:cstheme="minorHAnsi"/>
          <w:b/>
          <w:color w:val="000000" w:themeColor="text1"/>
          <w:sz w:val="30"/>
          <w:szCs w:val="30"/>
        </w:rPr>
        <w:lastRenderedPageBreak/>
        <w:t>Povinné ručení mírně podražilo</w:t>
      </w:r>
    </w:p>
    <w:p w14:paraId="1F438A4D" w14:textId="59E7772F" w:rsidR="00736701" w:rsidRPr="00C01736" w:rsidRDefault="0058601E" w:rsidP="00736701">
      <w:pPr>
        <w:pStyle w:val="Odstavecseseznamem"/>
        <w:numPr>
          <w:ilvl w:val="0"/>
          <w:numId w:val="24"/>
        </w:numPr>
        <w:ind w:left="357" w:right="40" w:hanging="357"/>
        <w:rPr>
          <w:rFonts w:asciiTheme="minorHAnsi" w:hAnsiTheme="minorHAnsi" w:cstheme="minorHAnsi"/>
          <w:b/>
          <w:color w:val="000000" w:themeColor="text1"/>
        </w:rPr>
      </w:pPr>
      <w:r w:rsidRPr="00C01736">
        <w:rPr>
          <w:rFonts w:asciiTheme="minorHAnsi" w:hAnsiTheme="minorHAnsi" w:cstheme="minorHAnsi"/>
          <w:b/>
          <w:color w:val="000000" w:themeColor="text1"/>
        </w:rPr>
        <w:t>Pr</w:t>
      </w:r>
      <w:r w:rsidR="00A577B7" w:rsidRPr="00C01736">
        <w:rPr>
          <w:rFonts w:asciiTheme="minorHAnsi" w:hAnsiTheme="minorHAnsi" w:cstheme="minorHAnsi"/>
          <w:b/>
          <w:color w:val="000000" w:themeColor="text1"/>
        </w:rPr>
        <w:t xml:space="preserve">ůměrné náklady na pojištění typického vozu </w:t>
      </w:r>
      <w:r w:rsidR="00736701" w:rsidRPr="00C01736">
        <w:rPr>
          <w:rFonts w:asciiTheme="minorHAnsi" w:hAnsiTheme="minorHAnsi" w:cstheme="minorHAnsi"/>
          <w:b/>
          <w:color w:val="000000" w:themeColor="text1"/>
        </w:rPr>
        <w:t>v říjnu mírně vzrostly.</w:t>
      </w:r>
    </w:p>
    <w:p w14:paraId="096765A6" w14:textId="6C71DEF5" w:rsidR="0058601E" w:rsidRPr="00C01736" w:rsidRDefault="00A577B7" w:rsidP="000D1503">
      <w:pPr>
        <w:pStyle w:val="Odstavecseseznamem"/>
        <w:numPr>
          <w:ilvl w:val="0"/>
          <w:numId w:val="24"/>
        </w:numPr>
        <w:ind w:left="357" w:right="40" w:hanging="357"/>
        <w:rPr>
          <w:rFonts w:asciiTheme="minorHAnsi" w:hAnsiTheme="minorHAnsi" w:cstheme="minorHAnsi"/>
          <w:b/>
          <w:color w:val="000000" w:themeColor="text1"/>
        </w:rPr>
      </w:pPr>
      <w:r w:rsidRPr="00C01736">
        <w:rPr>
          <w:rFonts w:asciiTheme="minorHAnsi" w:hAnsiTheme="minorHAnsi" w:cstheme="minorHAnsi"/>
          <w:b/>
          <w:color w:val="000000" w:themeColor="text1"/>
        </w:rPr>
        <w:t>Broker Consulti</w:t>
      </w:r>
      <w:r w:rsidR="009C5891" w:rsidRPr="00C01736">
        <w:rPr>
          <w:rFonts w:asciiTheme="minorHAnsi" w:hAnsiTheme="minorHAnsi" w:cstheme="minorHAnsi"/>
          <w:b/>
          <w:color w:val="000000" w:themeColor="text1"/>
        </w:rPr>
        <w:t>ng Index evidoval zvýšení o 164</w:t>
      </w:r>
      <w:r w:rsidR="00736701" w:rsidRPr="00C01736">
        <w:rPr>
          <w:rFonts w:asciiTheme="minorHAnsi" w:hAnsiTheme="minorHAnsi" w:cstheme="minorHAnsi"/>
          <w:b/>
          <w:color w:val="000000" w:themeColor="text1"/>
        </w:rPr>
        <w:t xml:space="preserve"> korun.</w:t>
      </w:r>
    </w:p>
    <w:p w14:paraId="28703ED8" w14:textId="07D54240" w:rsidR="00A577B7" w:rsidRPr="0087547E" w:rsidRDefault="0087547E" w:rsidP="000D1503">
      <w:pPr>
        <w:pStyle w:val="Odstavecseseznamem"/>
        <w:numPr>
          <w:ilvl w:val="0"/>
          <w:numId w:val="24"/>
        </w:numPr>
        <w:ind w:left="357" w:right="40" w:hanging="357"/>
        <w:rPr>
          <w:rFonts w:asciiTheme="minorHAnsi" w:hAnsiTheme="minorHAnsi" w:cstheme="minorHAnsi"/>
          <w:b/>
          <w:color w:val="000000" w:themeColor="text1"/>
        </w:rPr>
      </w:pPr>
      <w:r w:rsidRPr="0087547E">
        <w:rPr>
          <w:rFonts w:asciiTheme="minorHAnsi" w:hAnsiTheme="minorHAnsi" w:cstheme="minorHAnsi"/>
          <w:b/>
        </w:rPr>
        <w:t>Od 1. listopadu by měli zbystřit všichni řidiči, kteří stále jezdí na letních pneumatikách</w:t>
      </w:r>
      <w:r w:rsidRPr="0087547E">
        <w:rPr>
          <w:rFonts w:asciiTheme="minorHAnsi" w:hAnsiTheme="minorHAnsi" w:cstheme="minorHAnsi"/>
          <w:b/>
        </w:rPr>
        <w:t>.</w:t>
      </w:r>
    </w:p>
    <w:p w14:paraId="598575A9" w14:textId="33DFD40E" w:rsidR="003009FF" w:rsidRPr="00197411" w:rsidRDefault="003009FF" w:rsidP="00197411">
      <w:pPr>
        <w:ind w:right="40"/>
        <w:rPr>
          <w:rFonts w:asciiTheme="minorHAnsi" w:hAnsiTheme="minorHAnsi" w:cstheme="minorHAnsi"/>
          <w:b/>
          <w:color w:val="FF0000"/>
        </w:rPr>
      </w:pPr>
    </w:p>
    <w:p w14:paraId="313E2588" w14:textId="6DABDF06" w:rsidR="009C5891" w:rsidRPr="0087547E" w:rsidRDefault="00C01736" w:rsidP="0087547E">
      <w:pPr>
        <w:spacing w:before="100" w:beforeAutospacing="1" w:after="100" w:afterAutospacing="1"/>
        <w:jc w:val="both"/>
        <w:outlineLvl w:val="2"/>
        <w:rPr>
          <w:rFonts w:cstheme="minorHAnsi"/>
          <w:b/>
          <w:sz w:val="28"/>
          <w:szCs w:val="28"/>
        </w:rPr>
      </w:pPr>
      <w:r>
        <w:rPr>
          <w:rFonts w:asciiTheme="minorHAnsi" w:hAnsiTheme="minorHAnsi" w:cstheme="minorHAnsi"/>
          <w:i/>
          <w:sz w:val="21"/>
          <w:szCs w:val="21"/>
        </w:rPr>
        <w:t>Praha, 19</w:t>
      </w:r>
      <w:r w:rsidR="00736701" w:rsidRPr="00C01736">
        <w:rPr>
          <w:rFonts w:asciiTheme="minorHAnsi" w:hAnsiTheme="minorHAnsi" w:cstheme="minorHAnsi"/>
          <w:i/>
          <w:sz w:val="21"/>
          <w:szCs w:val="21"/>
        </w:rPr>
        <w:t>. listopadu 2024</w:t>
      </w:r>
      <w:r w:rsidR="00736701" w:rsidRPr="00C01736">
        <w:rPr>
          <w:rFonts w:asciiTheme="minorHAnsi" w:hAnsiTheme="minorHAnsi" w:cstheme="minorHAnsi"/>
          <w:sz w:val="21"/>
          <w:szCs w:val="21"/>
        </w:rPr>
        <w:t xml:space="preserve"> –</w:t>
      </w:r>
      <w:r w:rsidR="00D06C9F" w:rsidRPr="00C01736">
        <w:rPr>
          <w:rFonts w:asciiTheme="minorHAnsi" w:eastAsia="Times New Roman" w:hAnsiTheme="minorHAnsi" w:cstheme="minorHAnsi"/>
          <w:sz w:val="21"/>
          <w:szCs w:val="21"/>
        </w:rPr>
        <w:t xml:space="preserve"> </w:t>
      </w:r>
      <w:r w:rsidR="00D06C9F" w:rsidRPr="00C01736">
        <w:rPr>
          <w:rFonts w:asciiTheme="minorHAnsi" w:eastAsia="Times New Roman" w:hAnsiTheme="minorHAnsi" w:cstheme="minorHAnsi"/>
          <w:b/>
          <w:sz w:val="21"/>
          <w:szCs w:val="21"/>
        </w:rPr>
        <w:t xml:space="preserve">Broker Consulting Index povinného ručení, </w:t>
      </w:r>
      <w:r w:rsidRPr="00C01736">
        <w:rPr>
          <w:rFonts w:asciiTheme="minorHAnsi" w:hAnsiTheme="minorHAnsi" w:cstheme="minorHAnsi"/>
          <w:b/>
          <w:color w:val="000000" w:themeColor="text1"/>
          <w:sz w:val="21"/>
          <w:szCs w:val="21"/>
        </w:rPr>
        <w:t>který sleduje</w:t>
      </w:r>
      <w:r w:rsidRPr="00C01736">
        <w:rPr>
          <w:rFonts w:asciiTheme="minorHAnsi" w:hAnsiTheme="minorHAnsi" w:cstheme="minorHAnsi"/>
          <w:b/>
          <w:color w:val="000000" w:themeColor="text1"/>
          <w:sz w:val="21"/>
          <w:szCs w:val="21"/>
        </w:rPr>
        <w:t xml:space="preserve"> vývoj nákladů na povinné ručení pro řidiče bez historie</w:t>
      </w:r>
      <w:r w:rsidR="00736701" w:rsidRPr="00C01736">
        <w:rPr>
          <w:rFonts w:asciiTheme="minorHAnsi" w:hAnsiTheme="minorHAnsi" w:cstheme="minorHAnsi"/>
          <w:b/>
          <w:sz w:val="21"/>
          <w:szCs w:val="21"/>
        </w:rPr>
        <w:t>, zaznamenal v měsíci říjnu mírné zvýšení. Oproti předchozímu měsí</w:t>
      </w:r>
      <w:r w:rsidR="009C5891" w:rsidRPr="00C01736">
        <w:rPr>
          <w:rFonts w:asciiTheme="minorHAnsi" w:hAnsiTheme="minorHAnsi" w:cstheme="minorHAnsi"/>
          <w:b/>
          <w:sz w:val="21"/>
          <w:szCs w:val="21"/>
        </w:rPr>
        <w:t>ci došlo k nárůstu hodnoty o 164</w:t>
      </w:r>
      <w:r w:rsidRPr="00C01736">
        <w:rPr>
          <w:rFonts w:asciiTheme="minorHAnsi" w:hAnsiTheme="minorHAnsi" w:cstheme="minorHAnsi"/>
          <w:b/>
          <w:sz w:val="21"/>
          <w:szCs w:val="21"/>
        </w:rPr>
        <w:t> </w:t>
      </w:r>
      <w:r w:rsidR="00736701" w:rsidRPr="00C01736">
        <w:rPr>
          <w:rFonts w:asciiTheme="minorHAnsi" w:hAnsiTheme="minorHAnsi" w:cstheme="minorHAnsi"/>
          <w:b/>
          <w:sz w:val="21"/>
          <w:szCs w:val="21"/>
        </w:rPr>
        <w:t xml:space="preserve">korun a výsledná cena se </w:t>
      </w:r>
      <w:r w:rsidR="009C5891" w:rsidRPr="00C01736">
        <w:rPr>
          <w:rFonts w:asciiTheme="minorHAnsi" w:hAnsiTheme="minorHAnsi" w:cstheme="minorHAnsi"/>
          <w:b/>
          <w:sz w:val="21"/>
          <w:szCs w:val="21"/>
        </w:rPr>
        <w:t>tak vyšplhala v průměru na 7 316</w:t>
      </w:r>
      <w:r w:rsidR="00736701" w:rsidRPr="00C01736">
        <w:rPr>
          <w:rFonts w:asciiTheme="minorHAnsi" w:hAnsiTheme="minorHAnsi" w:cstheme="minorHAnsi"/>
          <w:b/>
          <w:sz w:val="21"/>
          <w:szCs w:val="21"/>
        </w:rPr>
        <w:t xml:space="preserve"> korun.</w:t>
      </w:r>
      <w:r w:rsidR="00246661" w:rsidRPr="00C01736">
        <w:rPr>
          <w:rFonts w:asciiTheme="minorHAnsi" w:hAnsiTheme="minorHAnsi" w:cstheme="minorHAnsi"/>
          <w:b/>
          <w:sz w:val="21"/>
          <w:szCs w:val="21"/>
        </w:rPr>
        <w:t xml:space="preserve"> Od počátku </w:t>
      </w:r>
      <w:r w:rsidR="00C171EA" w:rsidRPr="00C01736">
        <w:rPr>
          <w:rFonts w:asciiTheme="minorHAnsi" w:hAnsiTheme="minorHAnsi" w:cstheme="minorHAnsi"/>
          <w:b/>
          <w:sz w:val="21"/>
          <w:szCs w:val="21"/>
        </w:rPr>
        <w:t>roku zaznamenal I</w:t>
      </w:r>
      <w:r w:rsidRPr="00C01736">
        <w:rPr>
          <w:rFonts w:asciiTheme="minorHAnsi" w:hAnsiTheme="minorHAnsi" w:cstheme="minorHAnsi"/>
          <w:b/>
          <w:sz w:val="21"/>
          <w:szCs w:val="21"/>
        </w:rPr>
        <w:t xml:space="preserve">ndex zvýšení o </w:t>
      </w:r>
      <w:r w:rsidR="009C5891" w:rsidRPr="00C01736">
        <w:rPr>
          <w:rFonts w:asciiTheme="minorHAnsi" w:hAnsiTheme="minorHAnsi" w:cstheme="minorHAnsi"/>
          <w:b/>
          <w:sz w:val="21"/>
          <w:szCs w:val="21"/>
        </w:rPr>
        <w:t>293</w:t>
      </w:r>
      <w:r>
        <w:rPr>
          <w:rFonts w:asciiTheme="minorHAnsi" w:hAnsiTheme="minorHAnsi" w:cstheme="minorHAnsi"/>
          <w:b/>
          <w:sz w:val="21"/>
          <w:szCs w:val="21"/>
        </w:rPr>
        <w:t> </w:t>
      </w:r>
      <w:r w:rsidR="00C171EA" w:rsidRPr="00C01736">
        <w:rPr>
          <w:rFonts w:asciiTheme="minorHAnsi" w:hAnsiTheme="minorHAnsi" w:cstheme="minorHAnsi"/>
          <w:b/>
          <w:sz w:val="21"/>
          <w:szCs w:val="21"/>
        </w:rPr>
        <w:t xml:space="preserve">korun. </w:t>
      </w:r>
      <w:r w:rsidR="0087547E" w:rsidRPr="0087547E">
        <w:rPr>
          <w:rFonts w:asciiTheme="minorHAnsi" w:hAnsiTheme="minorHAnsi" w:cstheme="minorHAnsi"/>
          <w:b/>
        </w:rPr>
        <w:t xml:space="preserve">Podzim přináší nejen husté mlhy, ale i první mrazíky, které mohou zásadně zvýšit riziko smyku nebo nedobrzdění. Proč se tedy vyplatí vozidlo přezout? </w:t>
      </w:r>
      <w:r w:rsidR="0087547E" w:rsidRPr="0087547E">
        <w:rPr>
          <w:rFonts w:asciiTheme="minorHAnsi" w:hAnsiTheme="minorHAnsi" w:cstheme="minorHAnsi"/>
          <w:b/>
        </w:rPr>
        <w:t xml:space="preserve">A </w:t>
      </w:r>
      <w:r w:rsidR="0087547E" w:rsidRPr="0087547E">
        <w:rPr>
          <w:rFonts w:asciiTheme="minorHAnsi" w:hAnsiTheme="minorHAnsi" w:cstheme="minorHAnsi"/>
          <w:b/>
        </w:rPr>
        <w:t>jak se na absenci zimních pneumatik dívají pojišťovny?</w:t>
      </w:r>
    </w:p>
    <w:p w14:paraId="25E3B345" w14:textId="0DCD542B" w:rsidR="003009FF" w:rsidRPr="00C01736" w:rsidRDefault="009C5891" w:rsidP="00C01736">
      <w:pPr>
        <w:spacing w:before="100" w:beforeAutospacing="1" w:after="100" w:afterAutospacing="1"/>
        <w:jc w:val="both"/>
        <w:rPr>
          <w:rFonts w:asciiTheme="minorHAnsi" w:hAnsiTheme="minorHAnsi" w:cstheme="minorHAnsi"/>
          <w:sz w:val="21"/>
          <w:szCs w:val="21"/>
        </w:rPr>
      </w:pPr>
      <w:r w:rsidRPr="00C01736">
        <w:rPr>
          <w:rFonts w:asciiTheme="minorHAnsi" w:eastAsia="Times New Roman" w:hAnsiTheme="minorHAnsi" w:cstheme="minorHAnsi"/>
          <w:i/>
          <w:sz w:val="21"/>
          <w:szCs w:val="21"/>
        </w:rPr>
        <w:t>„Po dobu pětiletého sledování vzrostly náklady na po</w:t>
      </w:r>
      <w:r w:rsidR="00C01736">
        <w:rPr>
          <w:rFonts w:asciiTheme="minorHAnsi" w:eastAsia="Times New Roman" w:hAnsiTheme="minorHAnsi" w:cstheme="minorHAnsi"/>
          <w:i/>
          <w:sz w:val="21"/>
          <w:szCs w:val="21"/>
        </w:rPr>
        <w:t>vinné ručení o necelých tisíc korun</w:t>
      </w:r>
      <w:r w:rsidRPr="00C01736">
        <w:rPr>
          <w:rFonts w:asciiTheme="minorHAnsi" w:eastAsia="Times New Roman" w:hAnsiTheme="minorHAnsi" w:cstheme="minorHAnsi"/>
          <w:i/>
          <w:sz w:val="21"/>
          <w:szCs w:val="21"/>
        </w:rPr>
        <w:t>. Zatímco v říjnu roku 2020 si mohli řidiči sjednat povinné ručení za průměrných 6 460 korun, rok poté hodnota klesla na 6 443 korun. Další roky se již nesly v duchu mírného zdražování,“</w:t>
      </w:r>
      <w:r w:rsidRPr="00C01736">
        <w:rPr>
          <w:rFonts w:asciiTheme="minorHAnsi" w:eastAsia="Times New Roman" w:hAnsiTheme="minorHAnsi" w:cstheme="minorHAnsi"/>
          <w:sz w:val="21"/>
          <w:szCs w:val="21"/>
        </w:rPr>
        <w:t xml:space="preserve"> </w:t>
      </w:r>
      <w:r w:rsidR="003009FF" w:rsidRPr="00C01736">
        <w:rPr>
          <w:rFonts w:asciiTheme="minorHAnsi" w:hAnsiTheme="minorHAnsi" w:cstheme="minorHAnsi"/>
          <w:sz w:val="21"/>
          <w:szCs w:val="21"/>
        </w:rPr>
        <w:t xml:space="preserve">vysvětluje </w:t>
      </w:r>
      <w:r w:rsidR="003009FF" w:rsidRPr="00C01736">
        <w:rPr>
          <w:rFonts w:asciiTheme="minorHAnsi" w:hAnsiTheme="minorHAnsi" w:cstheme="minorHAnsi"/>
          <w:b/>
          <w:sz w:val="21"/>
          <w:szCs w:val="21"/>
        </w:rPr>
        <w:t xml:space="preserve">Jiří Váchal, analytik neživotního pojištění ze společnosti Broker Consulting. </w:t>
      </w:r>
      <w:r w:rsidRPr="00C01736">
        <w:rPr>
          <w:rFonts w:asciiTheme="minorHAnsi" w:hAnsiTheme="minorHAnsi" w:cstheme="minorHAnsi"/>
          <w:b/>
          <w:sz w:val="21"/>
          <w:szCs w:val="21"/>
        </w:rPr>
        <w:t xml:space="preserve"> </w:t>
      </w:r>
      <w:r w:rsidRPr="00C01736">
        <w:rPr>
          <w:rFonts w:asciiTheme="minorHAnsi" w:hAnsiTheme="minorHAnsi" w:cstheme="minorHAnsi"/>
          <w:sz w:val="21"/>
          <w:szCs w:val="21"/>
        </w:rPr>
        <w:t>V roce 2022 se průměrná cena pojištění pohybovala okolo 6 628 korun a rok na to 6 965 korun.</w:t>
      </w:r>
    </w:p>
    <w:p w14:paraId="74160984" w14:textId="2A65398B" w:rsidR="003E5F6E" w:rsidRPr="00C01736" w:rsidRDefault="009C5891" w:rsidP="00C01736">
      <w:pPr>
        <w:spacing w:before="100" w:beforeAutospacing="1" w:after="100" w:afterAutospacing="1"/>
        <w:jc w:val="both"/>
        <w:rPr>
          <w:rFonts w:asciiTheme="minorHAnsi" w:eastAsia="Times New Roman" w:hAnsiTheme="minorHAnsi" w:cstheme="minorHAnsi"/>
          <w:sz w:val="21"/>
          <w:szCs w:val="21"/>
        </w:rPr>
      </w:pPr>
      <w:r w:rsidRPr="00C01736">
        <w:rPr>
          <w:rFonts w:asciiTheme="minorHAnsi" w:eastAsia="Times New Roman" w:hAnsiTheme="minorHAnsi" w:cstheme="minorHAnsi"/>
          <w:sz w:val="21"/>
          <w:szCs w:val="21"/>
        </w:rPr>
        <w:t xml:space="preserve">Pozvolný nárůst cen povinného ručení je patrný také v Praze. </w:t>
      </w:r>
      <w:r w:rsidR="003E5F6E" w:rsidRPr="00C01736">
        <w:rPr>
          <w:rFonts w:asciiTheme="minorHAnsi" w:eastAsia="Times New Roman" w:hAnsiTheme="minorHAnsi" w:cstheme="minorHAnsi"/>
          <w:sz w:val="21"/>
          <w:szCs w:val="21"/>
        </w:rPr>
        <w:t>V říjnu zde řidiči za zákonné pojištění zaplatili v průměru 8</w:t>
      </w:r>
      <w:r w:rsidR="00E31ED3">
        <w:rPr>
          <w:rFonts w:asciiTheme="minorHAnsi" w:eastAsia="Times New Roman" w:hAnsiTheme="minorHAnsi" w:cstheme="minorHAnsi"/>
          <w:sz w:val="21"/>
          <w:szCs w:val="21"/>
        </w:rPr>
        <w:t> </w:t>
      </w:r>
      <w:r w:rsidR="003E5F6E" w:rsidRPr="00C01736">
        <w:rPr>
          <w:rFonts w:asciiTheme="minorHAnsi" w:eastAsia="Times New Roman" w:hAnsiTheme="minorHAnsi" w:cstheme="minorHAnsi"/>
          <w:sz w:val="21"/>
          <w:szCs w:val="21"/>
        </w:rPr>
        <w:t>217</w:t>
      </w:r>
      <w:r w:rsidR="00E31ED3">
        <w:rPr>
          <w:rFonts w:asciiTheme="minorHAnsi" w:eastAsia="Times New Roman" w:hAnsiTheme="minorHAnsi" w:cstheme="minorHAnsi"/>
          <w:sz w:val="21"/>
          <w:szCs w:val="21"/>
        </w:rPr>
        <w:t> </w:t>
      </w:r>
      <w:r w:rsidR="003E5F6E" w:rsidRPr="00C01736">
        <w:rPr>
          <w:rFonts w:asciiTheme="minorHAnsi" w:eastAsia="Times New Roman" w:hAnsiTheme="minorHAnsi" w:cstheme="minorHAnsi"/>
          <w:sz w:val="21"/>
          <w:szCs w:val="21"/>
        </w:rPr>
        <w:t>korun, zatímco loni to bylo o více než pět set korun méně, konkrétně 7 665 korun. Podíváme-li se na vývoj pojištění v posledních třech měsících, pak osmitisícovou hranici překonalo svou hodnotou také září (8 002 Kč). Zatímco srpnové (7 994 Kč) a červencové (7 975 Kč) hodnoty se držely pod osmi tisíci korunami.</w:t>
      </w:r>
      <w:bookmarkStart w:id="0" w:name="_GoBack"/>
      <w:bookmarkEnd w:id="0"/>
    </w:p>
    <w:p w14:paraId="5D75C8BC" w14:textId="276C4682" w:rsidR="003E5F6E" w:rsidRPr="00C01736" w:rsidRDefault="003E5F6E" w:rsidP="00C01736">
      <w:pPr>
        <w:spacing w:before="100" w:beforeAutospacing="1" w:after="100" w:afterAutospacing="1"/>
        <w:jc w:val="both"/>
        <w:rPr>
          <w:rFonts w:asciiTheme="minorHAnsi" w:eastAsia="Times New Roman" w:hAnsiTheme="minorHAnsi" w:cstheme="minorHAnsi"/>
          <w:sz w:val="21"/>
          <w:szCs w:val="21"/>
        </w:rPr>
      </w:pPr>
      <w:r w:rsidRPr="00C01736">
        <w:rPr>
          <w:rFonts w:asciiTheme="minorHAnsi" w:eastAsia="Times New Roman" w:hAnsiTheme="minorHAnsi" w:cstheme="minorHAnsi"/>
          <w:sz w:val="21"/>
          <w:szCs w:val="21"/>
        </w:rPr>
        <w:t>Podobný vývoj evidujeme také ve středočeském Benešově, kde se náklady na povinné ručení meziměsíčně zvýšily o 114</w:t>
      </w:r>
      <w:r w:rsidR="00E31ED3">
        <w:rPr>
          <w:rFonts w:asciiTheme="minorHAnsi" w:eastAsia="Times New Roman" w:hAnsiTheme="minorHAnsi" w:cstheme="minorHAnsi"/>
          <w:sz w:val="21"/>
          <w:szCs w:val="21"/>
        </w:rPr>
        <w:t> </w:t>
      </w:r>
      <w:r w:rsidRPr="00C01736">
        <w:rPr>
          <w:rFonts w:asciiTheme="minorHAnsi" w:eastAsia="Times New Roman" w:hAnsiTheme="minorHAnsi" w:cstheme="minorHAnsi"/>
          <w:sz w:val="21"/>
          <w:szCs w:val="21"/>
        </w:rPr>
        <w:t xml:space="preserve">korun. </w:t>
      </w:r>
      <w:r w:rsidR="00243E38" w:rsidRPr="00C01736">
        <w:rPr>
          <w:rFonts w:asciiTheme="minorHAnsi" w:eastAsia="Times New Roman" w:hAnsiTheme="minorHAnsi" w:cstheme="minorHAnsi"/>
          <w:i/>
          <w:sz w:val="21"/>
          <w:szCs w:val="21"/>
        </w:rPr>
        <w:t xml:space="preserve">„Také meziroční srovnání ukazuje na mírný nárůst hodnot. Povinné ručení pod hranicí šesti tisíc korun si mohli řidiči sjednat mezi lety 2020 a 2022. Následující rok již Index zaznamenal průměrnou hodnotu 6 266 korun,“ </w:t>
      </w:r>
      <w:r w:rsidR="00243E38" w:rsidRPr="00C01736">
        <w:rPr>
          <w:rFonts w:asciiTheme="minorHAnsi" w:eastAsia="Times New Roman" w:hAnsiTheme="minorHAnsi" w:cstheme="minorHAnsi"/>
          <w:sz w:val="21"/>
          <w:szCs w:val="21"/>
        </w:rPr>
        <w:t xml:space="preserve">dodává </w:t>
      </w:r>
      <w:r w:rsidR="00243E38" w:rsidRPr="00C01736">
        <w:rPr>
          <w:rFonts w:asciiTheme="minorHAnsi" w:eastAsia="Times New Roman" w:hAnsiTheme="minorHAnsi" w:cstheme="minorHAnsi"/>
          <w:b/>
          <w:sz w:val="21"/>
          <w:szCs w:val="21"/>
        </w:rPr>
        <w:t>Jiří Váchal</w:t>
      </w:r>
      <w:r w:rsidR="00243E38" w:rsidRPr="00C01736">
        <w:rPr>
          <w:rFonts w:asciiTheme="minorHAnsi" w:eastAsia="Times New Roman" w:hAnsiTheme="minorHAnsi" w:cstheme="minorHAnsi"/>
          <w:sz w:val="21"/>
          <w:szCs w:val="21"/>
        </w:rPr>
        <w:t>.</w:t>
      </w:r>
    </w:p>
    <w:p w14:paraId="12475CD6" w14:textId="0B90A13B" w:rsidR="00C01736" w:rsidRPr="00C01736" w:rsidRDefault="00C01736" w:rsidP="00C01736">
      <w:pPr>
        <w:spacing w:before="100" w:beforeAutospacing="1" w:after="100" w:afterAutospacing="1"/>
        <w:jc w:val="both"/>
        <w:rPr>
          <w:rFonts w:asciiTheme="minorHAnsi" w:eastAsia="Times New Roman" w:hAnsiTheme="minorHAnsi" w:cstheme="minorHAnsi"/>
          <w:sz w:val="21"/>
          <w:szCs w:val="21"/>
        </w:rPr>
      </w:pPr>
      <w:r>
        <w:rPr>
          <w:rFonts w:asciiTheme="minorHAnsi" w:eastAsia="Times New Roman" w:hAnsiTheme="minorHAnsi" w:cstheme="minorHAnsi"/>
          <w:noProof/>
          <w:sz w:val="21"/>
          <w:szCs w:val="21"/>
          <w:lang w:bidi="ar-SA"/>
        </w:rPr>
        <w:drawing>
          <wp:inline distT="0" distB="0" distL="0" distR="0" wp14:anchorId="5D1B042F" wp14:editId="10A412D1">
            <wp:extent cx="6567847" cy="2908300"/>
            <wp:effectExtent l="0" t="0" r="4445"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png"/>
                    <pic:cNvPicPr/>
                  </pic:nvPicPr>
                  <pic:blipFill>
                    <a:blip r:embed="rId17">
                      <a:extLst>
                        <a:ext uri="{28A0092B-C50C-407E-A947-70E740481C1C}">
                          <a14:useLocalDpi xmlns:a14="http://schemas.microsoft.com/office/drawing/2010/main" val="0"/>
                        </a:ext>
                      </a:extLst>
                    </a:blip>
                    <a:stretch>
                      <a:fillRect/>
                    </a:stretch>
                  </pic:blipFill>
                  <pic:spPr>
                    <a:xfrm>
                      <a:off x="0" y="0"/>
                      <a:ext cx="6612658" cy="2928143"/>
                    </a:xfrm>
                    <a:prstGeom prst="rect">
                      <a:avLst/>
                    </a:prstGeom>
                  </pic:spPr>
                </pic:pic>
              </a:graphicData>
            </a:graphic>
          </wp:inline>
        </w:drawing>
      </w:r>
    </w:p>
    <w:p w14:paraId="7F272372" w14:textId="0758395B" w:rsidR="0087547E" w:rsidRPr="0087547E" w:rsidRDefault="0087547E" w:rsidP="0087547E">
      <w:pPr>
        <w:spacing w:before="100" w:beforeAutospacing="1" w:after="100" w:afterAutospacing="1"/>
        <w:jc w:val="both"/>
        <w:outlineLvl w:val="2"/>
        <w:rPr>
          <w:rFonts w:asciiTheme="minorHAnsi" w:eastAsia="Times New Roman" w:hAnsiTheme="minorHAnsi" w:cstheme="minorHAnsi"/>
          <w:b/>
          <w:bCs/>
        </w:rPr>
      </w:pPr>
      <w:r w:rsidRPr="0087547E">
        <w:rPr>
          <w:rFonts w:asciiTheme="minorHAnsi" w:eastAsia="Times New Roman" w:hAnsiTheme="minorHAnsi" w:cstheme="minorHAnsi"/>
          <w:b/>
          <w:bCs/>
        </w:rPr>
        <w:lastRenderedPageBreak/>
        <w:t>Povinnost zimních pneumatik</w:t>
      </w:r>
    </w:p>
    <w:p w14:paraId="1B87BCCF" w14:textId="5783AE42" w:rsidR="0087547E" w:rsidRPr="0087547E" w:rsidRDefault="0087547E" w:rsidP="0087547E">
      <w:pPr>
        <w:spacing w:before="100" w:beforeAutospacing="1" w:after="100" w:afterAutospacing="1"/>
        <w:jc w:val="both"/>
        <w:rPr>
          <w:rFonts w:asciiTheme="minorHAnsi" w:hAnsiTheme="minorHAnsi" w:cstheme="minorHAnsi"/>
          <w:b/>
        </w:rPr>
      </w:pPr>
      <w:r w:rsidRPr="0087547E">
        <w:rPr>
          <w:rFonts w:asciiTheme="minorHAnsi" w:hAnsiTheme="minorHAnsi" w:cstheme="minorHAnsi"/>
        </w:rPr>
        <w:t xml:space="preserve">Podle zákona je povinnost mít zimní pneumatiky platná od 1. listopadu do 31. března, pokud na silnici leží souvislá vrstva sněhu, ledu nebo námrazy, případně pokud lze takové podmínky předpokládat. </w:t>
      </w:r>
      <w:r w:rsidRPr="0087547E">
        <w:rPr>
          <w:rFonts w:asciiTheme="minorHAnsi" w:hAnsiTheme="minorHAnsi" w:cstheme="minorHAnsi"/>
          <w:i/>
        </w:rPr>
        <w:t xml:space="preserve">„Tato povinnost tedy neznamená, že každý řidič musí nutně přezout k prvnímu listopadu. V našich klimatických podmínkách je ale vhodné přezout ještě před příchodem prvních mrazíků, aby se předešlo případným sankcím nebo komplikacím při vyřizování pojistné události,“ </w:t>
      </w:r>
      <w:r w:rsidRPr="0087547E">
        <w:rPr>
          <w:rFonts w:asciiTheme="minorHAnsi" w:hAnsiTheme="minorHAnsi" w:cstheme="minorHAnsi"/>
        </w:rPr>
        <w:t xml:space="preserve">doporučuje </w:t>
      </w:r>
      <w:r w:rsidRPr="0087547E">
        <w:rPr>
          <w:rFonts w:asciiTheme="minorHAnsi" w:hAnsiTheme="minorHAnsi" w:cstheme="minorHAnsi"/>
          <w:b/>
        </w:rPr>
        <w:t>Jiří Váchal, analytik neživotního pojištění společnosti Broker Consulting.</w:t>
      </w:r>
    </w:p>
    <w:p w14:paraId="3AE0B0ED" w14:textId="77777777" w:rsidR="0087547E" w:rsidRPr="0087547E" w:rsidRDefault="0087547E" w:rsidP="0087547E">
      <w:pPr>
        <w:spacing w:before="100" w:beforeAutospacing="1" w:after="100" w:afterAutospacing="1"/>
        <w:jc w:val="both"/>
        <w:outlineLvl w:val="2"/>
        <w:rPr>
          <w:rFonts w:asciiTheme="minorHAnsi" w:eastAsia="Times New Roman" w:hAnsiTheme="minorHAnsi" w:cstheme="minorHAnsi"/>
          <w:b/>
          <w:bCs/>
        </w:rPr>
      </w:pPr>
      <w:r w:rsidRPr="0087547E">
        <w:rPr>
          <w:rFonts w:asciiTheme="minorHAnsi" w:eastAsia="Times New Roman" w:hAnsiTheme="minorHAnsi" w:cstheme="minorHAnsi"/>
          <w:b/>
          <w:bCs/>
        </w:rPr>
        <w:t>Jak se dívají na zimní pneumatiky pojišťovny?</w:t>
      </w:r>
    </w:p>
    <w:p w14:paraId="58F036EF" w14:textId="77777777" w:rsidR="0087547E" w:rsidRPr="0087547E" w:rsidRDefault="0087547E" w:rsidP="0087547E">
      <w:pPr>
        <w:spacing w:before="100" w:beforeAutospacing="1" w:after="100" w:afterAutospacing="1"/>
        <w:jc w:val="both"/>
        <w:rPr>
          <w:rFonts w:asciiTheme="minorHAnsi" w:hAnsiTheme="minorHAnsi" w:cstheme="minorHAnsi"/>
        </w:rPr>
      </w:pPr>
      <w:r w:rsidRPr="0087547E">
        <w:rPr>
          <w:rFonts w:asciiTheme="minorHAnsi" w:hAnsiTheme="minorHAnsi" w:cstheme="minorHAnsi"/>
        </w:rPr>
        <w:t>Zatímco policie kontroluje povinnost zimních pneumatik na základě zákona, pojišťovny k ní přistupují z pohledu nároku na pojistné plnění</w:t>
      </w:r>
      <w:r w:rsidRPr="0087547E">
        <w:rPr>
          <w:rFonts w:asciiTheme="minorHAnsi" w:hAnsiTheme="minorHAnsi" w:cstheme="minorHAnsi"/>
          <w:i/>
        </w:rPr>
        <w:t xml:space="preserve">. „Pokud dojde k nehodě za zimních podmínek a vozidlo není vybaveno zimními pneumatikami, může pojišťovna vyhodnotit, že nevhodné obutí přispělo k nehodě, a rozhodnout se pro krácení plnění, v krajních případech jej i zcela odmítnout,“ </w:t>
      </w:r>
      <w:r w:rsidRPr="0087547E">
        <w:rPr>
          <w:rFonts w:asciiTheme="minorHAnsi" w:hAnsiTheme="minorHAnsi" w:cstheme="minorHAnsi"/>
        </w:rPr>
        <w:t xml:space="preserve">vysvětluje </w:t>
      </w:r>
      <w:r w:rsidRPr="0087547E">
        <w:rPr>
          <w:rFonts w:asciiTheme="minorHAnsi" w:hAnsiTheme="minorHAnsi" w:cstheme="minorHAnsi"/>
          <w:b/>
        </w:rPr>
        <w:t>Jiří Váchal ze společnosti Broker Consulting.</w:t>
      </w:r>
      <w:r w:rsidRPr="0087547E">
        <w:rPr>
          <w:rFonts w:asciiTheme="minorHAnsi" w:hAnsiTheme="minorHAnsi" w:cstheme="minorHAnsi"/>
        </w:rPr>
        <w:t xml:space="preserve"> Přístupy pojišťoven se mohou lišit, obecně však platí, že zimní pneumatiky výrazně zvyšují přilnavost k vozovce, čímž mohou předejít nejen materiálním škodám, ale i ohrožení zdraví a života</w:t>
      </w:r>
    </w:p>
    <w:p w14:paraId="12784991" w14:textId="77777777" w:rsidR="0087547E" w:rsidRPr="0087547E" w:rsidRDefault="0087547E" w:rsidP="0087547E">
      <w:pPr>
        <w:spacing w:before="100" w:beforeAutospacing="1" w:after="100" w:afterAutospacing="1"/>
        <w:jc w:val="both"/>
        <w:outlineLvl w:val="2"/>
        <w:rPr>
          <w:rFonts w:asciiTheme="minorHAnsi" w:eastAsia="Times New Roman" w:hAnsiTheme="minorHAnsi" w:cstheme="minorHAnsi"/>
          <w:b/>
          <w:bCs/>
        </w:rPr>
      </w:pPr>
      <w:r w:rsidRPr="0087547E">
        <w:rPr>
          <w:rFonts w:asciiTheme="minorHAnsi" w:eastAsia="Times New Roman" w:hAnsiTheme="minorHAnsi" w:cstheme="minorHAnsi"/>
          <w:b/>
          <w:bCs/>
        </w:rPr>
        <w:t>Co z toho plyne?</w:t>
      </w:r>
    </w:p>
    <w:p w14:paraId="2BAAF1E1" w14:textId="77777777" w:rsidR="0087547E" w:rsidRPr="0087547E" w:rsidRDefault="0087547E" w:rsidP="0087547E">
      <w:pPr>
        <w:jc w:val="both"/>
        <w:rPr>
          <w:rFonts w:asciiTheme="minorHAnsi" w:hAnsiTheme="minorHAnsi" w:cstheme="minorHAnsi"/>
        </w:rPr>
      </w:pPr>
      <w:r w:rsidRPr="0087547E">
        <w:rPr>
          <w:rFonts w:asciiTheme="minorHAnsi" w:hAnsiTheme="minorHAnsi" w:cstheme="minorHAnsi"/>
        </w:rPr>
        <w:t xml:space="preserve">Přezout pneumatiky na zimní není jen „papírová“ povinnost. Správné obutí výrazně zvyšuje bezpečnost jízdy a v případě nehody může chránit nejen zdraví, ale také majetek. Ať už jezdíte v České republice, nebo vyrážíte do zahraničí, vždy se vyplatí ověřit si podmínky a být připraven. </w:t>
      </w:r>
      <w:r w:rsidRPr="0087547E">
        <w:rPr>
          <w:rFonts w:asciiTheme="minorHAnsi" w:hAnsiTheme="minorHAnsi" w:cstheme="minorHAnsi"/>
          <w:i/>
        </w:rPr>
        <w:t xml:space="preserve">„Pro lepší orientaci v pravidlech i pojistném plnění je navíc užitečné spolupracovat s finančním konzultantem, který má v této oblasti zkušenosti a odborné znalosti a může vás upozornit na detaily, které byste sami mohli přehlédnout,“ </w:t>
      </w:r>
      <w:r w:rsidRPr="0087547E">
        <w:rPr>
          <w:rFonts w:asciiTheme="minorHAnsi" w:hAnsiTheme="minorHAnsi" w:cstheme="minorHAnsi"/>
        </w:rPr>
        <w:t xml:space="preserve">uzavírá </w:t>
      </w:r>
      <w:r w:rsidRPr="0087547E">
        <w:rPr>
          <w:rFonts w:asciiTheme="minorHAnsi" w:hAnsiTheme="minorHAnsi" w:cstheme="minorHAnsi"/>
          <w:b/>
        </w:rPr>
        <w:t>Jiří Váchal ze společnosti Broker Consulting.</w:t>
      </w:r>
    </w:p>
    <w:p w14:paraId="0C50AF96" w14:textId="0E439879" w:rsidR="003009FF" w:rsidRDefault="003009FF" w:rsidP="004D2ED3">
      <w:pPr>
        <w:spacing w:after="120"/>
        <w:ind w:right="40"/>
        <w:jc w:val="both"/>
        <w:rPr>
          <w:rFonts w:asciiTheme="minorHAnsi" w:hAnsiTheme="minorHAnsi" w:cstheme="minorHAnsi"/>
          <w:bCs/>
          <w:sz w:val="21"/>
          <w:szCs w:val="21"/>
        </w:rPr>
      </w:pP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lastRenderedPageBreak/>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2C1CA" w14:textId="77777777" w:rsidR="00465961" w:rsidRDefault="00465961">
      <w:r>
        <w:separator/>
      </w:r>
    </w:p>
  </w:endnote>
  <w:endnote w:type="continuationSeparator" w:id="0">
    <w:p w14:paraId="778567C9" w14:textId="77777777" w:rsidR="00465961" w:rsidRDefault="00465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5F80681F"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6E28C1">
          <w:rPr>
            <w:rFonts w:asciiTheme="minorHAnsi" w:hAnsiTheme="minorHAnsi" w:cstheme="minorHAnsi"/>
            <w:noProof/>
            <w:sz w:val="20"/>
            <w:szCs w:val="20"/>
          </w:rPr>
          <w:t>2</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465961">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0156F" w14:textId="77777777" w:rsidR="00465961" w:rsidRDefault="00465961">
      <w:r>
        <w:separator/>
      </w:r>
    </w:p>
  </w:footnote>
  <w:footnote w:type="continuationSeparator" w:id="0">
    <w:p w14:paraId="5BA2762B" w14:textId="77777777" w:rsidR="00465961" w:rsidRDefault="004659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2E2F"/>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713E"/>
    <w:rsid w:val="0013044E"/>
    <w:rsid w:val="00131F7B"/>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628"/>
    <w:rsid w:val="00194A47"/>
    <w:rsid w:val="00197408"/>
    <w:rsid w:val="00197411"/>
    <w:rsid w:val="00197AF4"/>
    <w:rsid w:val="00197DE5"/>
    <w:rsid w:val="001A210B"/>
    <w:rsid w:val="001A269A"/>
    <w:rsid w:val="001A4DDB"/>
    <w:rsid w:val="001A54DD"/>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1313"/>
    <w:rsid w:val="002414C7"/>
    <w:rsid w:val="0024150C"/>
    <w:rsid w:val="00242251"/>
    <w:rsid w:val="00243E38"/>
    <w:rsid w:val="0024666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3009FF"/>
    <w:rsid w:val="00301660"/>
    <w:rsid w:val="00302322"/>
    <w:rsid w:val="00302AE6"/>
    <w:rsid w:val="00303223"/>
    <w:rsid w:val="00303BCE"/>
    <w:rsid w:val="00303C85"/>
    <w:rsid w:val="0030477F"/>
    <w:rsid w:val="00305EA9"/>
    <w:rsid w:val="00307CEB"/>
    <w:rsid w:val="00307D0F"/>
    <w:rsid w:val="00312311"/>
    <w:rsid w:val="003128F8"/>
    <w:rsid w:val="003203FF"/>
    <w:rsid w:val="00321026"/>
    <w:rsid w:val="0032274C"/>
    <w:rsid w:val="00322757"/>
    <w:rsid w:val="00322BE1"/>
    <w:rsid w:val="00325CD8"/>
    <w:rsid w:val="00326268"/>
    <w:rsid w:val="00330918"/>
    <w:rsid w:val="0033104C"/>
    <w:rsid w:val="00334CD1"/>
    <w:rsid w:val="003404F4"/>
    <w:rsid w:val="00341A59"/>
    <w:rsid w:val="003428A4"/>
    <w:rsid w:val="003434AD"/>
    <w:rsid w:val="003450E1"/>
    <w:rsid w:val="00345D3E"/>
    <w:rsid w:val="003473B3"/>
    <w:rsid w:val="00347557"/>
    <w:rsid w:val="003504FD"/>
    <w:rsid w:val="00352433"/>
    <w:rsid w:val="0035286E"/>
    <w:rsid w:val="00352D61"/>
    <w:rsid w:val="00354DBF"/>
    <w:rsid w:val="00356FFC"/>
    <w:rsid w:val="00361C2E"/>
    <w:rsid w:val="00362251"/>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76E8"/>
    <w:rsid w:val="003A7C59"/>
    <w:rsid w:val="003A7C9A"/>
    <w:rsid w:val="003B08AC"/>
    <w:rsid w:val="003B2C75"/>
    <w:rsid w:val="003B4B9E"/>
    <w:rsid w:val="003B54D9"/>
    <w:rsid w:val="003B612F"/>
    <w:rsid w:val="003B7BFE"/>
    <w:rsid w:val="003C0030"/>
    <w:rsid w:val="003C1497"/>
    <w:rsid w:val="003C4D4B"/>
    <w:rsid w:val="003C7C52"/>
    <w:rsid w:val="003D03A6"/>
    <w:rsid w:val="003D07A2"/>
    <w:rsid w:val="003D2590"/>
    <w:rsid w:val="003D2711"/>
    <w:rsid w:val="003D2CAC"/>
    <w:rsid w:val="003D2EF0"/>
    <w:rsid w:val="003D386F"/>
    <w:rsid w:val="003D405C"/>
    <w:rsid w:val="003D43DB"/>
    <w:rsid w:val="003D4C73"/>
    <w:rsid w:val="003D556B"/>
    <w:rsid w:val="003D653E"/>
    <w:rsid w:val="003E2280"/>
    <w:rsid w:val="003E2ADC"/>
    <w:rsid w:val="003E5948"/>
    <w:rsid w:val="003E5F6E"/>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639"/>
    <w:rsid w:val="004407C2"/>
    <w:rsid w:val="004413A6"/>
    <w:rsid w:val="004418DE"/>
    <w:rsid w:val="00441D22"/>
    <w:rsid w:val="00444BB9"/>
    <w:rsid w:val="00445D0A"/>
    <w:rsid w:val="00447E56"/>
    <w:rsid w:val="00447F18"/>
    <w:rsid w:val="004504BC"/>
    <w:rsid w:val="00453482"/>
    <w:rsid w:val="00453762"/>
    <w:rsid w:val="00453CFE"/>
    <w:rsid w:val="004560F3"/>
    <w:rsid w:val="00457E45"/>
    <w:rsid w:val="0046325B"/>
    <w:rsid w:val="00463570"/>
    <w:rsid w:val="00465961"/>
    <w:rsid w:val="00467207"/>
    <w:rsid w:val="0047109D"/>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1F27"/>
    <w:rsid w:val="004A245D"/>
    <w:rsid w:val="004A2D42"/>
    <w:rsid w:val="004A2E7A"/>
    <w:rsid w:val="004A3A91"/>
    <w:rsid w:val="004A557B"/>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207F"/>
    <w:rsid w:val="004E3877"/>
    <w:rsid w:val="004E4203"/>
    <w:rsid w:val="004E42A8"/>
    <w:rsid w:val="004E44A2"/>
    <w:rsid w:val="004E6864"/>
    <w:rsid w:val="004E7863"/>
    <w:rsid w:val="004F07BC"/>
    <w:rsid w:val="004F0D7B"/>
    <w:rsid w:val="004F0DC0"/>
    <w:rsid w:val="004F1CA3"/>
    <w:rsid w:val="004F2548"/>
    <w:rsid w:val="004F43C7"/>
    <w:rsid w:val="004F5CC5"/>
    <w:rsid w:val="004F6067"/>
    <w:rsid w:val="004F63FD"/>
    <w:rsid w:val="00500534"/>
    <w:rsid w:val="0050130C"/>
    <w:rsid w:val="005039B0"/>
    <w:rsid w:val="00504953"/>
    <w:rsid w:val="005058FE"/>
    <w:rsid w:val="00507696"/>
    <w:rsid w:val="005154F9"/>
    <w:rsid w:val="00515C68"/>
    <w:rsid w:val="00517EF2"/>
    <w:rsid w:val="00520EA0"/>
    <w:rsid w:val="00522E25"/>
    <w:rsid w:val="00523BD9"/>
    <w:rsid w:val="00524E33"/>
    <w:rsid w:val="005253B2"/>
    <w:rsid w:val="0052644E"/>
    <w:rsid w:val="0052748B"/>
    <w:rsid w:val="005336E7"/>
    <w:rsid w:val="005337B6"/>
    <w:rsid w:val="00540A5E"/>
    <w:rsid w:val="00543BFB"/>
    <w:rsid w:val="00543F98"/>
    <w:rsid w:val="00544F68"/>
    <w:rsid w:val="00545CF4"/>
    <w:rsid w:val="00547816"/>
    <w:rsid w:val="00552CC5"/>
    <w:rsid w:val="005541A6"/>
    <w:rsid w:val="005546DD"/>
    <w:rsid w:val="00555E73"/>
    <w:rsid w:val="005613E9"/>
    <w:rsid w:val="00561757"/>
    <w:rsid w:val="00561997"/>
    <w:rsid w:val="00562CA8"/>
    <w:rsid w:val="00562DBA"/>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D11F0"/>
    <w:rsid w:val="005D3281"/>
    <w:rsid w:val="005D3BDE"/>
    <w:rsid w:val="005D41E6"/>
    <w:rsid w:val="005D4C94"/>
    <w:rsid w:val="005D5B42"/>
    <w:rsid w:val="005D6F9F"/>
    <w:rsid w:val="005D74FB"/>
    <w:rsid w:val="005D7DFF"/>
    <w:rsid w:val="005E1F28"/>
    <w:rsid w:val="005E443E"/>
    <w:rsid w:val="005E4600"/>
    <w:rsid w:val="005E4C96"/>
    <w:rsid w:val="005E60F6"/>
    <w:rsid w:val="005F102C"/>
    <w:rsid w:val="005F2232"/>
    <w:rsid w:val="005F2CF3"/>
    <w:rsid w:val="005F31C1"/>
    <w:rsid w:val="00601F8F"/>
    <w:rsid w:val="006033BD"/>
    <w:rsid w:val="006056A4"/>
    <w:rsid w:val="00605C99"/>
    <w:rsid w:val="00605FAF"/>
    <w:rsid w:val="00606B19"/>
    <w:rsid w:val="00606FBC"/>
    <w:rsid w:val="006070F0"/>
    <w:rsid w:val="00612B3B"/>
    <w:rsid w:val="006156DC"/>
    <w:rsid w:val="00623B26"/>
    <w:rsid w:val="00624C21"/>
    <w:rsid w:val="00625503"/>
    <w:rsid w:val="00630C55"/>
    <w:rsid w:val="0063340F"/>
    <w:rsid w:val="00633924"/>
    <w:rsid w:val="00633DC6"/>
    <w:rsid w:val="006340BB"/>
    <w:rsid w:val="00636B42"/>
    <w:rsid w:val="00637399"/>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28C1"/>
    <w:rsid w:val="006E3397"/>
    <w:rsid w:val="006F11BD"/>
    <w:rsid w:val="006F3882"/>
    <w:rsid w:val="006F4BEB"/>
    <w:rsid w:val="006F5AEF"/>
    <w:rsid w:val="006F6676"/>
    <w:rsid w:val="007001E0"/>
    <w:rsid w:val="00704089"/>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701"/>
    <w:rsid w:val="00736B2F"/>
    <w:rsid w:val="00737025"/>
    <w:rsid w:val="00737A54"/>
    <w:rsid w:val="00737FB2"/>
    <w:rsid w:val="00741E4A"/>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2A34"/>
    <w:rsid w:val="00793C25"/>
    <w:rsid w:val="007A1136"/>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B39"/>
    <w:rsid w:val="00864D3B"/>
    <w:rsid w:val="00866220"/>
    <w:rsid w:val="008672D5"/>
    <w:rsid w:val="00870A8D"/>
    <w:rsid w:val="00871D8A"/>
    <w:rsid w:val="00873067"/>
    <w:rsid w:val="0087448C"/>
    <w:rsid w:val="00874C32"/>
    <w:rsid w:val="00874E79"/>
    <w:rsid w:val="0087547E"/>
    <w:rsid w:val="00876BBB"/>
    <w:rsid w:val="00876E01"/>
    <w:rsid w:val="00880D87"/>
    <w:rsid w:val="00881B29"/>
    <w:rsid w:val="00882EAC"/>
    <w:rsid w:val="008838E4"/>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7A3E"/>
    <w:rsid w:val="00947E0F"/>
    <w:rsid w:val="00950337"/>
    <w:rsid w:val="009509CC"/>
    <w:rsid w:val="00951DB8"/>
    <w:rsid w:val="0095216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891"/>
    <w:rsid w:val="009C5C65"/>
    <w:rsid w:val="009C7478"/>
    <w:rsid w:val="009D23D9"/>
    <w:rsid w:val="009D2988"/>
    <w:rsid w:val="009D3BDF"/>
    <w:rsid w:val="009D4160"/>
    <w:rsid w:val="009D556F"/>
    <w:rsid w:val="009D66DF"/>
    <w:rsid w:val="009D6FFC"/>
    <w:rsid w:val="009E3060"/>
    <w:rsid w:val="009E317D"/>
    <w:rsid w:val="009E4188"/>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441D"/>
    <w:rsid w:val="00A477F8"/>
    <w:rsid w:val="00A51DB8"/>
    <w:rsid w:val="00A526C9"/>
    <w:rsid w:val="00A52E40"/>
    <w:rsid w:val="00A553F8"/>
    <w:rsid w:val="00A577B7"/>
    <w:rsid w:val="00A644DF"/>
    <w:rsid w:val="00A661EE"/>
    <w:rsid w:val="00A672EA"/>
    <w:rsid w:val="00A67865"/>
    <w:rsid w:val="00A706DB"/>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945"/>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3B93"/>
    <w:rsid w:val="00BF3C3D"/>
    <w:rsid w:val="00BF4FA6"/>
    <w:rsid w:val="00BF5DE1"/>
    <w:rsid w:val="00BF69D4"/>
    <w:rsid w:val="00C00860"/>
    <w:rsid w:val="00C01736"/>
    <w:rsid w:val="00C0488B"/>
    <w:rsid w:val="00C05509"/>
    <w:rsid w:val="00C1291C"/>
    <w:rsid w:val="00C129F0"/>
    <w:rsid w:val="00C12B80"/>
    <w:rsid w:val="00C1553C"/>
    <w:rsid w:val="00C16738"/>
    <w:rsid w:val="00C16A07"/>
    <w:rsid w:val="00C171EA"/>
    <w:rsid w:val="00C213F3"/>
    <w:rsid w:val="00C2196C"/>
    <w:rsid w:val="00C25196"/>
    <w:rsid w:val="00C25A49"/>
    <w:rsid w:val="00C30103"/>
    <w:rsid w:val="00C30556"/>
    <w:rsid w:val="00C306CA"/>
    <w:rsid w:val="00C30F7A"/>
    <w:rsid w:val="00C322B6"/>
    <w:rsid w:val="00C35BFC"/>
    <w:rsid w:val="00C36244"/>
    <w:rsid w:val="00C362AF"/>
    <w:rsid w:val="00C36818"/>
    <w:rsid w:val="00C36AC8"/>
    <w:rsid w:val="00C36E73"/>
    <w:rsid w:val="00C40157"/>
    <w:rsid w:val="00C41064"/>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06C9F"/>
    <w:rsid w:val="00D11870"/>
    <w:rsid w:val="00D132FF"/>
    <w:rsid w:val="00D15557"/>
    <w:rsid w:val="00D15686"/>
    <w:rsid w:val="00D16F9E"/>
    <w:rsid w:val="00D21B27"/>
    <w:rsid w:val="00D21E06"/>
    <w:rsid w:val="00D223BF"/>
    <w:rsid w:val="00D223FC"/>
    <w:rsid w:val="00D2253B"/>
    <w:rsid w:val="00D22A67"/>
    <w:rsid w:val="00D245D2"/>
    <w:rsid w:val="00D25B0B"/>
    <w:rsid w:val="00D31127"/>
    <w:rsid w:val="00D31386"/>
    <w:rsid w:val="00D31FA8"/>
    <w:rsid w:val="00D3396D"/>
    <w:rsid w:val="00D3397B"/>
    <w:rsid w:val="00D3569B"/>
    <w:rsid w:val="00D35A90"/>
    <w:rsid w:val="00D36065"/>
    <w:rsid w:val="00D36130"/>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1ED3"/>
    <w:rsid w:val="00E343B0"/>
    <w:rsid w:val="00E35A9F"/>
    <w:rsid w:val="00E364A9"/>
    <w:rsid w:val="00E36E36"/>
    <w:rsid w:val="00E400AA"/>
    <w:rsid w:val="00E40BF0"/>
    <w:rsid w:val="00E41EE8"/>
    <w:rsid w:val="00E42149"/>
    <w:rsid w:val="00E4768E"/>
    <w:rsid w:val="00E47BA7"/>
    <w:rsid w:val="00E515C8"/>
    <w:rsid w:val="00E53945"/>
    <w:rsid w:val="00E55682"/>
    <w:rsid w:val="00E5639B"/>
    <w:rsid w:val="00E57D1A"/>
    <w:rsid w:val="00E608E3"/>
    <w:rsid w:val="00E60E78"/>
    <w:rsid w:val="00E63C9B"/>
    <w:rsid w:val="00E669EF"/>
    <w:rsid w:val="00E67800"/>
    <w:rsid w:val="00E70E9A"/>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F1568"/>
    <w:rsid w:val="00EF56AC"/>
    <w:rsid w:val="00EF5EE0"/>
    <w:rsid w:val="00EF62F8"/>
    <w:rsid w:val="00F0275F"/>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551F"/>
    <w:rsid w:val="00FB6C4F"/>
    <w:rsid w:val="00FB7593"/>
    <w:rsid w:val="00FC1254"/>
    <w:rsid w:val="00FC33AA"/>
    <w:rsid w:val="00FC5217"/>
    <w:rsid w:val="00FC5EE8"/>
    <w:rsid w:val="00FD08A6"/>
    <w:rsid w:val="00FD20D1"/>
    <w:rsid w:val="00FD37BD"/>
    <w:rsid w:val="00FD5578"/>
    <w:rsid w:val="00FE189D"/>
    <w:rsid w:val="00FE28BC"/>
    <w:rsid w:val="00FE3A27"/>
    <w:rsid w:val="00FE6591"/>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2F63-678A-4885-9F20-2C84E322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1154</Words>
  <Characters>6815</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4</cp:revision>
  <dcterms:created xsi:type="dcterms:W3CDTF">2024-11-17T13:48:00Z</dcterms:created>
  <dcterms:modified xsi:type="dcterms:W3CDTF">2024-11-17T13:54:00Z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