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Arial" w:hAnsi="Arial" w:cs="Arial"/>
          <w:sz w:val="20"/>
          <w:szCs w:val="20"/>
        </w:rPr>
      </w:sdtEndPr>
      <w:sdtContent>
        <w:p w14:paraId="7ED014A1" w14:textId="55F827D2" w:rsidR="00D80B6D" w:rsidRPr="00B346ED" w:rsidRDefault="00D80B6D" w:rsidP="00B346ED">
          <w:pPr>
            <w:rPr>
              <w:highlight w:val="yellow"/>
            </w:rPr>
          </w:pPr>
        </w:p>
        <w:p w14:paraId="0FB45B67" w14:textId="77777777"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b/>
              <w:sz w:val="24"/>
            </w:rPr>
            <w:t>INDEX HYPOTEČNÍCH ÚVĚRŮ</w:t>
          </w:r>
          <w:r w:rsidRPr="007443AD">
            <w:rPr>
              <w:rFonts w:asciiTheme="minorHAnsi" w:hAnsiTheme="minorHAnsi" w:cstheme="minorHAnsi"/>
              <w:sz w:val="24"/>
            </w:rPr>
            <w:t xml:space="preserve"> | </w:t>
          </w:r>
          <w:r w:rsidRPr="007443AD">
            <w:rPr>
              <w:rFonts w:asciiTheme="minorHAnsi" w:hAnsiTheme="minorHAnsi" w:cstheme="minorHAnsi"/>
              <w:b/>
              <w:sz w:val="24"/>
            </w:rPr>
            <w:t xml:space="preserve">FIXINDEX </w:t>
          </w:r>
        </w:p>
        <w:p w14:paraId="03C4DE47" w14:textId="137DE246" w:rsidR="0009776B" w:rsidRDefault="00D80B6D" w:rsidP="005F65A1">
          <w:pPr>
            <w:spacing w:before="230"/>
            <w:ind w:left="165"/>
            <w:jc w:val="center"/>
            <w:rPr>
              <w:rFonts w:asciiTheme="minorHAnsi" w:hAnsiTheme="minorHAnsi" w:cstheme="minorHAnsi"/>
              <w:sz w:val="24"/>
            </w:rPr>
          </w:pPr>
          <w:r w:rsidRPr="007443AD">
            <w:rPr>
              <w:rFonts w:asciiTheme="minorHAnsi" w:hAnsiTheme="minorHAnsi" w:cstheme="minorHAnsi"/>
              <w:sz w:val="24"/>
            </w:rPr>
            <w:t xml:space="preserve">INDEX PODÍLOVÝCH FONDŮ </w:t>
          </w:r>
        </w:p>
        <w:p w14:paraId="5F5E486E" w14:textId="2A454C45" w:rsidR="004B5B94" w:rsidRPr="007443AD" w:rsidRDefault="004B5B94" w:rsidP="005F65A1">
          <w:pPr>
            <w:spacing w:before="230"/>
            <w:ind w:left="165"/>
            <w:jc w:val="center"/>
            <w:rPr>
              <w:rFonts w:asciiTheme="minorHAnsi" w:hAnsiTheme="minorHAnsi" w:cstheme="minorHAnsi"/>
              <w:sz w:val="24"/>
            </w:rPr>
          </w:pPr>
          <w:r>
            <w:rPr>
              <w:rFonts w:asciiTheme="minorHAnsi" w:hAnsiTheme="minorHAnsi" w:cstheme="minorHAnsi"/>
              <w:sz w:val="24"/>
            </w:rPr>
            <w:t>REALINDEX</w:t>
          </w:r>
        </w:p>
        <w:p w14:paraId="32900BCE" w14:textId="5904F9FC"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sz w:val="24"/>
            </w:rPr>
            <w:t>P</w:t>
          </w:r>
          <w:r w:rsidR="005F65A1" w:rsidRPr="007443AD">
            <w:rPr>
              <w:rFonts w:asciiTheme="minorHAnsi" w:hAnsiTheme="minorHAnsi" w:cstheme="minorHAnsi"/>
              <w:sz w:val="24"/>
            </w:rPr>
            <w:t>OV</w:t>
          </w:r>
          <w:r w:rsidRPr="007443AD">
            <w:rPr>
              <w:rFonts w:asciiTheme="minorHAnsi" w:hAnsiTheme="minorHAnsi" w:cstheme="minorHAnsi"/>
              <w:sz w:val="24"/>
            </w:rPr>
            <w:t xml:space="preserve">INDEX </w:t>
          </w:r>
        </w:p>
        <w:p w14:paraId="5B21B8A6" w14:textId="77777777" w:rsidR="00D80B6D" w:rsidRPr="007443AD" w:rsidRDefault="00D80B6D" w:rsidP="00D80B6D">
          <w:pPr>
            <w:spacing w:before="230"/>
            <w:ind w:left="165"/>
            <w:jc w:val="center"/>
            <w:rPr>
              <w:rFonts w:asciiTheme="minorHAnsi" w:hAnsiTheme="minorHAnsi" w:cstheme="minorHAnsi"/>
              <w:sz w:val="24"/>
            </w:rPr>
          </w:pPr>
          <w:r w:rsidRPr="007443AD">
            <w:rPr>
              <w:rFonts w:asciiTheme="minorHAnsi" w:hAnsiTheme="minorHAnsi" w:cstheme="minorHAnsi"/>
              <w:sz w:val="24"/>
            </w:rPr>
            <w:t xml:space="preserve">INDEX SPOTŘEBITELSKÝCH ÚVĚRŮ  </w:t>
          </w:r>
        </w:p>
        <w:p w14:paraId="720CCDBB" w14:textId="77777777" w:rsidR="00D80B6D" w:rsidRPr="00D84B7D" w:rsidRDefault="00D80B6D" w:rsidP="00D80B6D">
          <w:pPr>
            <w:pStyle w:val="Zkladntext"/>
            <w:spacing w:before="240"/>
            <w:rPr>
              <w:sz w:val="20"/>
              <w:highlight w:val="yellow"/>
            </w:rPr>
          </w:pPr>
        </w:p>
        <w:p w14:paraId="703D71F2" w14:textId="77777777" w:rsidR="00D80B6D" w:rsidRPr="00D84B7D" w:rsidRDefault="00D80B6D" w:rsidP="00D80B6D">
          <w:pPr>
            <w:pStyle w:val="Zkladntext"/>
            <w:rPr>
              <w:sz w:val="20"/>
              <w:highlight w:val="yellow"/>
            </w:rPr>
          </w:pPr>
        </w:p>
        <w:p w14:paraId="00494A3A" w14:textId="77777777" w:rsidR="00D80B6D" w:rsidRPr="00D84B7D" w:rsidRDefault="00D80B6D" w:rsidP="00D80B6D">
          <w:pPr>
            <w:pStyle w:val="Zkladntext"/>
            <w:rPr>
              <w:sz w:val="20"/>
              <w:highlight w:val="yellow"/>
            </w:rPr>
          </w:pPr>
          <w:r w:rsidRPr="00D84B7D">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D84B7D" w:rsidRDefault="00D80B6D" w:rsidP="00D80B6D">
          <w:pPr>
            <w:pStyle w:val="Zkladntext"/>
            <w:rPr>
              <w:sz w:val="20"/>
              <w:highlight w:val="yellow"/>
            </w:rPr>
          </w:pPr>
        </w:p>
        <w:p w14:paraId="2A5F355C" w14:textId="77777777" w:rsidR="00D80B6D" w:rsidRPr="00D84B7D" w:rsidRDefault="00D80B6D" w:rsidP="00D80B6D">
          <w:pPr>
            <w:pStyle w:val="Zkladntext"/>
            <w:rPr>
              <w:sz w:val="20"/>
              <w:highlight w:val="yellow"/>
            </w:rPr>
          </w:pPr>
        </w:p>
        <w:p w14:paraId="218EE6CB" w14:textId="77777777" w:rsidR="00D80B6D" w:rsidRPr="00D84B7D" w:rsidRDefault="00D80B6D" w:rsidP="00D80B6D">
          <w:pPr>
            <w:pStyle w:val="Zkladntext"/>
            <w:rPr>
              <w:sz w:val="20"/>
              <w:highlight w:val="yellow"/>
            </w:rPr>
          </w:pPr>
        </w:p>
        <w:p w14:paraId="0238B3AB" w14:textId="77777777" w:rsidR="00D80B6D" w:rsidRPr="00D84B7D" w:rsidRDefault="00D80B6D" w:rsidP="00D80B6D">
          <w:pPr>
            <w:pStyle w:val="Zkladntext"/>
            <w:rPr>
              <w:sz w:val="20"/>
              <w:highlight w:val="yellow"/>
            </w:rPr>
          </w:pPr>
        </w:p>
        <w:p w14:paraId="54516A42" w14:textId="77777777" w:rsidR="00D80B6D" w:rsidRPr="00D84B7D" w:rsidRDefault="00D80B6D" w:rsidP="00D80B6D">
          <w:pPr>
            <w:pStyle w:val="Zkladntext"/>
            <w:rPr>
              <w:sz w:val="20"/>
              <w:highlight w:val="yellow"/>
            </w:rPr>
          </w:pPr>
        </w:p>
        <w:p w14:paraId="5266363A" w14:textId="77777777" w:rsidR="00D80B6D" w:rsidRPr="00D84B7D" w:rsidRDefault="00D80B6D" w:rsidP="00D80B6D">
          <w:pPr>
            <w:pStyle w:val="Zkladntext"/>
            <w:rPr>
              <w:sz w:val="20"/>
              <w:highlight w:val="yellow"/>
            </w:rPr>
          </w:pPr>
        </w:p>
        <w:p w14:paraId="363B2E28" w14:textId="77777777" w:rsidR="00D80B6D" w:rsidRPr="00D84B7D" w:rsidRDefault="00D80B6D" w:rsidP="00D80B6D">
          <w:pPr>
            <w:pStyle w:val="Zkladntext"/>
            <w:rPr>
              <w:sz w:val="20"/>
              <w:highlight w:val="yellow"/>
            </w:rPr>
          </w:pPr>
        </w:p>
        <w:p w14:paraId="17667B44" w14:textId="77777777" w:rsidR="00D80B6D" w:rsidRPr="00D84B7D" w:rsidRDefault="00D80B6D" w:rsidP="00D80B6D">
          <w:pPr>
            <w:pStyle w:val="Zkladntext"/>
            <w:jc w:val="both"/>
            <w:rPr>
              <w:rFonts w:ascii="Arial" w:hAnsi="Arial" w:cs="Arial"/>
              <w:sz w:val="20"/>
              <w:highlight w:val="yellow"/>
            </w:rPr>
          </w:pPr>
        </w:p>
        <w:p w14:paraId="5193A529" w14:textId="77777777" w:rsidR="00D80B6D" w:rsidRPr="00D84B7D" w:rsidRDefault="00D80B6D" w:rsidP="00D80B6D">
          <w:pPr>
            <w:pStyle w:val="Zkladntext"/>
            <w:jc w:val="both"/>
            <w:rPr>
              <w:rFonts w:ascii="Arial" w:hAnsi="Arial" w:cs="Arial"/>
              <w:b/>
              <w:sz w:val="20"/>
              <w:highlight w:val="yellow"/>
            </w:rPr>
          </w:pPr>
        </w:p>
        <w:p w14:paraId="2833FE59" w14:textId="77777777" w:rsidR="00D80B6D" w:rsidRPr="00D84B7D" w:rsidRDefault="00D80B6D" w:rsidP="00D80B6D">
          <w:pPr>
            <w:pStyle w:val="Zkladntext"/>
            <w:jc w:val="both"/>
            <w:rPr>
              <w:rFonts w:ascii="Arial" w:hAnsi="Arial" w:cs="Arial"/>
              <w:b/>
              <w:sz w:val="20"/>
              <w:highlight w:val="yellow"/>
            </w:rPr>
          </w:pPr>
        </w:p>
        <w:p w14:paraId="6DB157BF" w14:textId="77777777" w:rsidR="00D80B6D" w:rsidRPr="00D84B7D" w:rsidRDefault="00D80B6D" w:rsidP="00D80B6D">
          <w:pPr>
            <w:pStyle w:val="Zkladntext"/>
            <w:jc w:val="both"/>
            <w:rPr>
              <w:rFonts w:ascii="Arial" w:hAnsi="Arial" w:cs="Arial"/>
              <w:b/>
              <w:sz w:val="20"/>
              <w:highlight w:val="yellow"/>
            </w:rPr>
          </w:pPr>
        </w:p>
        <w:p w14:paraId="47803C2A" w14:textId="77777777" w:rsidR="00D80B6D" w:rsidRPr="00D84B7D" w:rsidRDefault="00D80B6D" w:rsidP="00D80B6D">
          <w:pPr>
            <w:pStyle w:val="Zkladntext"/>
            <w:jc w:val="both"/>
            <w:rPr>
              <w:rFonts w:ascii="Arial" w:hAnsi="Arial" w:cs="Arial"/>
              <w:b/>
              <w:sz w:val="20"/>
              <w:highlight w:val="yellow"/>
            </w:rPr>
          </w:pPr>
        </w:p>
        <w:p w14:paraId="1D90E1D0" w14:textId="77777777" w:rsidR="00D80B6D" w:rsidRPr="00D84B7D" w:rsidRDefault="00D80B6D" w:rsidP="00D80B6D">
          <w:pPr>
            <w:pStyle w:val="Zkladntext"/>
            <w:jc w:val="both"/>
            <w:rPr>
              <w:rFonts w:ascii="Arial" w:hAnsi="Arial" w:cs="Arial"/>
              <w:b/>
              <w:sz w:val="20"/>
              <w:highlight w:val="yellow"/>
            </w:rPr>
          </w:pPr>
        </w:p>
        <w:p w14:paraId="5A33B823" w14:textId="77777777" w:rsidR="00D80B6D" w:rsidRPr="00D84B7D" w:rsidRDefault="00D80B6D" w:rsidP="00D80B6D">
          <w:pPr>
            <w:pStyle w:val="Zkladntext"/>
            <w:jc w:val="both"/>
            <w:rPr>
              <w:rFonts w:ascii="Arial" w:hAnsi="Arial" w:cs="Arial"/>
              <w:b/>
              <w:sz w:val="20"/>
              <w:highlight w:val="yellow"/>
            </w:rPr>
          </w:pPr>
        </w:p>
        <w:p w14:paraId="0D2BECD0" w14:textId="77777777" w:rsidR="00D80B6D" w:rsidRPr="00D84B7D" w:rsidRDefault="00D80B6D" w:rsidP="00D80B6D">
          <w:pPr>
            <w:pStyle w:val="Zkladntext"/>
            <w:jc w:val="both"/>
            <w:rPr>
              <w:rFonts w:ascii="Arial" w:hAnsi="Arial" w:cs="Arial"/>
              <w:b/>
              <w:sz w:val="20"/>
              <w:highlight w:val="yellow"/>
            </w:rPr>
          </w:pPr>
        </w:p>
        <w:p w14:paraId="69288FB9" w14:textId="77777777" w:rsidR="00D80B6D" w:rsidRPr="00D84B7D" w:rsidRDefault="00D80B6D" w:rsidP="00D80B6D">
          <w:pPr>
            <w:pStyle w:val="Zkladntext"/>
            <w:jc w:val="both"/>
            <w:rPr>
              <w:rFonts w:ascii="Arial" w:hAnsi="Arial" w:cs="Arial"/>
              <w:b/>
              <w:sz w:val="20"/>
              <w:highlight w:val="yellow"/>
            </w:rPr>
          </w:pPr>
        </w:p>
        <w:p w14:paraId="541E93D5" w14:textId="77777777" w:rsidR="00D80B6D" w:rsidRPr="00D84B7D" w:rsidRDefault="00D80B6D" w:rsidP="00D80B6D">
          <w:pPr>
            <w:pStyle w:val="Zkladntext"/>
            <w:jc w:val="both"/>
            <w:rPr>
              <w:rFonts w:ascii="Arial" w:hAnsi="Arial" w:cs="Arial"/>
              <w:b/>
              <w:sz w:val="20"/>
              <w:highlight w:val="yellow"/>
            </w:rPr>
          </w:pPr>
        </w:p>
        <w:p w14:paraId="341A343C" w14:textId="77777777" w:rsidR="00D80B6D" w:rsidRPr="00D84B7D" w:rsidRDefault="00D80B6D" w:rsidP="00D80B6D">
          <w:pPr>
            <w:pStyle w:val="Zkladntext"/>
            <w:jc w:val="both"/>
            <w:rPr>
              <w:rFonts w:ascii="Arial" w:hAnsi="Arial" w:cs="Arial"/>
              <w:b/>
              <w:sz w:val="20"/>
              <w:highlight w:val="yellow"/>
            </w:rPr>
          </w:pPr>
        </w:p>
        <w:p w14:paraId="6C52C42D" w14:textId="77777777" w:rsidR="00D80B6D" w:rsidRPr="00D84B7D" w:rsidRDefault="00D80B6D" w:rsidP="00D80B6D">
          <w:pPr>
            <w:pStyle w:val="Zkladntext"/>
            <w:jc w:val="both"/>
            <w:rPr>
              <w:rFonts w:ascii="Arial" w:hAnsi="Arial" w:cs="Arial"/>
              <w:b/>
              <w:sz w:val="20"/>
              <w:highlight w:val="yellow"/>
            </w:rPr>
          </w:pPr>
        </w:p>
        <w:p w14:paraId="3E3CDF25" w14:textId="77777777" w:rsidR="00D80B6D" w:rsidRPr="00D84B7D" w:rsidRDefault="00D80B6D" w:rsidP="00D80B6D">
          <w:pPr>
            <w:pStyle w:val="Zkladntext"/>
            <w:jc w:val="both"/>
            <w:rPr>
              <w:rFonts w:ascii="Arial" w:hAnsi="Arial" w:cs="Arial"/>
              <w:b/>
              <w:sz w:val="20"/>
              <w:highlight w:val="yellow"/>
            </w:rPr>
          </w:pPr>
        </w:p>
        <w:p w14:paraId="40495E64" w14:textId="77777777" w:rsidR="00D80B6D" w:rsidRPr="00D84B7D" w:rsidRDefault="00D80B6D" w:rsidP="00D80B6D">
          <w:pPr>
            <w:pStyle w:val="Zkladntext"/>
            <w:jc w:val="both"/>
            <w:rPr>
              <w:rFonts w:ascii="Arial" w:hAnsi="Arial" w:cs="Arial"/>
              <w:b/>
              <w:sz w:val="20"/>
              <w:highlight w:val="yellow"/>
            </w:rPr>
          </w:pPr>
        </w:p>
        <w:p w14:paraId="59B6F4E6" w14:textId="77777777" w:rsidR="00D80B6D" w:rsidRPr="00D84B7D" w:rsidRDefault="00D80B6D" w:rsidP="00D80B6D">
          <w:pPr>
            <w:pStyle w:val="Zkladntext"/>
            <w:jc w:val="both"/>
            <w:rPr>
              <w:rFonts w:ascii="Arial" w:hAnsi="Arial" w:cs="Arial"/>
              <w:b/>
              <w:sz w:val="20"/>
              <w:highlight w:val="yellow"/>
            </w:rPr>
          </w:pPr>
        </w:p>
        <w:p w14:paraId="5ADDFBD6" w14:textId="77777777" w:rsidR="00D80B6D" w:rsidRPr="00D84B7D" w:rsidRDefault="00D80B6D" w:rsidP="00D80B6D">
          <w:pPr>
            <w:pStyle w:val="Zkladntext"/>
            <w:jc w:val="both"/>
            <w:rPr>
              <w:rFonts w:ascii="Arial" w:hAnsi="Arial" w:cs="Arial"/>
              <w:b/>
              <w:sz w:val="20"/>
              <w:highlight w:val="yellow"/>
            </w:rPr>
          </w:pPr>
        </w:p>
        <w:p w14:paraId="1CB27DF8" w14:textId="77777777" w:rsidR="007B358E" w:rsidRPr="00D84B7D" w:rsidRDefault="007B358E" w:rsidP="00D80B6D">
          <w:pPr>
            <w:pStyle w:val="Zkladntext"/>
            <w:jc w:val="both"/>
            <w:rPr>
              <w:rFonts w:ascii="Arial" w:hAnsi="Arial" w:cs="Arial"/>
              <w:b/>
              <w:sz w:val="20"/>
              <w:highlight w:val="yellow"/>
            </w:rPr>
          </w:pPr>
        </w:p>
        <w:p w14:paraId="3A61C564" w14:textId="77777777" w:rsidR="0068617E" w:rsidRPr="00D84B7D" w:rsidRDefault="0068617E" w:rsidP="00D80B6D">
          <w:pPr>
            <w:pStyle w:val="Zkladntext"/>
            <w:jc w:val="both"/>
            <w:rPr>
              <w:rFonts w:ascii="Arial" w:hAnsi="Arial" w:cs="Arial"/>
              <w:b/>
              <w:sz w:val="20"/>
              <w:highlight w:val="yellow"/>
            </w:rPr>
          </w:pPr>
        </w:p>
        <w:p w14:paraId="1414E639" w14:textId="77777777" w:rsidR="0068617E" w:rsidRPr="00D84B7D" w:rsidRDefault="0068617E" w:rsidP="00D80B6D">
          <w:pPr>
            <w:pStyle w:val="Zkladntext"/>
            <w:jc w:val="both"/>
            <w:rPr>
              <w:rFonts w:ascii="Arial" w:hAnsi="Arial" w:cs="Arial"/>
              <w:b/>
              <w:sz w:val="20"/>
              <w:highlight w:val="yellow"/>
            </w:rPr>
          </w:pPr>
        </w:p>
        <w:p w14:paraId="3660AEB6" w14:textId="77777777" w:rsidR="005B7E46" w:rsidRDefault="005B7E46" w:rsidP="00D80B6D">
          <w:pPr>
            <w:pStyle w:val="Zkladntext"/>
            <w:jc w:val="both"/>
            <w:rPr>
              <w:rFonts w:ascii="Arial" w:hAnsi="Arial" w:cs="Arial"/>
              <w:b/>
              <w:sz w:val="20"/>
            </w:rPr>
          </w:pPr>
        </w:p>
        <w:p w14:paraId="51D468A4" w14:textId="77777777" w:rsidR="005B7E46" w:rsidRDefault="005B7E46" w:rsidP="00D80B6D">
          <w:pPr>
            <w:pStyle w:val="Zkladntext"/>
            <w:jc w:val="both"/>
            <w:rPr>
              <w:rFonts w:ascii="Arial" w:hAnsi="Arial" w:cs="Arial"/>
              <w:b/>
              <w:sz w:val="20"/>
            </w:rPr>
          </w:pPr>
        </w:p>
        <w:p w14:paraId="2F2ED302" w14:textId="77777777" w:rsidR="005B7E46" w:rsidRDefault="005B7E46" w:rsidP="00D80B6D">
          <w:pPr>
            <w:pStyle w:val="Zkladntext"/>
            <w:jc w:val="both"/>
            <w:rPr>
              <w:rFonts w:ascii="Arial" w:hAnsi="Arial" w:cs="Arial"/>
              <w:b/>
              <w:sz w:val="20"/>
            </w:rPr>
          </w:pPr>
        </w:p>
        <w:p w14:paraId="6C828C12" w14:textId="77777777" w:rsidR="005B7E46" w:rsidRDefault="005B7E46" w:rsidP="00D80B6D">
          <w:pPr>
            <w:pStyle w:val="Zkladntext"/>
            <w:jc w:val="both"/>
            <w:rPr>
              <w:rFonts w:ascii="Arial" w:hAnsi="Arial" w:cs="Arial"/>
              <w:b/>
              <w:sz w:val="20"/>
            </w:rPr>
          </w:pPr>
        </w:p>
        <w:p w14:paraId="49B23CF7" w14:textId="77777777" w:rsidR="005B7E46" w:rsidRDefault="005B7E46" w:rsidP="00D80B6D">
          <w:pPr>
            <w:pStyle w:val="Zkladntext"/>
            <w:jc w:val="both"/>
            <w:rPr>
              <w:rFonts w:ascii="Arial" w:hAnsi="Arial" w:cs="Arial"/>
              <w:b/>
              <w:sz w:val="20"/>
            </w:rPr>
          </w:pPr>
        </w:p>
        <w:p w14:paraId="17EC9300" w14:textId="77777777" w:rsidR="005B7E46" w:rsidRDefault="005B7E46" w:rsidP="00D80B6D">
          <w:pPr>
            <w:pStyle w:val="Zkladntext"/>
            <w:jc w:val="both"/>
            <w:rPr>
              <w:rFonts w:ascii="Arial" w:hAnsi="Arial" w:cs="Arial"/>
              <w:b/>
              <w:sz w:val="20"/>
            </w:rPr>
          </w:pPr>
        </w:p>
        <w:p w14:paraId="11132A3F" w14:textId="5D367D7A" w:rsidR="00D80B6D" w:rsidRPr="00D84B7D" w:rsidRDefault="00D80B6D" w:rsidP="00D80B6D">
          <w:pPr>
            <w:pStyle w:val="Zkladntext"/>
            <w:jc w:val="both"/>
            <w:rPr>
              <w:rFonts w:ascii="Arial" w:hAnsi="Arial" w:cs="Arial"/>
              <w:b/>
              <w:sz w:val="20"/>
            </w:rPr>
          </w:pPr>
          <w:r w:rsidRPr="00D84B7D">
            <w:rPr>
              <w:rFonts w:ascii="Arial" w:hAnsi="Arial" w:cs="Arial"/>
              <w:b/>
              <w:sz w:val="20"/>
            </w:rPr>
            <w:t>O společnosti Broker Consulting</w:t>
          </w:r>
        </w:p>
        <w:p w14:paraId="27485CC6" w14:textId="77777777" w:rsidR="00D80B6D" w:rsidRPr="005B7E46" w:rsidRDefault="00D80B6D" w:rsidP="00D80B6D">
          <w:pPr>
            <w:jc w:val="both"/>
            <w:rPr>
              <w:rFonts w:asciiTheme="minorHAnsi" w:hAnsiTheme="minorHAnsi" w:cstheme="minorHAnsi"/>
              <w:sz w:val="20"/>
              <w:szCs w:val="20"/>
            </w:rPr>
          </w:pPr>
        </w:p>
        <w:p w14:paraId="08070DCC" w14:textId="1339148C" w:rsidR="00792EE9" w:rsidRPr="005B7E46" w:rsidRDefault="00792EE9" w:rsidP="00792EE9">
          <w:pPr>
            <w:jc w:val="both"/>
            <w:rPr>
              <w:rStyle w:val="dn"/>
              <w:rFonts w:asciiTheme="minorHAnsi" w:hAnsiTheme="minorHAnsi" w:cstheme="minorHAnsi"/>
              <w:sz w:val="20"/>
              <w:szCs w:val="20"/>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w:t>
          </w:r>
          <w:r w:rsidR="001734B4">
            <w:rPr>
              <w:rFonts w:asciiTheme="minorHAnsi" w:hAnsiTheme="minorHAnsi" w:cstheme="minorHAnsi"/>
              <w:sz w:val="20"/>
              <w:szCs w:val="20"/>
            </w:rPr>
            <w:t>u 1998 získala důvěru více než 7</w:t>
          </w:r>
          <w:r w:rsidRPr="005B7E46">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zapracování v ČR i SR</w:t>
          </w:r>
          <w:r w:rsidR="00B8133C">
            <w:rPr>
              <w:rFonts w:asciiTheme="minorHAnsi" w:hAnsiTheme="minorHAnsi" w:cstheme="minorHAnsi"/>
              <w:sz w:val="20"/>
              <w:szCs w:val="20"/>
            </w:rPr>
            <w:t>) ve více než 150 kancelářích</w:t>
          </w:r>
          <w:r w:rsidR="00CD6257" w:rsidRPr="005B7E46">
            <w:rPr>
              <w:rFonts w:asciiTheme="minorHAnsi" w:hAnsiTheme="minorHAnsi" w:cstheme="minorHAnsi"/>
              <w:sz w:val="20"/>
              <w:szCs w:val="20"/>
            </w:rPr>
            <w:t xml:space="preserve"> </w:t>
          </w:r>
          <w:r w:rsidR="00B8133C">
            <w:rPr>
              <w:rFonts w:asciiTheme="minorHAnsi" w:hAnsiTheme="minorHAnsi" w:cstheme="minorHAnsi"/>
              <w:sz w:val="20"/>
              <w:szCs w:val="20"/>
            </w:rPr>
            <w:t>a na několika desítkách poboček</w:t>
          </w:r>
          <w:r w:rsidR="00B2198E">
            <w:rPr>
              <w:rFonts w:asciiTheme="minorHAnsi" w:hAnsiTheme="minorHAnsi" w:cstheme="minorHAnsi"/>
              <w:sz w:val="20"/>
              <w:szCs w:val="20"/>
            </w:rPr>
            <w:t xml:space="preserve"> Broker Point Premium</w:t>
          </w:r>
          <w:r w:rsidRPr="005B7E46">
            <w:rPr>
              <w:rFonts w:asciiTheme="minorHAnsi" w:hAnsiTheme="minorHAnsi" w:cstheme="minorHAnsi"/>
              <w:sz w:val="20"/>
              <w:szCs w:val="20"/>
            </w:rPr>
            <w: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w:t>
          </w:r>
          <w:r w:rsidR="00B2198E">
            <w:rPr>
              <w:rFonts w:asciiTheme="minorHAnsi" w:hAnsiTheme="minorHAnsi" w:cstheme="minorHAnsi"/>
              <w:sz w:val="20"/>
              <w:szCs w:val="20"/>
            </w:rPr>
            <w:t xml:space="preserve"> služby společně, to je Broker Point Premium</w:t>
          </w:r>
          <w:r w:rsidR="004D6BA6">
            <w:rPr>
              <w:rFonts w:asciiTheme="minorHAnsi" w:hAnsiTheme="minorHAnsi" w:cstheme="minorHAnsi"/>
              <w:sz w:val="20"/>
              <w:szCs w:val="20"/>
            </w:rPr>
            <w:t>,</w:t>
          </w:r>
          <w:r w:rsidR="00961519" w:rsidRPr="00961519">
            <w:rPr>
              <w:rFonts w:asciiTheme="minorHAnsi" w:hAnsiTheme="minorHAnsi" w:cstheme="minorHAnsi"/>
              <w:sz w:val="20"/>
              <w:szCs w:val="20"/>
            </w:rPr>
            <w:t xml:space="preserve"> </w:t>
          </w:r>
          <w:r w:rsidR="00961519">
            <w:rPr>
              <w:rFonts w:asciiTheme="minorHAnsi" w:hAnsiTheme="minorHAnsi" w:cstheme="minorHAnsi"/>
              <w:sz w:val="20"/>
              <w:szCs w:val="20"/>
            </w:rPr>
            <w:t xml:space="preserve">jehož přináší společnost Broker Consulting, která za vedení franšízy a její podporu získala ocenění </w:t>
          </w:r>
          <w:r w:rsidR="00961519" w:rsidRPr="00A0680F">
            <w:rPr>
              <w:rFonts w:asciiTheme="minorHAnsi" w:hAnsiTheme="minorHAnsi" w:cstheme="minorHAnsi"/>
              <w:b/>
              <w:color w:val="FF0000"/>
              <w:sz w:val="20"/>
              <w:szCs w:val="20"/>
            </w:rPr>
            <w:t>Franchisor roku 2022</w:t>
          </w:r>
          <w:r w:rsidR="00961519" w:rsidRPr="00A0680F">
            <w:rPr>
              <w:rFonts w:asciiTheme="minorHAnsi" w:hAnsiTheme="minorHAnsi" w:cstheme="minorHAnsi"/>
              <w:color w:val="FF0000"/>
              <w:sz w:val="20"/>
              <w:szCs w:val="20"/>
            </w:rPr>
            <w:t xml:space="preserve"> </w:t>
          </w:r>
          <w:r w:rsidR="00961519">
            <w:rPr>
              <w:rFonts w:asciiTheme="minorHAnsi" w:hAnsiTheme="minorHAnsi" w:cstheme="minorHAnsi"/>
              <w:sz w:val="20"/>
              <w:szCs w:val="20"/>
            </w:rPr>
            <w:t>od České asociace franchisingu</w:t>
          </w:r>
          <w:r w:rsidR="008D373A" w:rsidRPr="005B7E46">
            <w:rPr>
              <w:rFonts w:asciiTheme="minorHAnsi" w:hAnsiTheme="minorHAnsi" w:cstheme="minorHAnsi"/>
              <w:sz w:val="20"/>
              <w:szCs w:val="20"/>
            </w:rPr>
            <w:t xml:space="preserve">. </w:t>
          </w:r>
          <w:r w:rsidRPr="005B7E46">
            <w:rPr>
              <w:rStyle w:val="dn"/>
              <w:rFonts w:asciiTheme="minorHAnsi" w:hAnsiTheme="minorHAnsi" w:cstheme="minorHAnsi"/>
              <w:sz w:val="20"/>
              <w:szCs w:val="20"/>
            </w:rPr>
            <w:t xml:space="preserve">Více na </w:t>
          </w:r>
          <w:hyperlink r:id="rId9" w:history="1">
            <w:r w:rsidR="007B232E"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sidR="00B2198E">
              <w:rPr>
                <w:rStyle w:val="Hypertextovodkaz"/>
                <w:rFonts w:asciiTheme="minorHAnsi" w:hAnsiTheme="minorHAnsi" w:cstheme="minorHAnsi"/>
                <w:color w:val="auto"/>
                <w:sz w:val="20"/>
                <w:szCs w:val="20"/>
              </w:rPr>
              <w:t>brokerpointy</w:t>
            </w:r>
            <w:r w:rsidR="007B232E" w:rsidRPr="005B7E46">
              <w:rPr>
                <w:rStyle w:val="Hypertextovodkaz"/>
                <w:rFonts w:asciiTheme="minorHAnsi" w:hAnsiTheme="minorHAnsi" w:cstheme="minorHAnsi"/>
                <w:color w:val="auto"/>
                <w:sz w:val="20"/>
                <w:szCs w:val="20"/>
              </w:rPr>
              <w:t>.cz</w:t>
            </w:r>
          </w:hyperlink>
          <w:r w:rsidR="007B232E" w:rsidRPr="005B7E46">
            <w:rPr>
              <w:rStyle w:val="Hypertextovodkaz"/>
              <w:rFonts w:asciiTheme="minorHAnsi" w:hAnsiTheme="minorHAnsi" w:cstheme="minorHAnsi"/>
              <w:color w:val="auto"/>
              <w:sz w:val="20"/>
              <w:szCs w:val="20"/>
              <w:u w:val="none"/>
            </w:rPr>
            <w:t xml:space="preserve">, </w:t>
          </w:r>
          <w:r w:rsidR="00B2198E">
            <w:rPr>
              <w:rStyle w:val="Hypertextovodkaz"/>
              <w:rFonts w:asciiTheme="minorHAnsi" w:hAnsiTheme="minorHAnsi" w:cstheme="minorHAnsi"/>
              <w:color w:val="auto"/>
              <w:sz w:val="20"/>
              <w:szCs w:val="20"/>
              <w:u w:val="none"/>
            </w:rPr>
            <w:t>brokerpoint</w:t>
          </w:r>
          <w:hyperlink r:id="rId11" w:history="1">
            <w:r w:rsidR="007B232E" w:rsidRPr="005B7E46">
              <w:rPr>
                <w:rStyle w:val="Hypertextovodkaz"/>
                <w:rFonts w:asciiTheme="minorHAnsi" w:hAnsiTheme="minorHAnsi" w:cstheme="minorHAnsi"/>
                <w:color w:val="auto"/>
                <w:sz w:val="20"/>
                <w:szCs w:val="20"/>
              </w:rPr>
              <w: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007B232E" w:rsidRPr="005B7E46">
            <w:rPr>
              <w:rStyle w:val="Hypertextovodkaz"/>
              <w:rFonts w:asciiTheme="minorHAnsi" w:hAnsiTheme="minorHAnsi" w:cstheme="minorHAnsi"/>
              <w:color w:val="auto"/>
              <w:sz w:val="20"/>
              <w:szCs w:val="20"/>
              <w:u w:val="none"/>
            </w:rPr>
            <w:t xml:space="preserve">. </w:t>
          </w:r>
          <w:r w:rsidRPr="005B7E46">
            <w:rPr>
              <w:rStyle w:val="dn"/>
              <w:rFonts w:asciiTheme="minorHAnsi" w:hAnsiTheme="minorHAnsi" w:cstheme="minorHAnsi"/>
              <w:sz w:val="20"/>
              <w:szCs w:val="20"/>
            </w:rPr>
            <w:t xml:space="preserve">Navštivte také náš </w:t>
          </w:r>
          <w:hyperlink r:id="rId13" w:history="1">
            <w:r w:rsidRPr="005B7E46">
              <w:rPr>
                <w:rStyle w:val="Hypertextovodkaz"/>
                <w:rFonts w:asciiTheme="minorHAnsi" w:hAnsiTheme="minorHAnsi" w:cstheme="minorHAnsi"/>
                <w:color w:val="auto"/>
                <w:sz w:val="20"/>
                <w:szCs w:val="20"/>
              </w:rPr>
              <w:t>Facebook</w:t>
            </w:r>
          </w:hyperlink>
          <w:r w:rsidR="005B7E46" w:rsidRPr="005B7E46">
            <w:rPr>
              <w:rStyle w:val="dn"/>
              <w:rFonts w:asciiTheme="minorHAnsi" w:hAnsiTheme="minorHAnsi" w:cstheme="minorHAnsi"/>
              <w:sz w:val="20"/>
              <w:szCs w:val="20"/>
            </w:rPr>
            <w:t xml:space="preserve">, </w:t>
          </w:r>
          <w:hyperlink r:id="rId14" w:history="1">
            <w:r w:rsidRPr="005B7E46">
              <w:rPr>
                <w:rStyle w:val="Hypertextovodkaz"/>
                <w:rFonts w:asciiTheme="minorHAnsi" w:hAnsiTheme="minorHAnsi" w:cstheme="minorHAnsi"/>
                <w:color w:val="auto"/>
                <w:sz w:val="20"/>
                <w:szCs w:val="20"/>
              </w:rPr>
              <w:t>LinkedIN</w:t>
            </w:r>
          </w:hyperlink>
          <w:r w:rsidR="005B7E46" w:rsidRPr="005B7E46">
            <w:rPr>
              <w:rStyle w:val="dn"/>
              <w:rFonts w:asciiTheme="minorHAnsi" w:hAnsiTheme="minorHAnsi" w:cstheme="minorHAnsi"/>
              <w:sz w:val="20"/>
              <w:szCs w:val="20"/>
            </w:rPr>
            <w:t xml:space="preserve"> Broker Consulting, Twitter </w:t>
          </w:r>
          <w:r w:rsidR="005B7E46" w:rsidRPr="005B7E46">
            <w:rPr>
              <w:rFonts w:asciiTheme="minorHAnsi" w:hAnsiTheme="minorHAnsi" w:cstheme="minorHAnsi"/>
              <w:sz w:val="20"/>
              <w:szCs w:val="20"/>
              <w:shd w:val="clear" w:color="auto" w:fill="FFFFFF"/>
            </w:rPr>
            <w:t xml:space="preserve">@BC_oficialni, </w:t>
          </w:r>
          <w:r w:rsidRPr="005B7E46">
            <w:rPr>
              <w:rStyle w:val="dn"/>
              <w:rFonts w:asciiTheme="minorHAnsi" w:hAnsiTheme="minorHAnsi" w:cstheme="minorHAnsi"/>
              <w:sz w:val="20"/>
              <w:szCs w:val="20"/>
            </w:rPr>
            <w:t xml:space="preserve"> </w:t>
          </w:r>
          <w:hyperlink r:id="rId15"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a </w:t>
          </w:r>
          <w:hyperlink r:id="rId16" w:history="1">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r w:rsidR="00B2198E">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3F0EC976" w14:textId="3496D289" w:rsidR="00D80B6D" w:rsidRPr="006545F8" w:rsidRDefault="00D80B6D" w:rsidP="0068617E">
          <w:pPr>
            <w:pStyle w:val="Zkladntext"/>
            <w:jc w:val="both"/>
            <w:rPr>
              <w:rFonts w:ascii="Arial" w:hAnsi="Arial" w:cs="Arial"/>
              <w:sz w:val="20"/>
              <w:highlight w:val="yellow"/>
            </w:rPr>
            <w:sectPr w:rsidR="00D80B6D" w:rsidRPr="006545F8" w:rsidSect="00D80B6D">
              <w:headerReference w:type="even" r:id="rId17"/>
              <w:headerReference w:type="default" r:id="rId18"/>
              <w:footerReference w:type="even" r:id="rId19"/>
              <w:footerReference w:type="default" r:id="rId20"/>
              <w:headerReference w:type="first" r:id="rId21"/>
              <w:footerReference w:type="first" r:id="rId22"/>
              <w:pgSz w:w="11910" w:h="16840"/>
              <w:pgMar w:top="960" w:right="740" w:bottom="0" w:left="720" w:header="708" w:footer="708" w:gutter="0"/>
              <w:cols w:space="708"/>
            </w:sectPr>
          </w:pPr>
        </w:p>
        <w:p w14:paraId="35539C65" w14:textId="0F6CA0E6" w:rsidR="00D31127" w:rsidRPr="006545F8" w:rsidRDefault="00BF688B" w:rsidP="0025264B">
          <w:pPr>
            <w:rPr>
              <w:rFonts w:ascii="Arial" w:hAnsi="Arial" w:cs="Arial"/>
              <w:sz w:val="20"/>
              <w:szCs w:val="20"/>
              <w:highlight w:val="yellow"/>
            </w:rPr>
            <w:sectPr w:rsidR="00D31127" w:rsidRPr="006545F8" w:rsidSect="00D80B6D">
              <w:headerReference w:type="even" r:id="rId23"/>
              <w:headerReference w:type="default" r:id="rId24"/>
              <w:footerReference w:type="even" r:id="rId25"/>
              <w:footerReference w:type="default" r:id="rId26"/>
              <w:headerReference w:type="first" r:id="rId27"/>
              <w:footerReference w:type="first" r:id="rId28"/>
              <w:pgSz w:w="11910" w:h="16840"/>
              <w:pgMar w:top="1418" w:right="740" w:bottom="420" w:left="720" w:header="340" w:footer="223" w:gutter="0"/>
              <w:pgNumType w:start="0"/>
              <w:cols w:space="708"/>
              <w:titlePg/>
              <w:docGrid w:linePitch="299"/>
            </w:sectPr>
          </w:pPr>
        </w:p>
      </w:sdtContent>
    </w:sdt>
    <w:p w14:paraId="305A0D43" w14:textId="5E72B40F" w:rsidR="00EC65E8" w:rsidRPr="0017296F" w:rsidRDefault="00C70A05" w:rsidP="00EC65E8">
      <w:pPr>
        <w:pStyle w:val="Odstavecseseznamem"/>
        <w:spacing w:after="240"/>
        <w:ind w:left="720" w:firstLine="0"/>
        <w:jc w:val="center"/>
        <w:rPr>
          <w:rFonts w:asciiTheme="minorHAnsi" w:hAnsiTheme="minorHAnsi" w:cstheme="minorHAnsi"/>
          <w:b/>
          <w:sz w:val="24"/>
          <w:szCs w:val="24"/>
        </w:rPr>
      </w:pPr>
      <w:r>
        <w:rPr>
          <w:rFonts w:asciiTheme="minorHAnsi" w:hAnsiTheme="minorHAnsi" w:cstheme="minorHAnsi"/>
          <w:b/>
          <w:sz w:val="24"/>
          <w:szCs w:val="24"/>
        </w:rPr>
        <w:lastRenderedPageBreak/>
        <w:t>Hypoteční sazby nadále mírně klesají</w:t>
      </w:r>
    </w:p>
    <w:p w14:paraId="3860D099" w14:textId="7CB1EDC9" w:rsidR="008A4605" w:rsidRDefault="005A163F" w:rsidP="00BA2A8A">
      <w:pPr>
        <w:pStyle w:val="Bezmezer"/>
        <w:numPr>
          <w:ilvl w:val="0"/>
          <w:numId w:val="14"/>
        </w:numPr>
        <w:jc w:val="both"/>
        <w:rPr>
          <w:rFonts w:eastAsiaTheme="minorHAnsi" w:cstheme="minorHAnsi"/>
          <w:b/>
          <w:color w:val="000000" w:themeColor="text1"/>
        </w:rPr>
      </w:pPr>
      <w:r>
        <w:rPr>
          <w:rFonts w:eastAsiaTheme="minorHAnsi" w:cstheme="minorHAnsi"/>
          <w:b/>
          <w:color w:val="000000" w:themeColor="text1"/>
        </w:rPr>
        <w:t>Broker Consulting Index hypotečních úvěrů zaznamenal v listopadu průměrnou sazbu 5,02 procenta.</w:t>
      </w:r>
    </w:p>
    <w:p w14:paraId="20EFA540" w14:textId="5E97802D" w:rsidR="008A4605" w:rsidRDefault="005A163F" w:rsidP="00BA2A8A">
      <w:pPr>
        <w:pStyle w:val="Bezmezer"/>
        <w:numPr>
          <w:ilvl w:val="0"/>
          <w:numId w:val="14"/>
        </w:numPr>
        <w:jc w:val="both"/>
        <w:rPr>
          <w:rFonts w:eastAsiaTheme="minorHAnsi" w:cstheme="minorHAnsi"/>
          <w:b/>
          <w:color w:val="000000" w:themeColor="text1"/>
        </w:rPr>
      </w:pPr>
      <w:r>
        <w:rPr>
          <w:rFonts w:eastAsiaTheme="minorHAnsi" w:cstheme="minorHAnsi"/>
          <w:b/>
          <w:color w:val="000000" w:themeColor="text1"/>
        </w:rPr>
        <w:t>Oproti předchozímu měsíci evidujeme pokles o 0,07 procentního bodu.</w:t>
      </w:r>
    </w:p>
    <w:p w14:paraId="3F256EA6" w14:textId="22F193FB" w:rsidR="008A4605" w:rsidRDefault="005C0C18" w:rsidP="00BA2A8A">
      <w:pPr>
        <w:pStyle w:val="Bezmezer"/>
        <w:numPr>
          <w:ilvl w:val="0"/>
          <w:numId w:val="14"/>
        </w:numPr>
        <w:jc w:val="both"/>
        <w:rPr>
          <w:rFonts w:eastAsiaTheme="minorHAnsi" w:cstheme="minorHAnsi"/>
          <w:b/>
          <w:color w:val="000000" w:themeColor="text1"/>
        </w:rPr>
      </w:pPr>
      <w:r>
        <w:rPr>
          <w:rFonts w:eastAsiaTheme="minorHAnsi" w:cstheme="minorHAnsi"/>
          <w:b/>
          <w:color w:val="000000" w:themeColor="text1"/>
        </w:rPr>
        <w:t>Výraznější změny</w:t>
      </w:r>
      <w:r w:rsidR="00FB5D32">
        <w:rPr>
          <w:rFonts w:eastAsiaTheme="minorHAnsi" w:cstheme="minorHAnsi"/>
          <w:b/>
          <w:color w:val="000000" w:themeColor="text1"/>
        </w:rPr>
        <w:t xml:space="preserve"> ve vývoji sazeb</w:t>
      </w:r>
      <w:r>
        <w:rPr>
          <w:rFonts w:eastAsiaTheme="minorHAnsi" w:cstheme="minorHAnsi"/>
          <w:b/>
          <w:color w:val="000000" w:themeColor="text1"/>
        </w:rPr>
        <w:t xml:space="preserve"> odborníci nepředpokládají.</w:t>
      </w:r>
    </w:p>
    <w:p w14:paraId="348338A4" w14:textId="5C7E84A7" w:rsidR="00E2695D" w:rsidRDefault="00E2695D" w:rsidP="00524713">
      <w:pPr>
        <w:jc w:val="both"/>
        <w:rPr>
          <w:rFonts w:asciiTheme="minorHAnsi" w:hAnsiTheme="minorHAnsi" w:cstheme="minorHAnsi"/>
          <w:i/>
          <w:sz w:val="21"/>
          <w:szCs w:val="21"/>
        </w:rPr>
      </w:pPr>
    </w:p>
    <w:p w14:paraId="23FEBE87" w14:textId="7B651142" w:rsidR="008E6AA0" w:rsidRPr="00FB5D32" w:rsidRDefault="005A163F" w:rsidP="00FB5D32">
      <w:pPr>
        <w:pStyle w:val="Normlnweb"/>
        <w:jc w:val="both"/>
        <w:rPr>
          <w:rFonts w:asciiTheme="minorHAnsi" w:eastAsia="Times New Roman" w:hAnsiTheme="minorHAnsi" w:cstheme="minorHAnsi"/>
          <w:b/>
          <w:sz w:val="21"/>
          <w:szCs w:val="21"/>
        </w:rPr>
      </w:pPr>
      <w:r w:rsidRPr="00FB5D32">
        <w:rPr>
          <w:rFonts w:asciiTheme="minorHAnsi" w:eastAsia="Times New Roman" w:hAnsiTheme="minorHAnsi" w:cstheme="minorHAnsi"/>
          <w:bCs/>
          <w:sz w:val="21"/>
          <w:szCs w:val="21"/>
        </w:rPr>
        <w:t>Praha, 4</w:t>
      </w:r>
      <w:r w:rsidR="008E6AA0" w:rsidRPr="00FB5D32">
        <w:rPr>
          <w:rFonts w:asciiTheme="minorHAnsi" w:eastAsia="Times New Roman" w:hAnsiTheme="minorHAnsi" w:cstheme="minorHAnsi"/>
          <w:bCs/>
          <w:sz w:val="21"/>
          <w:szCs w:val="21"/>
        </w:rPr>
        <w:t>. prosince 2024</w:t>
      </w:r>
      <w:r w:rsidR="008E6AA0" w:rsidRPr="00FB5D32">
        <w:rPr>
          <w:rFonts w:asciiTheme="minorHAnsi" w:eastAsia="Times New Roman" w:hAnsiTheme="minorHAnsi" w:cstheme="minorHAnsi"/>
          <w:sz w:val="21"/>
          <w:szCs w:val="21"/>
        </w:rPr>
        <w:t xml:space="preserve"> </w:t>
      </w:r>
      <w:r w:rsidRPr="00FB5D32">
        <w:rPr>
          <w:rFonts w:asciiTheme="minorHAnsi" w:eastAsia="Times New Roman" w:hAnsiTheme="minorHAnsi" w:cstheme="minorHAnsi"/>
          <w:sz w:val="21"/>
          <w:szCs w:val="21"/>
        </w:rPr>
        <w:t xml:space="preserve">– </w:t>
      </w:r>
      <w:r w:rsidRPr="00FB5D32">
        <w:rPr>
          <w:rFonts w:asciiTheme="minorHAnsi" w:eastAsia="Times New Roman" w:hAnsiTheme="minorHAnsi" w:cstheme="minorHAnsi"/>
          <w:b/>
          <w:sz w:val="21"/>
          <w:szCs w:val="21"/>
        </w:rPr>
        <w:t>Průměrná nabídková sazba, za kterou si mohli zájemci sjednat v uplynulém měsíci hypotéku, opět mírně poklesla</w:t>
      </w:r>
      <w:r w:rsidR="008E6AA0" w:rsidRPr="00FB5D32">
        <w:rPr>
          <w:rFonts w:asciiTheme="minorHAnsi" w:eastAsia="Times New Roman" w:hAnsiTheme="minorHAnsi" w:cstheme="minorHAnsi"/>
          <w:b/>
          <w:sz w:val="21"/>
          <w:szCs w:val="21"/>
        </w:rPr>
        <w:t>. Broker Consulting Index hypotečních úvěrů zaznamenal hodnotu 5,02 %, což oproti říjnovým 5,0</w:t>
      </w:r>
      <w:r w:rsidR="000164D5">
        <w:rPr>
          <w:rFonts w:asciiTheme="minorHAnsi" w:eastAsia="Times New Roman" w:hAnsiTheme="minorHAnsi" w:cstheme="minorHAnsi"/>
          <w:b/>
          <w:sz w:val="21"/>
          <w:szCs w:val="21"/>
        </w:rPr>
        <w:t>9 % představuje pokles o</w:t>
      </w:r>
      <w:r w:rsidR="008E6AA0" w:rsidRPr="00FB5D32">
        <w:rPr>
          <w:rFonts w:asciiTheme="minorHAnsi" w:eastAsia="Times New Roman" w:hAnsiTheme="minorHAnsi" w:cstheme="minorHAnsi"/>
          <w:b/>
          <w:sz w:val="21"/>
          <w:szCs w:val="21"/>
        </w:rPr>
        <w:t xml:space="preserve"> 0,07 procentního bo</w:t>
      </w:r>
      <w:r w:rsidR="00C70A05" w:rsidRPr="00FB5D32">
        <w:rPr>
          <w:rFonts w:asciiTheme="minorHAnsi" w:eastAsia="Times New Roman" w:hAnsiTheme="minorHAnsi" w:cstheme="minorHAnsi"/>
          <w:b/>
          <w:sz w:val="21"/>
          <w:szCs w:val="21"/>
        </w:rPr>
        <w:t xml:space="preserve">du. Tento vývoj tedy potvrzuje trend, </w:t>
      </w:r>
      <w:r w:rsidRPr="00FB5D32">
        <w:rPr>
          <w:rFonts w:asciiTheme="minorHAnsi" w:eastAsia="Times New Roman" w:hAnsiTheme="minorHAnsi" w:cstheme="minorHAnsi"/>
          <w:b/>
          <w:sz w:val="21"/>
          <w:szCs w:val="21"/>
        </w:rPr>
        <w:t>který je na hypotečním trhu znatelný již</w:t>
      </w:r>
      <w:r w:rsidR="00C70A05" w:rsidRPr="00FB5D32">
        <w:rPr>
          <w:rFonts w:asciiTheme="minorHAnsi" w:eastAsia="Times New Roman" w:hAnsiTheme="minorHAnsi" w:cstheme="minorHAnsi"/>
          <w:b/>
          <w:sz w:val="21"/>
          <w:szCs w:val="21"/>
        </w:rPr>
        <w:t xml:space="preserve"> několik měsíců v řadě.</w:t>
      </w:r>
    </w:p>
    <w:p w14:paraId="7EDFFBEF" w14:textId="37ADC210" w:rsidR="008E6AA0" w:rsidRPr="008E6AA0" w:rsidRDefault="008E6AA0" w:rsidP="00FB5D32">
      <w:pPr>
        <w:widowControl/>
        <w:autoSpaceDE/>
        <w:autoSpaceDN/>
        <w:spacing w:before="100" w:beforeAutospacing="1" w:after="100" w:afterAutospacing="1"/>
        <w:jc w:val="both"/>
        <w:rPr>
          <w:rFonts w:asciiTheme="minorHAnsi" w:eastAsia="Times New Roman" w:hAnsiTheme="minorHAnsi" w:cstheme="minorHAnsi"/>
          <w:sz w:val="21"/>
          <w:szCs w:val="21"/>
          <w:lang w:bidi="ar-SA"/>
        </w:rPr>
      </w:pPr>
      <w:r w:rsidRPr="008E6AA0">
        <w:rPr>
          <w:rFonts w:asciiTheme="minorHAnsi" w:eastAsia="Times New Roman" w:hAnsiTheme="minorHAnsi" w:cstheme="minorHAnsi"/>
          <w:i/>
          <w:sz w:val="21"/>
          <w:szCs w:val="21"/>
          <w:lang w:bidi="ar-SA"/>
        </w:rPr>
        <w:t>„Za posledních šest měsíc</w:t>
      </w:r>
      <w:r w:rsidR="00C70A05" w:rsidRPr="00FB5D32">
        <w:rPr>
          <w:rFonts w:asciiTheme="minorHAnsi" w:eastAsia="Times New Roman" w:hAnsiTheme="minorHAnsi" w:cstheme="minorHAnsi"/>
          <w:i/>
          <w:sz w:val="21"/>
          <w:szCs w:val="21"/>
          <w:lang w:bidi="ar-SA"/>
        </w:rPr>
        <w:t>ů činil celkový pokles sazeb</w:t>
      </w:r>
      <w:r w:rsidRPr="008E6AA0">
        <w:rPr>
          <w:rFonts w:asciiTheme="minorHAnsi" w:eastAsia="Times New Roman" w:hAnsiTheme="minorHAnsi" w:cstheme="minorHAnsi"/>
          <w:i/>
          <w:sz w:val="21"/>
          <w:szCs w:val="21"/>
          <w:lang w:bidi="ar-SA"/>
        </w:rPr>
        <w:t xml:space="preserve"> 0,09</w:t>
      </w:r>
      <w:r w:rsidR="00C70A05" w:rsidRPr="00FB5D32">
        <w:rPr>
          <w:rFonts w:asciiTheme="minorHAnsi" w:eastAsia="Times New Roman" w:hAnsiTheme="minorHAnsi" w:cstheme="minorHAnsi"/>
          <w:i/>
          <w:sz w:val="21"/>
          <w:szCs w:val="21"/>
          <w:lang w:bidi="ar-SA"/>
        </w:rPr>
        <w:t xml:space="preserve"> procentního bodu, přičemž za posledních dvanáct měsíců</w:t>
      </w:r>
      <w:r w:rsidRPr="008E6AA0">
        <w:rPr>
          <w:rFonts w:asciiTheme="minorHAnsi" w:eastAsia="Times New Roman" w:hAnsiTheme="minorHAnsi" w:cstheme="minorHAnsi"/>
          <w:i/>
          <w:sz w:val="21"/>
          <w:szCs w:val="21"/>
          <w:lang w:bidi="ar-SA"/>
        </w:rPr>
        <w:t xml:space="preserve"> to bylo 0,68 %. Tyto hodnoty ukazují, že poklesy úrokových sazeb probíhají velmi pozvolna,“</w:t>
      </w:r>
      <w:r w:rsidRPr="008E6AA0">
        <w:rPr>
          <w:rFonts w:asciiTheme="minorHAnsi" w:eastAsia="Times New Roman" w:hAnsiTheme="minorHAnsi" w:cstheme="minorHAnsi"/>
          <w:sz w:val="21"/>
          <w:szCs w:val="21"/>
          <w:lang w:bidi="ar-SA"/>
        </w:rPr>
        <w:t xml:space="preserve"> komentuje </w:t>
      </w:r>
      <w:r w:rsidRPr="008E6AA0">
        <w:rPr>
          <w:rFonts w:asciiTheme="minorHAnsi" w:eastAsia="Times New Roman" w:hAnsiTheme="minorHAnsi" w:cstheme="minorHAnsi"/>
          <w:b/>
          <w:sz w:val="21"/>
          <w:szCs w:val="21"/>
          <w:lang w:bidi="ar-SA"/>
        </w:rPr>
        <w:t>Michaela Pud</w:t>
      </w:r>
      <w:r w:rsidR="00C70A05" w:rsidRPr="00FB5D32">
        <w:rPr>
          <w:rFonts w:asciiTheme="minorHAnsi" w:eastAsia="Times New Roman" w:hAnsiTheme="minorHAnsi" w:cstheme="minorHAnsi"/>
          <w:b/>
          <w:sz w:val="21"/>
          <w:szCs w:val="21"/>
          <w:lang w:bidi="ar-SA"/>
        </w:rPr>
        <w:t xml:space="preserve">ilová, analytička hypotečních </w:t>
      </w:r>
      <w:r w:rsidRPr="008E6AA0">
        <w:rPr>
          <w:rFonts w:asciiTheme="minorHAnsi" w:eastAsia="Times New Roman" w:hAnsiTheme="minorHAnsi" w:cstheme="minorHAnsi"/>
          <w:b/>
          <w:sz w:val="21"/>
          <w:szCs w:val="21"/>
          <w:lang w:bidi="ar-SA"/>
        </w:rPr>
        <w:t>úvěrů ze společnosti Broker Consulting.</w:t>
      </w:r>
    </w:p>
    <w:p w14:paraId="6D980BCD" w14:textId="06AFCBED" w:rsidR="000164D5" w:rsidRDefault="000164D5" w:rsidP="00FB5D32">
      <w:pPr>
        <w:widowControl/>
        <w:autoSpaceDE/>
        <w:autoSpaceDN/>
        <w:spacing w:before="100" w:beforeAutospacing="1" w:after="100" w:afterAutospacing="1"/>
        <w:jc w:val="both"/>
        <w:rPr>
          <w:rFonts w:asciiTheme="minorHAnsi" w:hAnsiTheme="minorHAnsi" w:cstheme="minorHAnsi"/>
          <w:sz w:val="21"/>
          <w:szCs w:val="21"/>
        </w:rPr>
      </w:pPr>
      <w:r w:rsidRPr="00FB5D32">
        <w:rPr>
          <w:rFonts w:asciiTheme="minorHAnsi" w:eastAsia="Times New Roman" w:hAnsiTheme="minorHAnsi" w:cstheme="minorHAnsi"/>
          <w:sz w:val="21"/>
          <w:szCs w:val="21"/>
        </w:rPr>
        <w:t xml:space="preserve">V průběhu letošního roku průměrné hypoteční sazby </w:t>
      </w:r>
      <w:r w:rsidR="00D558AA">
        <w:rPr>
          <w:rFonts w:asciiTheme="minorHAnsi" w:eastAsia="Times New Roman" w:hAnsiTheme="minorHAnsi" w:cstheme="minorHAnsi"/>
          <w:sz w:val="21"/>
          <w:szCs w:val="21"/>
        </w:rPr>
        <w:t xml:space="preserve">zaznamenaly mírný </w:t>
      </w:r>
      <w:r w:rsidRPr="00FB5D32">
        <w:rPr>
          <w:rFonts w:asciiTheme="minorHAnsi" w:eastAsia="Times New Roman" w:hAnsiTheme="minorHAnsi" w:cstheme="minorHAnsi"/>
          <w:sz w:val="21"/>
          <w:szCs w:val="21"/>
        </w:rPr>
        <w:t>pokles. Počínaje lednem, kdy dosahovaly hodnoty 5,62 %, se postupně snižovaly až na listopadových 5,02 %. Nejvýraznější pokles byl zaznamenán v prvních měsících roku, konkrétně mezi únorem a červnem, kdy sazby klesly o více než 0,4 procentního bodu. Ve druhé polovině roku se vývoj zpomalil, přičemž sazby oscilovaly kolem hodnoty 5,1 %. Listopadová hodnota představuje zatím nejnižší hodnotu za celý rok</w:t>
      </w:r>
      <w:r w:rsidRPr="00FB5D32">
        <w:rPr>
          <w:rFonts w:asciiTheme="minorHAnsi" w:hAnsiTheme="minorHAnsi" w:cstheme="minorHAnsi"/>
          <w:sz w:val="21"/>
          <w:szCs w:val="21"/>
        </w:rPr>
        <w:t>.</w:t>
      </w:r>
    </w:p>
    <w:p w14:paraId="31B75C8B" w14:textId="46014169" w:rsidR="000164D5" w:rsidRPr="00D558AA" w:rsidRDefault="000164D5" w:rsidP="00FB5D32">
      <w:pPr>
        <w:widowControl/>
        <w:autoSpaceDE/>
        <w:autoSpaceDN/>
        <w:spacing w:before="100" w:beforeAutospacing="1" w:after="100" w:afterAutospacing="1"/>
        <w:jc w:val="both"/>
        <w:rPr>
          <w:rFonts w:asciiTheme="minorHAnsi" w:eastAsia="Times New Roman" w:hAnsiTheme="minorHAnsi" w:cstheme="minorHAnsi"/>
          <w:b/>
          <w:sz w:val="21"/>
          <w:szCs w:val="21"/>
          <w:lang w:bidi="ar-SA"/>
        </w:rPr>
      </w:pPr>
      <w:r w:rsidRPr="008E6AA0">
        <w:rPr>
          <w:rFonts w:asciiTheme="minorHAnsi" w:eastAsia="Times New Roman" w:hAnsiTheme="minorHAnsi" w:cstheme="minorHAnsi"/>
          <w:sz w:val="21"/>
          <w:szCs w:val="21"/>
          <w:lang w:bidi="ar-SA"/>
        </w:rPr>
        <w:t xml:space="preserve">Výrazné změny v nabídkových sazbách </w:t>
      </w:r>
      <w:r>
        <w:rPr>
          <w:rFonts w:asciiTheme="minorHAnsi" w:eastAsia="Times New Roman" w:hAnsiTheme="minorHAnsi" w:cstheme="minorHAnsi"/>
          <w:sz w:val="21"/>
          <w:szCs w:val="21"/>
          <w:lang w:bidi="ar-SA"/>
        </w:rPr>
        <w:t xml:space="preserve">však </w:t>
      </w:r>
      <w:r w:rsidRPr="008E6AA0">
        <w:rPr>
          <w:rFonts w:asciiTheme="minorHAnsi" w:eastAsia="Times New Roman" w:hAnsiTheme="minorHAnsi" w:cstheme="minorHAnsi"/>
          <w:sz w:val="21"/>
          <w:szCs w:val="21"/>
          <w:lang w:bidi="ar-SA"/>
        </w:rPr>
        <w:t>nejsou podle odborníků pravděpodobné ani v nadcházejících měsících</w:t>
      </w:r>
      <w:r w:rsidRPr="008E6AA0">
        <w:rPr>
          <w:rFonts w:asciiTheme="minorHAnsi" w:eastAsia="Times New Roman" w:hAnsiTheme="minorHAnsi" w:cstheme="minorHAnsi"/>
          <w:i/>
          <w:sz w:val="21"/>
          <w:szCs w:val="21"/>
          <w:lang w:bidi="ar-SA"/>
        </w:rPr>
        <w:t xml:space="preserve">. „Hypoteční sazby do velké míry závisí na aktuálním ekonomickém vývoji a rozhodnutích České národní banky. Při současné situaci však neočekáváme výrazné výkyvy ani jedním směrem,“ </w:t>
      </w:r>
      <w:r w:rsidRPr="008E6AA0">
        <w:rPr>
          <w:rFonts w:asciiTheme="minorHAnsi" w:eastAsia="Times New Roman" w:hAnsiTheme="minorHAnsi" w:cstheme="minorHAnsi"/>
          <w:b/>
          <w:sz w:val="21"/>
          <w:szCs w:val="21"/>
          <w:lang w:bidi="ar-SA"/>
        </w:rPr>
        <w:t>doplňuje Pudilová.</w:t>
      </w:r>
    </w:p>
    <w:p w14:paraId="78A7AD8C" w14:textId="57F28CEC" w:rsidR="008E6AA0" w:rsidRPr="008E6AA0" w:rsidRDefault="008E6AA0" w:rsidP="00FB5D32">
      <w:pPr>
        <w:widowControl/>
        <w:autoSpaceDE/>
        <w:autoSpaceDN/>
        <w:spacing w:before="100" w:beforeAutospacing="1" w:after="100" w:afterAutospacing="1"/>
        <w:rPr>
          <w:rFonts w:asciiTheme="minorHAnsi" w:eastAsia="Times New Roman" w:hAnsiTheme="minorHAnsi" w:cstheme="minorHAnsi"/>
          <w:sz w:val="21"/>
          <w:szCs w:val="21"/>
          <w:lang w:bidi="ar-SA"/>
        </w:rPr>
      </w:pPr>
      <w:r w:rsidRPr="00FB5D32">
        <w:rPr>
          <w:rFonts w:asciiTheme="minorHAnsi" w:eastAsia="Times New Roman" w:hAnsiTheme="minorHAnsi" w:cstheme="minorHAnsi"/>
          <w:b/>
          <w:bCs/>
          <w:sz w:val="21"/>
          <w:szCs w:val="21"/>
          <w:lang w:bidi="ar-SA"/>
        </w:rPr>
        <w:t>Co pokles sazeb znamená v praxi?</w:t>
      </w:r>
      <w:r w:rsidRPr="008E6AA0">
        <w:rPr>
          <w:rFonts w:asciiTheme="minorHAnsi" w:eastAsia="Times New Roman" w:hAnsiTheme="minorHAnsi" w:cstheme="minorHAnsi"/>
          <w:sz w:val="21"/>
          <w:szCs w:val="21"/>
          <w:lang w:bidi="ar-SA"/>
        </w:rPr>
        <w:br/>
        <w:t>Například u hypotéky ve výši 5 milionů korun se splatností 30 let by měsíční splátka při aktuální sazb</w:t>
      </w:r>
      <w:r w:rsidR="005C0C18" w:rsidRPr="00FB5D32">
        <w:rPr>
          <w:rFonts w:asciiTheme="minorHAnsi" w:eastAsia="Times New Roman" w:hAnsiTheme="minorHAnsi" w:cstheme="minorHAnsi"/>
          <w:sz w:val="21"/>
          <w:szCs w:val="21"/>
          <w:lang w:bidi="ar-SA"/>
        </w:rPr>
        <w:t>ě 5,02 % činila přibližně 26 902</w:t>
      </w:r>
      <w:r w:rsidRPr="008E6AA0">
        <w:rPr>
          <w:rFonts w:asciiTheme="minorHAnsi" w:eastAsia="Times New Roman" w:hAnsiTheme="minorHAnsi" w:cstheme="minorHAnsi"/>
          <w:sz w:val="21"/>
          <w:szCs w:val="21"/>
          <w:lang w:bidi="ar-SA"/>
        </w:rPr>
        <w:t xml:space="preserve"> korun. Oproti říjnové</w:t>
      </w:r>
      <w:r w:rsidR="005C0C18" w:rsidRPr="00FB5D32">
        <w:rPr>
          <w:rFonts w:asciiTheme="minorHAnsi" w:eastAsia="Times New Roman" w:hAnsiTheme="minorHAnsi" w:cstheme="minorHAnsi"/>
          <w:sz w:val="21"/>
          <w:szCs w:val="21"/>
          <w:lang w:bidi="ar-SA"/>
        </w:rPr>
        <w:t xml:space="preserve"> hodnotě jde o úsporu 215</w:t>
      </w:r>
      <w:r w:rsidRPr="008E6AA0">
        <w:rPr>
          <w:rFonts w:asciiTheme="minorHAnsi" w:eastAsia="Times New Roman" w:hAnsiTheme="minorHAnsi" w:cstheme="minorHAnsi"/>
          <w:sz w:val="21"/>
          <w:szCs w:val="21"/>
          <w:lang w:bidi="ar-SA"/>
        </w:rPr>
        <w:t xml:space="preserve"> korun. K výraznějším změnám by došlo až při snížení sazby o celý procentní bod, což by měsíční spl</w:t>
      </w:r>
      <w:r w:rsidR="005C0C18" w:rsidRPr="00FB5D32">
        <w:rPr>
          <w:rFonts w:asciiTheme="minorHAnsi" w:eastAsia="Times New Roman" w:hAnsiTheme="minorHAnsi" w:cstheme="minorHAnsi"/>
          <w:sz w:val="21"/>
          <w:szCs w:val="21"/>
          <w:lang w:bidi="ar-SA"/>
        </w:rPr>
        <w:t>átku snížilo na přibližně 23 928</w:t>
      </w:r>
      <w:r w:rsidRPr="008E6AA0">
        <w:rPr>
          <w:rFonts w:asciiTheme="minorHAnsi" w:eastAsia="Times New Roman" w:hAnsiTheme="minorHAnsi" w:cstheme="minorHAnsi"/>
          <w:sz w:val="21"/>
          <w:szCs w:val="21"/>
          <w:lang w:bidi="ar-SA"/>
        </w:rPr>
        <w:t xml:space="preserve"> korun.</w:t>
      </w:r>
    </w:p>
    <w:p w14:paraId="07B50C72" w14:textId="32D9C828" w:rsidR="00C70A05" w:rsidRPr="00FB5D32" w:rsidRDefault="00D558AA" w:rsidP="00FB5D32">
      <w:pPr>
        <w:pStyle w:val="Normlnweb"/>
        <w:jc w:val="both"/>
        <w:rPr>
          <w:rFonts w:asciiTheme="minorHAnsi" w:hAnsiTheme="minorHAnsi" w:cstheme="minorHAnsi"/>
          <w:sz w:val="21"/>
          <w:szCs w:val="21"/>
        </w:rPr>
      </w:pPr>
      <w:r>
        <w:rPr>
          <w:rFonts w:asciiTheme="minorHAnsi" w:eastAsia="Times New Roman" w:hAnsiTheme="minorHAnsi" w:cstheme="minorHAnsi"/>
          <w:noProof/>
          <w:sz w:val="21"/>
          <w:szCs w:val="21"/>
        </w:rPr>
        <w:drawing>
          <wp:inline distT="0" distB="0" distL="0" distR="0" wp14:anchorId="0135292F" wp14:editId="62DC011C">
            <wp:extent cx="6648450" cy="2969137"/>
            <wp:effectExtent l="0" t="0" r="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png"/>
                    <pic:cNvPicPr/>
                  </pic:nvPicPr>
                  <pic:blipFill>
                    <a:blip r:embed="rId29">
                      <a:extLst>
                        <a:ext uri="{28A0092B-C50C-407E-A947-70E740481C1C}">
                          <a14:useLocalDpi xmlns:a14="http://schemas.microsoft.com/office/drawing/2010/main" val="0"/>
                        </a:ext>
                      </a:extLst>
                    </a:blip>
                    <a:stretch>
                      <a:fillRect/>
                    </a:stretch>
                  </pic:blipFill>
                  <pic:spPr>
                    <a:xfrm>
                      <a:off x="0" y="0"/>
                      <a:ext cx="6661184" cy="2974824"/>
                    </a:xfrm>
                    <a:prstGeom prst="rect">
                      <a:avLst/>
                    </a:prstGeom>
                  </pic:spPr>
                </pic:pic>
              </a:graphicData>
            </a:graphic>
          </wp:inline>
        </w:drawing>
      </w:r>
      <w:bookmarkStart w:id="0" w:name="_GoBack"/>
      <w:bookmarkEnd w:id="0"/>
    </w:p>
    <w:p w14:paraId="57D4B577" w14:textId="77777777" w:rsidR="00D558AA" w:rsidRDefault="00FB5D32" w:rsidP="00D558AA">
      <w:pPr>
        <w:pStyle w:val="Nadpis3"/>
        <w:ind w:left="0"/>
        <w:jc w:val="both"/>
        <w:rPr>
          <w:rFonts w:asciiTheme="minorHAnsi" w:hAnsiTheme="minorHAnsi" w:cstheme="minorHAnsi"/>
          <w:b/>
          <w:sz w:val="21"/>
          <w:szCs w:val="21"/>
        </w:rPr>
      </w:pPr>
      <w:r w:rsidRPr="00FB5D32">
        <w:rPr>
          <w:rFonts w:asciiTheme="minorHAnsi" w:eastAsiaTheme="minorEastAsia" w:hAnsiTheme="minorHAnsi" w:cstheme="minorHAnsi"/>
          <w:b/>
          <w:sz w:val="21"/>
          <w:szCs w:val="21"/>
          <w:lang w:bidi="ar-SA"/>
        </w:rPr>
        <w:t>J</w:t>
      </w:r>
      <w:r w:rsidR="00FE6961" w:rsidRPr="00FB5D32">
        <w:rPr>
          <w:rFonts w:asciiTheme="minorHAnsi" w:hAnsiTheme="minorHAnsi" w:cstheme="minorHAnsi"/>
          <w:b/>
          <w:sz w:val="21"/>
          <w:szCs w:val="21"/>
        </w:rPr>
        <w:t>ak si správně sjednat první hypotéku?</w:t>
      </w:r>
    </w:p>
    <w:p w14:paraId="1044D805" w14:textId="77777777" w:rsidR="00D558AA" w:rsidRDefault="00D558AA" w:rsidP="00D558AA">
      <w:pPr>
        <w:pStyle w:val="Nadpis3"/>
        <w:ind w:left="0"/>
        <w:jc w:val="both"/>
        <w:rPr>
          <w:rFonts w:asciiTheme="minorHAnsi" w:hAnsiTheme="minorHAnsi" w:cstheme="minorHAnsi"/>
          <w:b/>
          <w:sz w:val="21"/>
          <w:szCs w:val="21"/>
        </w:rPr>
      </w:pPr>
    </w:p>
    <w:p w14:paraId="7743F165" w14:textId="16428068" w:rsidR="00FE6961" w:rsidRPr="00D558AA" w:rsidRDefault="00FE6961" w:rsidP="00D558AA">
      <w:pPr>
        <w:pStyle w:val="Nadpis3"/>
        <w:ind w:left="0"/>
        <w:jc w:val="both"/>
        <w:rPr>
          <w:rFonts w:asciiTheme="minorHAnsi" w:eastAsia="Times New Roman" w:hAnsiTheme="minorHAnsi" w:cstheme="minorHAnsi"/>
          <w:b/>
          <w:sz w:val="21"/>
          <w:szCs w:val="21"/>
          <w:lang w:bidi="ar-SA"/>
        </w:rPr>
      </w:pPr>
      <w:r w:rsidRPr="00FB5D32">
        <w:rPr>
          <w:rFonts w:asciiTheme="minorHAnsi" w:hAnsiTheme="minorHAnsi" w:cstheme="minorHAnsi"/>
          <w:sz w:val="21"/>
          <w:szCs w:val="21"/>
        </w:rPr>
        <w:t xml:space="preserve">Hypotéka je jedním z nejzásadnějších finančních rozhodnutí, které vyžaduje důkladnou přípravu. Než se pustíte do procesu žádosti, je nutné zhodnotit svou finanční situaci – porovnat příjmy, výdaje a zvážit, kolik si můžete dovolit splácet. Nezapomeňte si vytvořit finanční rezervu na nečekané výdaje. Klíčovým krokem je také srovnání nabídek bank, zaměření </w:t>
      </w:r>
      <w:r w:rsidRPr="00FB5D32">
        <w:rPr>
          <w:rFonts w:asciiTheme="minorHAnsi" w:hAnsiTheme="minorHAnsi" w:cstheme="minorHAnsi"/>
          <w:sz w:val="21"/>
          <w:szCs w:val="21"/>
        </w:rPr>
        <w:lastRenderedPageBreak/>
        <w:t>nejen na úrokovou sazbu, ale i na RPSN, které zahrnuje všechny náklady spojené s úvěrem. Pokud si nejste jistí, obraťte se na finančního konzultanta, který vám poradí s nastavením hypotéky na míru.</w:t>
      </w:r>
    </w:p>
    <w:p w14:paraId="0490AB1A" w14:textId="7E8E2991" w:rsidR="00FE6961" w:rsidRPr="00FB5D32" w:rsidRDefault="00FB5D32" w:rsidP="00FB5D32">
      <w:pPr>
        <w:pStyle w:val="Normlnweb"/>
        <w:jc w:val="both"/>
        <w:rPr>
          <w:rFonts w:asciiTheme="minorHAnsi" w:hAnsiTheme="minorHAnsi" w:cstheme="minorHAnsi"/>
          <w:sz w:val="21"/>
          <w:szCs w:val="21"/>
        </w:rPr>
      </w:pPr>
      <w:r w:rsidRPr="00FB5D32">
        <w:rPr>
          <w:rFonts w:asciiTheme="minorHAnsi" w:hAnsiTheme="minorHAnsi" w:cstheme="minorHAnsi"/>
          <w:sz w:val="21"/>
          <w:szCs w:val="21"/>
        </w:rPr>
        <w:t>Při žádosti budete</w:t>
      </w:r>
      <w:r w:rsidR="00FE6961" w:rsidRPr="00FB5D32">
        <w:rPr>
          <w:rFonts w:asciiTheme="minorHAnsi" w:hAnsiTheme="minorHAnsi" w:cstheme="minorHAnsi"/>
          <w:sz w:val="21"/>
          <w:szCs w:val="21"/>
        </w:rPr>
        <w:t xml:space="preserve"> </w:t>
      </w:r>
      <w:r w:rsidRPr="00FB5D32">
        <w:rPr>
          <w:rFonts w:asciiTheme="minorHAnsi" w:hAnsiTheme="minorHAnsi" w:cstheme="minorHAnsi"/>
          <w:sz w:val="21"/>
          <w:szCs w:val="21"/>
        </w:rPr>
        <w:t xml:space="preserve">mimo jiné potřebovat </w:t>
      </w:r>
      <w:r w:rsidR="00FE6961" w:rsidRPr="00FB5D32">
        <w:rPr>
          <w:rFonts w:asciiTheme="minorHAnsi" w:hAnsiTheme="minorHAnsi" w:cstheme="minorHAnsi"/>
          <w:sz w:val="21"/>
          <w:szCs w:val="21"/>
        </w:rPr>
        <w:t>potvrzení o příjmu, informace o závazcích, kupní smlouvu k nemovitosti a další podklady. Banka si zpravidla sama zajistí odhad nemovitosti</w:t>
      </w:r>
      <w:r w:rsidRPr="00FB5D32">
        <w:rPr>
          <w:rFonts w:asciiTheme="minorHAnsi" w:hAnsiTheme="minorHAnsi" w:cstheme="minorHAnsi"/>
          <w:sz w:val="21"/>
          <w:szCs w:val="21"/>
        </w:rPr>
        <w:t>, přičemž o</w:t>
      </w:r>
      <w:r w:rsidR="00FE6961" w:rsidRPr="00FB5D32">
        <w:rPr>
          <w:rFonts w:asciiTheme="minorHAnsi" w:hAnsiTheme="minorHAnsi" w:cstheme="minorHAnsi"/>
          <w:sz w:val="21"/>
          <w:szCs w:val="21"/>
        </w:rPr>
        <w:t>dhad i schválení žádosti ob</w:t>
      </w:r>
      <w:r w:rsidRPr="00FB5D32">
        <w:rPr>
          <w:rFonts w:asciiTheme="minorHAnsi" w:hAnsiTheme="minorHAnsi" w:cstheme="minorHAnsi"/>
          <w:sz w:val="21"/>
          <w:szCs w:val="21"/>
        </w:rPr>
        <w:t>vykle trvá několik dnů až týdnů</w:t>
      </w:r>
      <w:r w:rsidRPr="00FB5D32">
        <w:rPr>
          <w:rFonts w:asciiTheme="minorHAnsi" w:hAnsiTheme="minorHAnsi" w:cstheme="minorHAnsi"/>
          <w:i/>
          <w:sz w:val="21"/>
          <w:szCs w:val="21"/>
        </w:rPr>
        <w:t xml:space="preserve">.  </w:t>
      </w:r>
    </w:p>
    <w:p w14:paraId="0014E3C3" w14:textId="1E96B45A" w:rsidR="00224032" w:rsidRPr="00FB5D32" w:rsidRDefault="00FB5D32" w:rsidP="00FB5D32">
      <w:pPr>
        <w:pStyle w:val="Normlnweb"/>
        <w:jc w:val="both"/>
        <w:rPr>
          <w:rFonts w:asciiTheme="minorHAnsi" w:hAnsiTheme="minorHAnsi" w:cstheme="minorHAnsi"/>
          <w:sz w:val="21"/>
          <w:szCs w:val="21"/>
        </w:rPr>
      </w:pPr>
      <w:r w:rsidRPr="00FB5D32">
        <w:rPr>
          <w:rFonts w:asciiTheme="minorHAnsi" w:hAnsiTheme="minorHAnsi" w:cstheme="minorHAnsi"/>
          <w:i/>
          <w:sz w:val="21"/>
          <w:szCs w:val="21"/>
        </w:rPr>
        <w:t>„</w:t>
      </w:r>
      <w:r w:rsidR="00FE6961" w:rsidRPr="00FB5D32">
        <w:rPr>
          <w:rFonts w:asciiTheme="minorHAnsi" w:hAnsiTheme="minorHAnsi" w:cstheme="minorHAnsi"/>
          <w:i/>
          <w:sz w:val="21"/>
          <w:szCs w:val="21"/>
        </w:rPr>
        <w:t>Typickou chybou je přijetí první nabídky bez srovnání nebo podcenění dalších nákladů, jako je pojištění nebo údržba nemovitosti. Právě pojištění schopnosti splácet či nemovitosti může být klíčové při nečekaných životních situac</w:t>
      </w:r>
      <w:r w:rsidRPr="00FB5D32">
        <w:rPr>
          <w:rFonts w:asciiTheme="minorHAnsi" w:hAnsiTheme="minorHAnsi" w:cstheme="minorHAnsi"/>
          <w:i/>
          <w:sz w:val="21"/>
          <w:szCs w:val="21"/>
        </w:rPr>
        <w:t>ích, přestože není vždy povinné,“</w:t>
      </w:r>
      <w:r w:rsidRPr="00FB5D32">
        <w:rPr>
          <w:rFonts w:asciiTheme="minorHAnsi" w:hAnsiTheme="minorHAnsi" w:cstheme="minorHAnsi"/>
          <w:sz w:val="21"/>
          <w:szCs w:val="21"/>
        </w:rPr>
        <w:t xml:space="preserve"> vysvětluje </w:t>
      </w:r>
      <w:r w:rsidRPr="00FB5D32">
        <w:rPr>
          <w:rFonts w:asciiTheme="minorHAnsi" w:hAnsiTheme="minorHAnsi" w:cstheme="minorHAnsi"/>
          <w:b/>
          <w:sz w:val="21"/>
          <w:szCs w:val="21"/>
        </w:rPr>
        <w:t>Michaela Pudilová ze společnosti Broker Consulting.</w:t>
      </w:r>
    </w:p>
    <w:p w14:paraId="06153168" w14:textId="49F64D54" w:rsidR="00236A37" w:rsidRPr="00AB7BAF" w:rsidRDefault="00C42CA5" w:rsidP="00B85CBF">
      <w:pPr>
        <w:pBdr>
          <w:top w:val="single" w:sz="4" w:space="1" w:color="auto"/>
        </w:pBdr>
        <w:spacing w:before="240" w:after="120"/>
        <w:rPr>
          <w:rFonts w:asciiTheme="minorHAnsi" w:hAnsiTheme="minorHAnsi" w:cstheme="minorHAnsi"/>
          <w:sz w:val="21"/>
          <w:szCs w:val="21"/>
        </w:rPr>
      </w:pPr>
      <w:r w:rsidRPr="0029038B">
        <w:rPr>
          <w:rFonts w:asciiTheme="minorHAnsi" w:hAnsiTheme="minorHAnsi" w:cstheme="minorHAnsi"/>
          <w:sz w:val="21"/>
          <w:szCs w:val="21"/>
        </w:rPr>
        <w:t xml:space="preserve">Broker </w:t>
      </w:r>
      <w:r w:rsidR="00C36E55" w:rsidRPr="0029038B">
        <w:rPr>
          <w:rFonts w:asciiTheme="minorHAnsi" w:hAnsiTheme="minorHAnsi" w:cstheme="minorHAnsi"/>
          <w:sz w:val="21"/>
          <w:szCs w:val="21"/>
        </w:rPr>
        <w:t>Con</w:t>
      </w:r>
      <w:r w:rsidR="007B0955">
        <w:rPr>
          <w:rFonts w:asciiTheme="minorHAnsi" w:hAnsiTheme="minorHAnsi" w:cstheme="minorHAnsi"/>
          <w:sz w:val="21"/>
          <w:szCs w:val="21"/>
        </w:rPr>
        <w:t>sultin</w:t>
      </w:r>
      <w:r w:rsidRPr="0029038B">
        <w:rPr>
          <w:rFonts w:asciiTheme="minorHAnsi" w:hAnsiTheme="minorHAnsi" w:cstheme="minorHAnsi"/>
          <w:sz w:val="21"/>
          <w:szCs w:val="21"/>
        </w:rPr>
        <w:t>g Index hypotečních úvěrů je analytický nástroj</w:t>
      </w:r>
      <w:r w:rsidR="00113603" w:rsidRPr="0029038B">
        <w:rPr>
          <w:rFonts w:asciiTheme="minorHAnsi" w:hAnsiTheme="minorHAnsi" w:cstheme="minorHAnsi"/>
          <w:sz w:val="21"/>
          <w:szCs w:val="21"/>
        </w:rPr>
        <w:t xml:space="preserve"> znázorňující</w:t>
      </w:r>
      <w:r w:rsidRPr="0029038B">
        <w:rPr>
          <w:rFonts w:asciiTheme="minorHAnsi" w:hAnsiTheme="minorHAnsi" w:cstheme="minorHAnsi"/>
          <w:sz w:val="21"/>
          <w:szCs w:val="21"/>
        </w:rPr>
        <w:t xml:space="preserve"> průměrnou úrokovou </w:t>
      </w:r>
      <w:r w:rsidRPr="00AB7BAF">
        <w:rPr>
          <w:rFonts w:asciiTheme="minorHAnsi" w:hAnsiTheme="minorHAnsi" w:cstheme="minorHAnsi"/>
          <w:sz w:val="21"/>
          <w:szCs w:val="21"/>
        </w:rPr>
        <w:t xml:space="preserve">sazbu u hypotečních úvěrů, </w:t>
      </w:r>
      <w:r w:rsidR="00113603" w:rsidRPr="00AB7BAF">
        <w:rPr>
          <w:rFonts w:asciiTheme="minorHAnsi" w:hAnsiTheme="minorHAnsi" w:cstheme="minorHAnsi"/>
          <w:sz w:val="21"/>
          <w:szCs w:val="21"/>
        </w:rPr>
        <w:t>které</w:t>
      </w:r>
      <w:r w:rsidRPr="00AB7BAF">
        <w:rPr>
          <w:rFonts w:asciiTheme="minorHAnsi" w:hAnsiTheme="minorHAnsi" w:cstheme="minorHAnsi"/>
          <w:sz w:val="21"/>
          <w:szCs w:val="21"/>
        </w:rPr>
        <w:t xml:space="preserve"> zprostředkovali konzultanti Brok</w:t>
      </w:r>
      <w:r w:rsidR="00776A31">
        <w:rPr>
          <w:rFonts w:asciiTheme="minorHAnsi" w:hAnsiTheme="minorHAnsi" w:cstheme="minorHAnsi"/>
          <w:sz w:val="21"/>
          <w:szCs w:val="21"/>
        </w:rPr>
        <w:t>er Consulting a pobočky Broker Point nebo Broker Point Premium</w:t>
      </w:r>
      <w:r w:rsidRPr="00AB7BAF">
        <w:rPr>
          <w:rFonts w:asciiTheme="minorHAnsi" w:hAnsiTheme="minorHAnsi" w:cstheme="minorHAnsi"/>
          <w:sz w:val="21"/>
          <w:szCs w:val="21"/>
        </w:rPr>
        <w:t xml:space="preserve"> u kteréhokoli poskytovatele hypotečních úvěrů. Jedná se o vážený aritmetický průměr, kdy hlavní vahou je objem úvěru. Tedy čím vyšší úvěr, tím jeho sazba </w:t>
      </w:r>
      <w:r w:rsidR="00113603" w:rsidRPr="00AB7BAF">
        <w:rPr>
          <w:rFonts w:asciiTheme="minorHAnsi" w:hAnsiTheme="minorHAnsi" w:cstheme="minorHAnsi"/>
          <w:sz w:val="21"/>
          <w:szCs w:val="21"/>
        </w:rPr>
        <w:t xml:space="preserve">vstupuje </w:t>
      </w:r>
      <w:r w:rsidRPr="00AB7BAF">
        <w:rPr>
          <w:rFonts w:asciiTheme="minorHAnsi" w:hAnsiTheme="minorHAnsi" w:cstheme="minorHAnsi"/>
          <w:sz w:val="21"/>
          <w:szCs w:val="21"/>
        </w:rPr>
        <w:t xml:space="preserve">do indexu větší vahou. </w:t>
      </w:r>
      <w:r w:rsidRPr="00AB7BAF">
        <w:rPr>
          <w:rFonts w:asciiTheme="minorHAnsi" w:hAnsiTheme="minorHAnsi" w:cstheme="minorHAnsi"/>
          <w:b/>
          <w:sz w:val="21"/>
          <w:szCs w:val="21"/>
        </w:rPr>
        <w:t xml:space="preserve">Výhodou metody výpočtu </w:t>
      </w:r>
      <w:r w:rsidR="00C7532A" w:rsidRPr="00AB7BAF">
        <w:rPr>
          <w:rFonts w:asciiTheme="minorHAnsi" w:hAnsiTheme="minorHAnsi" w:cstheme="minorHAnsi"/>
          <w:b/>
          <w:sz w:val="21"/>
          <w:szCs w:val="21"/>
        </w:rPr>
        <w:t xml:space="preserve">indexu </w:t>
      </w:r>
      <w:r w:rsidRPr="00AB7BAF">
        <w:rPr>
          <w:rFonts w:asciiTheme="minorHAnsi" w:hAnsiTheme="minorHAnsi" w:cstheme="minorHAnsi"/>
          <w:b/>
          <w:sz w:val="21"/>
          <w:szCs w:val="21"/>
        </w:rPr>
        <w:t>je skutečnost, že se do statistiky dostávají pouze skutečně schválené úvěry, a to bez výjimky všechny.</w:t>
      </w:r>
      <w:r w:rsidRPr="00AB7BAF">
        <w:rPr>
          <w:rFonts w:asciiTheme="minorHAnsi" w:hAnsiTheme="minorHAnsi" w:cstheme="minorHAnsi"/>
          <w:sz w:val="21"/>
          <w:szCs w:val="21"/>
        </w:rPr>
        <w:t xml:space="preserve"> Nemůže tak dojít ke zkreslení informací a index není závislý na dodávkách třetích stran. </w:t>
      </w:r>
    </w:p>
    <w:p w14:paraId="70EFA666" w14:textId="4A6CAE48" w:rsidR="002E6DB6" w:rsidRPr="00AB7BAF" w:rsidRDefault="00C42CA5" w:rsidP="007B1851">
      <w:pPr>
        <w:spacing w:after="120"/>
        <w:rPr>
          <w:rFonts w:asciiTheme="minorHAnsi" w:hAnsiTheme="minorHAnsi" w:cstheme="minorHAnsi"/>
          <w:sz w:val="21"/>
          <w:szCs w:val="21"/>
        </w:rPr>
      </w:pPr>
      <w:r w:rsidRPr="00AB7BAF">
        <w:rPr>
          <w:rFonts w:asciiTheme="minorHAnsi" w:hAnsiTheme="minorHAnsi" w:cstheme="minorHAnsi"/>
          <w:sz w:val="21"/>
          <w:szCs w:val="21"/>
        </w:rPr>
        <w:t>V principu se Broker Consulting Index hypotečních úvěrů počítá ze sazeb, které jsou v danou chvíli pro daného klienta nejnižší na trhu</w:t>
      </w:r>
      <w:r w:rsidR="00FA2D1E" w:rsidRPr="00AB7BAF">
        <w:rPr>
          <w:rFonts w:asciiTheme="minorHAnsi" w:hAnsiTheme="minorHAnsi" w:cstheme="minorHAnsi"/>
          <w:sz w:val="21"/>
          <w:szCs w:val="21"/>
        </w:rPr>
        <w:t>,</w:t>
      </w:r>
      <w:r w:rsidRPr="00AB7BAF">
        <w:rPr>
          <w:rFonts w:asciiTheme="minorHAnsi" w:hAnsiTheme="minorHAnsi" w:cstheme="minorHAnsi"/>
          <w:sz w:val="21"/>
          <w:szCs w:val="21"/>
        </w:rPr>
        <w:t xml:space="preserve"> </w:t>
      </w:r>
      <w:r w:rsidR="00FA2D1E" w:rsidRPr="00AB7BAF">
        <w:rPr>
          <w:rFonts w:asciiTheme="minorHAnsi" w:hAnsiTheme="minorHAnsi" w:cstheme="minorHAnsi"/>
          <w:sz w:val="21"/>
          <w:szCs w:val="21"/>
        </w:rPr>
        <w:t>a</w:t>
      </w:r>
      <w:r w:rsidRPr="00AB7BAF">
        <w:rPr>
          <w:rFonts w:asciiTheme="minorHAnsi" w:hAnsiTheme="minorHAnsi" w:cstheme="minorHAnsi"/>
          <w:sz w:val="21"/>
          <w:szCs w:val="21"/>
        </w:rPr>
        <w:t xml:space="preserve">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přesahujícím 13 miliard korun. </w:t>
      </w:r>
    </w:p>
    <w:p w14:paraId="0584C559" w14:textId="7CB832AA" w:rsidR="00C21F84" w:rsidRPr="00C21F84" w:rsidRDefault="002E6DB6" w:rsidP="00C21F84">
      <w:pPr>
        <w:pBdr>
          <w:bottom w:val="single" w:sz="4" w:space="1" w:color="auto"/>
        </w:pBdr>
        <w:spacing w:after="120"/>
        <w:rPr>
          <w:rFonts w:asciiTheme="minorHAnsi" w:hAnsiTheme="minorHAnsi" w:cstheme="minorHAnsi"/>
          <w:sz w:val="21"/>
          <w:szCs w:val="21"/>
        </w:rPr>
      </w:pPr>
      <w:r w:rsidRPr="00AB7BAF">
        <w:rPr>
          <w:rFonts w:asciiTheme="minorHAnsi" w:hAnsiTheme="minorHAnsi" w:cstheme="minorHAnsi"/>
          <w:color w:val="000000"/>
          <w:sz w:val="21"/>
          <w:szCs w:val="21"/>
        </w:rPr>
        <w:t>Předstihový ukazatel Broker Consulting Indexu hypotečních úvěrů a jeho výpočet rea</w:t>
      </w:r>
      <w:r w:rsidR="008C75D3" w:rsidRPr="00AB7BAF">
        <w:rPr>
          <w:rFonts w:asciiTheme="minorHAnsi" w:hAnsiTheme="minorHAnsi" w:cstheme="minorHAnsi"/>
          <w:color w:val="000000"/>
          <w:sz w:val="21"/>
          <w:szCs w:val="21"/>
        </w:rPr>
        <w:t>guje na potřebu aktuálního výhledu výše sazeb, ve kterém se budou v daném měsíci poskytovat hypoteční úvěry zprostředkovávané od většiny bankovních institucí v tuzemsku. Ve výpočtu jde o aritmetick</w:t>
      </w:r>
      <w:r w:rsidR="00057F54" w:rsidRPr="00AB7BAF">
        <w:rPr>
          <w:rFonts w:asciiTheme="minorHAnsi" w:hAnsiTheme="minorHAnsi" w:cstheme="minorHAnsi"/>
          <w:color w:val="000000"/>
          <w:sz w:val="21"/>
          <w:szCs w:val="21"/>
        </w:rPr>
        <w:t>ý průměr nabízených úrokových sazeb</w:t>
      </w:r>
      <w:r w:rsidR="00807AD4" w:rsidRPr="00AB7BAF">
        <w:rPr>
          <w:rFonts w:asciiTheme="minorHAnsi" w:hAnsiTheme="minorHAnsi" w:cstheme="minorHAnsi"/>
          <w:color w:val="000000"/>
          <w:sz w:val="21"/>
          <w:szCs w:val="21"/>
        </w:rPr>
        <w:t xml:space="preserve"> v konkrétním </w:t>
      </w:r>
      <w:r w:rsidR="008C75D3" w:rsidRPr="00AB7BAF">
        <w:rPr>
          <w:rFonts w:asciiTheme="minorHAnsi" w:hAnsiTheme="minorHAnsi" w:cstheme="minorHAnsi"/>
          <w:color w:val="000000"/>
          <w:sz w:val="21"/>
          <w:szCs w:val="21"/>
        </w:rPr>
        <w:t>měsíci, ve kterém se zveřejňují hodnoty Broker Consulting Indexu hypotečních úvěrů.</w:t>
      </w:r>
      <w:r w:rsidR="00CC3D3D" w:rsidRPr="00AB7BAF">
        <w:rPr>
          <w:rFonts w:asciiTheme="minorHAnsi" w:hAnsiTheme="minorHAnsi" w:cstheme="minorHAnsi"/>
          <w:color w:val="000000"/>
          <w:sz w:val="21"/>
          <w:szCs w:val="21"/>
        </w:rPr>
        <w:t xml:space="preserve"> Vzhledem ke statisti</w:t>
      </w:r>
      <w:r w:rsidR="004919CC" w:rsidRPr="00AB7BAF">
        <w:rPr>
          <w:rFonts w:asciiTheme="minorHAnsi" w:hAnsiTheme="minorHAnsi" w:cstheme="minorHAnsi"/>
          <w:color w:val="000000"/>
          <w:sz w:val="21"/>
          <w:szCs w:val="21"/>
        </w:rPr>
        <w:t>ce preferovaných fixací byla při výpoč</w:t>
      </w:r>
      <w:r w:rsidR="00CC3D3D" w:rsidRPr="00AB7BAF">
        <w:rPr>
          <w:rFonts w:asciiTheme="minorHAnsi" w:hAnsiTheme="minorHAnsi" w:cstheme="minorHAnsi"/>
          <w:color w:val="000000"/>
          <w:sz w:val="21"/>
          <w:szCs w:val="21"/>
        </w:rPr>
        <w:t>t</w:t>
      </w:r>
      <w:r w:rsidR="004919CC" w:rsidRPr="00AB7BAF">
        <w:rPr>
          <w:rFonts w:asciiTheme="minorHAnsi" w:hAnsiTheme="minorHAnsi" w:cstheme="minorHAnsi"/>
          <w:color w:val="000000"/>
          <w:sz w:val="21"/>
          <w:szCs w:val="21"/>
        </w:rPr>
        <w:t>u zohledněna</w:t>
      </w:r>
      <w:r w:rsidR="00CC3D3D" w:rsidRPr="00AB7BAF">
        <w:rPr>
          <w:rFonts w:asciiTheme="minorHAnsi" w:hAnsiTheme="minorHAnsi" w:cstheme="minorHAnsi"/>
          <w:color w:val="000000"/>
          <w:sz w:val="21"/>
          <w:szCs w:val="21"/>
        </w:rPr>
        <w:t xml:space="preserve"> pětiletá fixace úrokových sazeb.</w:t>
      </w:r>
    </w:p>
    <w:p w14:paraId="5FCF3C96" w14:textId="79E57602" w:rsidR="00B01F39" w:rsidRPr="00C21F84" w:rsidRDefault="00C947C0" w:rsidP="007B1851">
      <w:pPr>
        <w:rPr>
          <w:rFonts w:asciiTheme="minorHAnsi" w:hAnsiTheme="minorHAnsi" w:cstheme="minorHAnsi"/>
          <w:i/>
          <w:color w:val="1D1D1B"/>
          <w:w w:val="105"/>
          <w:sz w:val="20"/>
          <w:szCs w:val="20"/>
        </w:rPr>
      </w:pPr>
      <w:r w:rsidRPr="00C21F84">
        <w:rPr>
          <w:rFonts w:asciiTheme="minorHAnsi" w:hAnsiTheme="minorHAnsi" w:cstheme="minorHAnsi"/>
          <w:b/>
          <w:sz w:val="20"/>
          <w:szCs w:val="20"/>
        </w:rPr>
        <w:t>P</w:t>
      </w:r>
      <w:r w:rsidR="00B37F41" w:rsidRPr="00C21F84">
        <w:rPr>
          <w:rFonts w:asciiTheme="minorHAnsi" w:hAnsiTheme="minorHAnsi" w:cstheme="minorHAnsi"/>
          <w:b/>
          <w:sz w:val="20"/>
          <w:szCs w:val="20"/>
        </w:rPr>
        <w:t>oznámka pro média:</w:t>
      </w:r>
      <w:r w:rsidR="00B37F41" w:rsidRPr="00C21F84">
        <w:rPr>
          <w:rFonts w:asciiTheme="minorHAnsi" w:hAnsiTheme="minorHAnsi" w:cstheme="minorHAnsi"/>
          <w:sz w:val="20"/>
          <w:szCs w:val="20"/>
        </w:rPr>
        <w:t xml:space="preserve"> </w:t>
      </w:r>
      <w:r w:rsidR="00B37F41" w:rsidRPr="00C21F84">
        <w:rPr>
          <w:rFonts w:asciiTheme="minorHAnsi" w:hAnsiTheme="minorHAnsi" w:cstheme="minorHAnsi"/>
          <w:color w:val="1D1D1B"/>
          <w:w w:val="105"/>
          <w:sz w:val="20"/>
          <w:szCs w:val="20"/>
        </w:rPr>
        <w:t>Broker</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Consulting</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Indexy</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je</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možné</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volně</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spacing w:val="2"/>
          <w:w w:val="105"/>
          <w:sz w:val="20"/>
          <w:szCs w:val="20"/>
        </w:rPr>
        <w:t>publikovat</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pouze</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s</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označením</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„Broker</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w w:val="105"/>
          <w:sz w:val="20"/>
          <w:szCs w:val="20"/>
        </w:rPr>
        <w:t>Consulting</w:t>
      </w:r>
      <w:r w:rsidR="00B37F41" w:rsidRPr="00C21F84">
        <w:rPr>
          <w:rFonts w:asciiTheme="minorHAnsi" w:hAnsiTheme="minorHAnsi" w:cstheme="minorHAnsi"/>
          <w:color w:val="1D1D1B"/>
          <w:spacing w:val="-8"/>
          <w:w w:val="105"/>
          <w:sz w:val="20"/>
          <w:szCs w:val="20"/>
        </w:rPr>
        <w:t xml:space="preserve"> </w:t>
      </w:r>
      <w:r w:rsidR="00B37F41" w:rsidRPr="00C21F84">
        <w:rPr>
          <w:rFonts w:asciiTheme="minorHAnsi" w:hAnsiTheme="minorHAnsi" w:cstheme="minorHAnsi"/>
          <w:color w:val="1D1D1B"/>
          <w:w w:val="105"/>
          <w:sz w:val="20"/>
          <w:szCs w:val="20"/>
        </w:rPr>
        <w:t>Index“</w:t>
      </w:r>
      <w:r w:rsidR="00B37F41" w:rsidRPr="00C21F84">
        <w:rPr>
          <w:rFonts w:asciiTheme="minorHAnsi" w:hAnsiTheme="minorHAnsi" w:cstheme="minorHAnsi"/>
          <w:color w:val="1D1D1B"/>
          <w:spacing w:val="-9"/>
          <w:w w:val="105"/>
          <w:sz w:val="20"/>
          <w:szCs w:val="20"/>
        </w:rPr>
        <w:t xml:space="preserve"> </w:t>
      </w:r>
      <w:r w:rsidR="00B37F41" w:rsidRPr="00C21F84">
        <w:rPr>
          <w:rFonts w:asciiTheme="minorHAnsi" w:hAnsiTheme="minorHAnsi" w:cstheme="minorHAnsi"/>
          <w:color w:val="1D1D1B"/>
          <w:spacing w:val="-3"/>
          <w:w w:val="105"/>
          <w:sz w:val="20"/>
          <w:szCs w:val="20"/>
        </w:rPr>
        <w:t>(</w:t>
      </w:r>
      <w:r w:rsidR="00B37F41" w:rsidRPr="00C21F84">
        <w:rPr>
          <w:rFonts w:asciiTheme="minorHAnsi" w:hAnsiTheme="minorHAnsi" w:cstheme="minorHAnsi"/>
          <w:i/>
          <w:color w:val="1D1D1B"/>
          <w:spacing w:val="-3"/>
          <w:w w:val="105"/>
          <w:sz w:val="20"/>
          <w:szCs w:val="20"/>
        </w:rPr>
        <w:t>např.</w:t>
      </w:r>
      <w:r w:rsidR="00B37F41" w:rsidRPr="00C21F84">
        <w:rPr>
          <w:rFonts w:asciiTheme="minorHAnsi" w:hAnsiTheme="minorHAnsi" w:cstheme="minorHAnsi"/>
          <w:i/>
          <w:color w:val="1D1D1B"/>
          <w:spacing w:val="-8"/>
          <w:w w:val="105"/>
          <w:sz w:val="20"/>
          <w:szCs w:val="20"/>
        </w:rPr>
        <w:t xml:space="preserve"> </w:t>
      </w:r>
      <w:r w:rsidR="00B37F41" w:rsidRPr="00C21F84">
        <w:rPr>
          <w:rFonts w:asciiTheme="minorHAnsi" w:hAnsiTheme="minorHAnsi" w:cstheme="minorHAnsi"/>
          <w:i/>
          <w:color w:val="1D1D1B"/>
          <w:w w:val="105"/>
          <w:sz w:val="20"/>
          <w:szCs w:val="20"/>
        </w:rPr>
        <w:t>Broker</w:t>
      </w:r>
      <w:r w:rsidR="00B37F41" w:rsidRPr="00C21F84">
        <w:rPr>
          <w:rFonts w:asciiTheme="minorHAnsi" w:hAnsiTheme="minorHAnsi" w:cstheme="minorHAnsi"/>
          <w:i/>
          <w:color w:val="1D1D1B"/>
          <w:spacing w:val="-9"/>
          <w:w w:val="105"/>
          <w:sz w:val="20"/>
          <w:szCs w:val="20"/>
        </w:rPr>
        <w:t xml:space="preserve"> </w:t>
      </w:r>
      <w:r w:rsidR="00B37F41" w:rsidRPr="00C21F84">
        <w:rPr>
          <w:rFonts w:asciiTheme="minorHAnsi" w:hAnsiTheme="minorHAnsi" w:cstheme="minorHAnsi"/>
          <w:i/>
          <w:color w:val="1D1D1B"/>
          <w:w w:val="105"/>
          <w:sz w:val="20"/>
          <w:szCs w:val="20"/>
        </w:rPr>
        <w:t>Consulting</w:t>
      </w:r>
      <w:r w:rsidR="00B37F41" w:rsidRPr="00C21F84">
        <w:rPr>
          <w:rFonts w:asciiTheme="minorHAnsi" w:hAnsiTheme="minorHAnsi" w:cstheme="minorHAnsi"/>
          <w:i/>
          <w:color w:val="1D1D1B"/>
          <w:spacing w:val="-8"/>
          <w:w w:val="105"/>
          <w:sz w:val="20"/>
          <w:szCs w:val="20"/>
        </w:rPr>
        <w:t xml:space="preserve"> </w:t>
      </w:r>
      <w:r w:rsidR="00B37F41" w:rsidRPr="00C21F84">
        <w:rPr>
          <w:rFonts w:asciiTheme="minorHAnsi" w:hAnsiTheme="minorHAnsi" w:cstheme="minorHAnsi"/>
          <w:i/>
          <w:color w:val="1D1D1B"/>
          <w:w w:val="105"/>
          <w:sz w:val="20"/>
          <w:szCs w:val="20"/>
        </w:rPr>
        <w:t>index hypot</w:t>
      </w:r>
      <w:r w:rsidR="00830CE8" w:rsidRPr="00C21F84">
        <w:rPr>
          <w:rFonts w:asciiTheme="minorHAnsi" w:hAnsiTheme="minorHAnsi" w:cstheme="minorHAnsi"/>
          <w:i/>
          <w:color w:val="1D1D1B"/>
          <w:w w:val="105"/>
          <w:sz w:val="20"/>
          <w:szCs w:val="20"/>
        </w:rPr>
        <w:t>e</w:t>
      </w:r>
      <w:r w:rsidR="00B37F41" w:rsidRPr="00C21F84">
        <w:rPr>
          <w:rFonts w:asciiTheme="minorHAnsi" w:hAnsiTheme="minorHAnsi" w:cstheme="minorHAnsi"/>
          <w:i/>
          <w:color w:val="1D1D1B"/>
          <w:w w:val="105"/>
          <w:sz w:val="20"/>
          <w:szCs w:val="20"/>
        </w:rPr>
        <w:t xml:space="preserve">čních úvěrů). Více informací najdete též na webu </w:t>
      </w:r>
      <w:r w:rsidR="00B37F41" w:rsidRPr="00C21F84">
        <w:rPr>
          <w:rStyle w:val="Hypertextovodkaz"/>
          <w:rFonts w:asciiTheme="minorHAnsi" w:hAnsiTheme="minorHAnsi" w:cstheme="minorHAnsi"/>
          <w:i/>
          <w:w w:val="105"/>
          <w:sz w:val="20"/>
          <w:szCs w:val="20"/>
        </w:rPr>
        <w:t>https://www.bcas.cz/onas/pro-media/</w:t>
      </w:r>
      <w:r w:rsidR="00B37F41" w:rsidRPr="00C21F84">
        <w:rPr>
          <w:rFonts w:asciiTheme="minorHAnsi" w:hAnsiTheme="minorHAnsi" w:cstheme="minorHAnsi"/>
          <w:i/>
          <w:color w:val="1D1D1B"/>
          <w:w w:val="105"/>
          <w:sz w:val="20"/>
          <w:szCs w:val="20"/>
        </w:rPr>
        <w:t xml:space="preserve">. </w:t>
      </w:r>
    </w:p>
    <w:p w14:paraId="0BBC87EC" w14:textId="77777777" w:rsidR="001C22FE" w:rsidRPr="00C21F84" w:rsidRDefault="001C22FE" w:rsidP="001C22FE">
      <w:pPr>
        <w:rPr>
          <w:rFonts w:asciiTheme="minorHAnsi" w:hAnsiTheme="minorHAnsi" w:cstheme="minorHAnsi"/>
          <w:b/>
          <w:color w:val="FF0000"/>
          <w:w w:val="105"/>
          <w:sz w:val="20"/>
          <w:szCs w:val="20"/>
        </w:rPr>
      </w:pPr>
    </w:p>
    <w:p w14:paraId="72ED1D97" w14:textId="126A9B30" w:rsidR="001C22FE" w:rsidRPr="00C21F84" w:rsidRDefault="001C22FE" w:rsidP="007B1851">
      <w:pPr>
        <w:rPr>
          <w:rFonts w:asciiTheme="minorHAnsi" w:hAnsiTheme="minorHAnsi" w:cstheme="minorHAnsi"/>
          <w:b/>
          <w:color w:val="1D1D1B"/>
          <w:w w:val="105"/>
          <w:sz w:val="20"/>
          <w:szCs w:val="20"/>
        </w:rPr>
      </w:pPr>
      <w:r w:rsidRPr="00C21F84">
        <w:rPr>
          <w:rFonts w:asciiTheme="minorHAnsi" w:hAnsiTheme="minorHAnsi" w:cstheme="minorHAnsi"/>
          <w:b/>
          <w:color w:val="FF0000"/>
          <w:w w:val="105"/>
          <w:sz w:val="20"/>
          <w:szCs w:val="20"/>
        </w:rPr>
        <w:t>Broker Consulting Indexy je nyní možné sledovat v interaktivní formě na webu</w:t>
      </w:r>
      <w:r w:rsidRPr="00C21F84">
        <w:rPr>
          <w:rFonts w:asciiTheme="minorHAnsi" w:hAnsiTheme="minorHAnsi" w:cstheme="minorHAnsi"/>
          <w:color w:val="1D1D1B"/>
          <w:w w:val="105"/>
          <w:sz w:val="20"/>
          <w:szCs w:val="20"/>
        </w:rPr>
        <w:t>. Zde lze zároveň exportovat zdrojová data ke grafům. Vice dostupné na odkaze</w:t>
      </w:r>
      <w:r w:rsidRPr="00C21F84">
        <w:rPr>
          <w:rFonts w:asciiTheme="minorHAnsi" w:hAnsiTheme="minorHAnsi" w:cstheme="minorHAnsi"/>
          <w:b/>
          <w:color w:val="1D1D1B"/>
          <w:w w:val="105"/>
          <w:sz w:val="20"/>
          <w:szCs w:val="20"/>
        </w:rPr>
        <w:t xml:space="preserve">: </w:t>
      </w:r>
      <w:hyperlink r:id="rId30" w:history="1">
        <w:r w:rsidRPr="00C21F84">
          <w:rPr>
            <w:rStyle w:val="Hypertextovodkaz"/>
            <w:rFonts w:asciiTheme="minorHAnsi" w:hAnsiTheme="minorHAnsi" w:cstheme="minorHAnsi"/>
            <w:b/>
            <w:w w:val="105"/>
            <w:sz w:val="20"/>
            <w:szCs w:val="20"/>
          </w:rPr>
          <w:t>https://www.bcas.cz/o-nas/broker-consulting-index-hypotecnich-uveru/</w:t>
        </w:r>
      </w:hyperlink>
      <w:r w:rsidRPr="00C21F84">
        <w:rPr>
          <w:rFonts w:asciiTheme="minorHAnsi" w:hAnsiTheme="minorHAnsi" w:cstheme="minorHAnsi"/>
          <w:b/>
          <w:color w:val="1D1D1B"/>
          <w:w w:val="105"/>
          <w:sz w:val="20"/>
          <w:szCs w:val="20"/>
        </w:rPr>
        <w:t xml:space="preserve">. </w:t>
      </w:r>
    </w:p>
    <w:p w14:paraId="7DE80F01" w14:textId="5F0A8380" w:rsidR="00CA1806" w:rsidRPr="00C21F84" w:rsidRDefault="00CA1806" w:rsidP="00B27178">
      <w:pPr>
        <w:jc w:val="both"/>
        <w:rPr>
          <w:rFonts w:asciiTheme="minorHAnsi" w:eastAsia="Calibri" w:hAnsiTheme="minorHAnsi" w:cstheme="minorHAnsi"/>
          <w:b/>
          <w:bCs/>
          <w:noProof/>
          <w:sz w:val="20"/>
          <w:szCs w:val="20"/>
        </w:rPr>
      </w:pPr>
    </w:p>
    <w:p w14:paraId="7C1907C0" w14:textId="1D2EC938" w:rsidR="00D60D98" w:rsidRPr="00C21F84" w:rsidRDefault="00D60D98" w:rsidP="0029038B">
      <w:pPr>
        <w:spacing w:after="120"/>
        <w:rPr>
          <w:rFonts w:asciiTheme="minorHAnsi" w:eastAsia="Calibri" w:hAnsiTheme="minorHAnsi" w:cstheme="minorHAnsi"/>
          <w:b/>
          <w:bCs/>
          <w:noProof/>
          <w:sz w:val="20"/>
          <w:szCs w:val="20"/>
        </w:rPr>
      </w:pPr>
      <w:r w:rsidRPr="00C21F84">
        <w:rPr>
          <w:rFonts w:asciiTheme="minorHAnsi" w:eastAsia="Calibri" w:hAnsiTheme="minorHAnsi" w:cstheme="minorHAnsi"/>
          <w:b/>
          <w:bCs/>
          <w:noProof/>
          <w:sz w:val="20"/>
          <w:szCs w:val="20"/>
        </w:rPr>
        <w:t>Kontakt pro média:</w:t>
      </w:r>
    </w:p>
    <w:p w14:paraId="459105C8" w14:textId="19390DF7" w:rsidR="00692610" w:rsidRPr="00C21F84" w:rsidRDefault="0029038B" w:rsidP="00C07D5F">
      <w:pPr>
        <w:rPr>
          <w:rFonts w:asciiTheme="minorHAnsi" w:eastAsia="Calibri" w:hAnsiTheme="minorHAnsi" w:cstheme="minorHAnsi"/>
          <w:bCs/>
          <w:noProof/>
          <w:sz w:val="20"/>
          <w:szCs w:val="20"/>
          <w:lang w:bidi="ar-SA"/>
        </w:rPr>
      </w:pPr>
      <w:r>
        <w:rPr>
          <w:rFonts w:asciiTheme="minorHAnsi" w:eastAsia="Calibri" w:hAnsiTheme="minorHAnsi" w:cstheme="minorHAnsi"/>
          <w:bCs/>
          <w:noProof/>
          <w:sz w:val="20"/>
          <w:szCs w:val="20"/>
        </w:rPr>
        <w:t>Lenka Kuželová</w:t>
      </w:r>
    </w:p>
    <w:p w14:paraId="1DBDA364" w14:textId="46DCE93E" w:rsidR="005F2383" w:rsidRPr="00C21F84" w:rsidRDefault="00692610" w:rsidP="00C07D5F">
      <w:pPr>
        <w:pStyle w:val="Bezmezer"/>
        <w:rPr>
          <w:rFonts w:eastAsia="Calibri" w:cstheme="minorHAnsi"/>
          <w:noProof/>
          <w:sz w:val="20"/>
          <w:szCs w:val="20"/>
        </w:rPr>
      </w:pPr>
      <w:r w:rsidRPr="00C21F84">
        <w:rPr>
          <w:rFonts w:eastAsia="Calibri" w:cstheme="minorHAnsi"/>
          <w:noProof/>
          <w:sz w:val="20"/>
          <w:szCs w:val="20"/>
        </w:rPr>
        <w:t xml:space="preserve">Specialistka PR </w:t>
      </w:r>
    </w:p>
    <w:p w14:paraId="2CCB0CE9" w14:textId="3221ACD0" w:rsidR="0029038B" w:rsidRDefault="0029038B" w:rsidP="0029038B">
      <w:pPr>
        <w:pStyle w:val="Bezmezer"/>
        <w:rPr>
          <w:rFonts w:eastAsia="F015TEELig" w:cstheme="minorHAnsi"/>
          <w:sz w:val="21"/>
          <w:szCs w:val="21"/>
        </w:rPr>
      </w:pPr>
      <w:r>
        <w:rPr>
          <w:rFonts w:eastAsia="F015TEELig" w:cstheme="minorHAnsi"/>
          <w:sz w:val="21"/>
          <w:szCs w:val="21"/>
        </w:rPr>
        <w:t>Mobil:</w:t>
      </w:r>
      <w:r w:rsidR="0085766D">
        <w:rPr>
          <w:rFonts w:eastAsia="F015TEELig" w:cstheme="minorHAnsi"/>
          <w:sz w:val="21"/>
          <w:szCs w:val="21"/>
        </w:rPr>
        <w:t xml:space="preserve"> +420 731 537 696</w:t>
      </w:r>
      <w:r w:rsidRPr="00AD79CC">
        <w:rPr>
          <w:rFonts w:eastAsia="F015TEELig" w:cstheme="minorHAnsi"/>
          <w:sz w:val="21"/>
          <w:szCs w:val="21"/>
        </w:rPr>
        <w:t xml:space="preserve">, </w:t>
      </w:r>
    </w:p>
    <w:p w14:paraId="46F484FA" w14:textId="2D9E4BB4" w:rsidR="0029038B" w:rsidRPr="00AD79CC" w:rsidRDefault="0029038B" w:rsidP="0029038B">
      <w:pPr>
        <w:pStyle w:val="Bezmezer"/>
        <w:rPr>
          <w:rFonts w:eastAsia="F015TEELig" w:cstheme="minorHAnsi"/>
          <w:sz w:val="21"/>
          <w:szCs w:val="21"/>
        </w:rPr>
      </w:pPr>
      <w:r w:rsidRPr="00AD79CC">
        <w:rPr>
          <w:rFonts w:eastAsia="F015TEELig" w:cstheme="minorHAnsi"/>
          <w:sz w:val="21"/>
          <w:szCs w:val="21"/>
        </w:rPr>
        <w:t>e-mail:</w:t>
      </w:r>
      <w:r w:rsidRPr="00AD79CC">
        <w:rPr>
          <w:rFonts w:eastAsia="Calibri" w:cstheme="minorHAnsi"/>
          <w:noProof/>
          <w:sz w:val="21"/>
          <w:szCs w:val="21"/>
        </w:rPr>
        <w:t xml:space="preserve"> </w:t>
      </w:r>
      <w:hyperlink r:id="rId31"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025F1B2F" w14:textId="28790D00" w:rsidR="00D60D98" w:rsidRPr="00C21F84" w:rsidRDefault="00D60D98" w:rsidP="0029038B">
      <w:pPr>
        <w:pStyle w:val="Bezmezer"/>
        <w:rPr>
          <w:rFonts w:eastAsia="Calibri" w:cstheme="minorHAnsi"/>
          <w:noProof/>
          <w:sz w:val="20"/>
          <w:szCs w:val="20"/>
        </w:rPr>
      </w:pPr>
    </w:p>
    <w:sectPr w:rsidR="00D60D98" w:rsidRPr="00C21F84"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0AB9B" w14:textId="77777777" w:rsidR="00BF688B" w:rsidRDefault="00BF688B">
      <w:r>
        <w:separator/>
      </w:r>
    </w:p>
  </w:endnote>
  <w:endnote w:type="continuationSeparator" w:id="0">
    <w:p w14:paraId="36FE3F8B" w14:textId="77777777" w:rsidR="00BF688B" w:rsidRDefault="00BF6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015TEELig">
    <w:altName w:val="Times New Roman"/>
    <w:charset w:val="EE"/>
    <w:family w:val="auto"/>
    <w:pitch w:val="variable"/>
    <w:sig w:usb0="00000001" w:usb1="00002048" w:usb2="00000000" w:usb3="00000000" w:csb0="00000083" w:csb1="00000000"/>
  </w:font>
  <w:font w:name="Calibri">
    <w:panose1 w:val="020F0502020204030204"/>
    <w:charset w:val="EE"/>
    <w:family w:val="swiss"/>
    <w:pitch w:val="variable"/>
    <w:sig w:usb0="E4002EFF" w:usb1="C000247B" w:usb2="00000009" w:usb3="00000000" w:csb0="000001FF"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F844E" w14:textId="77777777" w:rsidR="00182E22" w:rsidRDefault="00182E22">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BF688B"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434883"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BF688B"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434883"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BF688B"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434883"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FC255" w14:textId="77777777" w:rsidR="00182E22" w:rsidRDefault="00182E22">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E238F" w14:textId="77777777" w:rsidR="00BF688B" w:rsidRDefault="00BF688B">
      <w:r>
        <w:separator/>
      </w:r>
    </w:p>
  </w:footnote>
  <w:footnote w:type="continuationSeparator" w:id="0">
    <w:p w14:paraId="5A2C8364" w14:textId="77777777" w:rsidR="00BF688B" w:rsidRDefault="00BF68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49F15" w14:textId="77777777" w:rsidR="00182E22" w:rsidRDefault="00182E22">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7443AD" w:rsidRDefault="00D80B6D" w:rsidP="00E95698">
    <w:pPr>
      <w:tabs>
        <w:tab w:val="left" w:pos="8633"/>
      </w:tabs>
      <w:spacing w:before="80"/>
      <w:ind w:firstLine="2880"/>
      <w:rPr>
        <w:rFonts w:asciiTheme="minorHAnsi" w:hAnsiTheme="minorHAnsi" w:cstheme="minorHAnsi"/>
        <w:sz w:val="52"/>
      </w:rPr>
    </w:pPr>
    <w:r w:rsidRPr="007443A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7443A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7443AD">
      <w:rPr>
        <w:rFonts w:asciiTheme="minorHAnsi" w:hAnsiTheme="minorHAnsi" w:cstheme="minorHAnsi"/>
        <w:color w:val="1D1D1B"/>
        <w:sz w:val="48"/>
      </w:rPr>
      <w:t xml:space="preserve">BROKER CONSULTING </w:t>
    </w:r>
    <w:r w:rsidRPr="007443AD">
      <w:rPr>
        <w:rFonts w:asciiTheme="minorHAnsi" w:hAnsiTheme="minorHAnsi" w:cstheme="minorHAnsi"/>
        <w:color w:val="CD1719"/>
        <w:sz w:val="52"/>
      </w:rPr>
      <w:t>INDEX</w:t>
    </w:r>
  </w:p>
  <w:p w14:paraId="2B920E62" w14:textId="77777777" w:rsidR="00D80B6D" w:rsidRDefault="00D80B6D">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5E83C" w14:textId="77777777" w:rsidR="00182E22" w:rsidRDefault="00182E22">
    <w:pPr>
      <w:pStyle w:val="Zhlav"/>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43C085E5" w14:textId="62CDD8CE" w:rsidR="000F4B6C" w:rsidRDefault="00D40C89" w:rsidP="00D40C89">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HYPOTEČNÍCH ÚVĚRŮ &amp; FIXINDEX</w:t>
    </w:r>
  </w:p>
  <w:p w14:paraId="0E033147" w14:textId="77777777" w:rsidR="00D40C89" w:rsidRPr="00D40C89" w:rsidRDefault="00D40C89" w:rsidP="00D40C89">
    <w:pPr>
      <w:spacing w:before="85"/>
      <w:ind w:left="1440" w:firstLine="720"/>
      <w:rPr>
        <w:rFonts w:ascii="Arial" w:hAnsi="Arial" w:cs="Arial"/>
        <w:color w:val="E52713"/>
        <w:sz w:val="28"/>
        <w:szCs w:val="28"/>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7443AD" w:rsidRDefault="009F59EE" w:rsidP="009F59EE">
    <w:pPr>
      <w:pStyle w:val="Nadpis2"/>
      <w:ind w:left="1440" w:firstLine="720"/>
      <w:rPr>
        <w:rFonts w:asciiTheme="minorHAnsi" w:hAnsiTheme="minorHAnsi" w:cstheme="minorHAnsi"/>
      </w:rPr>
    </w:pPr>
    <w:r w:rsidRPr="007443AD">
      <w:rPr>
        <w:rFonts w:asciiTheme="minorHAnsi" w:hAnsiTheme="minorHAnsi" w:cstheme="minorHAnsi"/>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7443AD">
      <w:rPr>
        <w:rFonts w:asciiTheme="minorHAnsi" w:hAnsiTheme="minorHAnsi" w:cstheme="minorHAnsi"/>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7443AD">
      <w:rPr>
        <w:rFonts w:asciiTheme="minorHAnsi" w:hAnsiTheme="minorHAnsi" w:cstheme="minorHAnsi"/>
        <w:color w:val="1D1D1B"/>
      </w:rPr>
      <w:t>BROKER CONSULTING</w:t>
    </w:r>
  </w:p>
  <w:p w14:paraId="3FF270D6" w14:textId="6799F236" w:rsidR="00D40C89" w:rsidRPr="007443AD" w:rsidRDefault="009F59EE" w:rsidP="00D40C89">
    <w:pPr>
      <w:spacing w:before="85"/>
      <w:ind w:left="1440" w:firstLine="720"/>
      <w:rPr>
        <w:rFonts w:asciiTheme="minorHAnsi" w:hAnsiTheme="minorHAnsi" w:cstheme="minorHAnsi"/>
        <w:color w:val="E52713"/>
        <w:sz w:val="28"/>
        <w:szCs w:val="28"/>
      </w:rPr>
    </w:pPr>
    <w:r w:rsidRPr="007443AD">
      <w:rPr>
        <w:rFonts w:asciiTheme="minorHAnsi" w:hAnsiTheme="minorHAnsi" w:cstheme="minorHAnsi"/>
        <w:color w:val="E52713"/>
        <w:sz w:val="28"/>
        <w:szCs w:val="28"/>
      </w:rPr>
      <w:t xml:space="preserve">INDEX </w:t>
    </w:r>
    <w:r w:rsidR="002A1185" w:rsidRPr="007443AD">
      <w:rPr>
        <w:rFonts w:asciiTheme="minorHAnsi" w:hAnsiTheme="minorHAnsi" w:cstheme="minorHAnsi"/>
        <w:color w:val="E52713"/>
        <w:sz w:val="28"/>
        <w:szCs w:val="28"/>
      </w:rPr>
      <w:t>HYPOTEČNÍCH ÚVĚRŮ</w:t>
    </w:r>
    <w:r w:rsidR="00D40C89" w:rsidRPr="007443AD">
      <w:rPr>
        <w:rFonts w:asciiTheme="minorHAnsi" w:hAnsiTheme="minorHAnsi" w:cstheme="minorHAnsi"/>
        <w:color w:val="E52713"/>
        <w:sz w:val="28"/>
        <w:szCs w:val="28"/>
      </w:rPr>
      <w:t xml:space="preserve"> &amp; FIXINDEX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44BEA"/>
    <w:multiLevelType w:val="hybridMultilevel"/>
    <w:tmpl w:val="1A8CC4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823025E"/>
    <w:multiLevelType w:val="hybridMultilevel"/>
    <w:tmpl w:val="ECCE2D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FE52180"/>
    <w:multiLevelType w:val="hybridMultilevel"/>
    <w:tmpl w:val="CA92D9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48631C5"/>
    <w:multiLevelType w:val="hybridMultilevel"/>
    <w:tmpl w:val="37368C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5" w15:restartNumberingAfterBreak="0">
    <w:nsid w:val="3A62021C"/>
    <w:multiLevelType w:val="hybridMultilevel"/>
    <w:tmpl w:val="40EC06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45325D01"/>
    <w:multiLevelType w:val="hybridMultilevel"/>
    <w:tmpl w:val="20B04784"/>
    <w:lvl w:ilvl="0" w:tplc="67E89344">
      <w:start w:val="6"/>
      <w:numFmt w:val="bullet"/>
      <w:lvlText w:val="-"/>
      <w:lvlJc w:val="left"/>
      <w:pPr>
        <w:ind w:left="720" w:hanging="360"/>
      </w:pPr>
      <w:rPr>
        <w:rFonts w:ascii="Arial" w:eastAsia="F015TEELig"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5D60C79"/>
    <w:multiLevelType w:val="hybridMultilevel"/>
    <w:tmpl w:val="E6EECF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914760E"/>
    <w:multiLevelType w:val="hybridMultilevel"/>
    <w:tmpl w:val="7B56EE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9E675A0"/>
    <w:multiLevelType w:val="hybridMultilevel"/>
    <w:tmpl w:val="B462C0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2B60605"/>
    <w:multiLevelType w:val="hybridMultilevel"/>
    <w:tmpl w:val="482ABF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5E63C89"/>
    <w:multiLevelType w:val="hybridMultilevel"/>
    <w:tmpl w:val="03AAFA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2"/>
  </w:num>
  <w:num w:numId="4">
    <w:abstractNumId w:val="9"/>
  </w:num>
  <w:num w:numId="5">
    <w:abstractNumId w:val="10"/>
  </w:num>
  <w:num w:numId="6">
    <w:abstractNumId w:val="6"/>
  </w:num>
  <w:num w:numId="7">
    <w:abstractNumId w:val="12"/>
  </w:num>
  <w:num w:numId="8">
    <w:abstractNumId w:val="3"/>
  </w:num>
  <w:num w:numId="9">
    <w:abstractNumId w:val="8"/>
  </w:num>
  <w:num w:numId="10">
    <w:abstractNumId w:val="5"/>
  </w:num>
  <w:num w:numId="11">
    <w:abstractNumId w:val="11"/>
  </w:num>
  <w:num w:numId="12">
    <w:abstractNumId w:val="8"/>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306F"/>
    <w:rsid w:val="00004919"/>
    <w:rsid w:val="00005B61"/>
    <w:rsid w:val="00010EBF"/>
    <w:rsid w:val="00011DF6"/>
    <w:rsid w:val="00014FB5"/>
    <w:rsid w:val="0001597B"/>
    <w:rsid w:val="000164D5"/>
    <w:rsid w:val="00020EC7"/>
    <w:rsid w:val="0002230E"/>
    <w:rsid w:val="000226F3"/>
    <w:rsid w:val="000262B1"/>
    <w:rsid w:val="00026F23"/>
    <w:rsid w:val="000277AC"/>
    <w:rsid w:val="00027C83"/>
    <w:rsid w:val="0003028F"/>
    <w:rsid w:val="00030E97"/>
    <w:rsid w:val="00032A79"/>
    <w:rsid w:val="00032D94"/>
    <w:rsid w:val="0003332D"/>
    <w:rsid w:val="00033FD7"/>
    <w:rsid w:val="000374D7"/>
    <w:rsid w:val="00037DAF"/>
    <w:rsid w:val="000400E4"/>
    <w:rsid w:val="000412FA"/>
    <w:rsid w:val="0004477D"/>
    <w:rsid w:val="0004487D"/>
    <w:rsid w:val="00044EC5"/>
    <w:rsid w:val="00045D86"/>
    <w:rsid w:val="00046AF6"/>
    <w:rsid w:val="0004776E"/>
    <w:rsid w:val="0005085B"/>
    <w:rsid w:val="0005423A"/>
    <w:rsid w:val="00057F54"/>
    <w:rsid w:val="000611E3"/>
    <w:rsid w:val="00061BF6"/>
    <w:rsid w:val="00070652"/>
    <w:rsid w:val="00074B2B"/>
    <w:rsid w:val="000766E7"/>
    <w:rsid w:val="00080E7A"/>
    <w:rsid w:val="00080EB3"/>
    <w:rsid w:val="00081616"/>
    <w:rsid w:val="000823D3"/>
    <w:rsid w:val="000823D6"/>
    <w:rsid w:val="00082D29"/>
    <w:rsid w:val="0008331F"/>
    <w:rsid w:val="000845CA"/>
    <w:rsid w:val="000851AC"/>
    <w:rsid w:val="000853D4"/>
    <w:rsid w:val="00087894"/>
    <w:rsid w:val="000878FB"/>
    <w:rsid w:val="0009257D"/>
    <w:rsid w:val="00092AEE"/>
    <w:rsid w:val="00092BB7"/>
    <w:rsid w:val="00092C6B"/>
    <w:rsid w:val="00094C16"/>
    <w:rsid w:val="00096425"/>
    <w:rsid w:val="00096ECA"/>
    <w:rsid w:val="0009776B"/>
    <w:rsid w:val="000A080B"/>
    <w:rsid w:val="000A3E94"/>
    <w:rsid w:val="000A6CF9"/>
    <w:rsid w:val="000B11A5"/>
    <w:rsid w:val="000B187C"/>
    <w:rsid w:val="000B6DD9"/>
    <w:rsid w:val="000B6E1B"/>
    <w:rsid w:val="000C181E"/>
    <w:rsid w:val="000C2DA6"/>
    <w:rsid w:val="000C5541"/>
    <w:rsid w:val="000C6D26"/>
    <w:rsid w:val="000C7564"/>
    <w:rsid w:val="000D0013"/>
    <w:rsid w:val="000D0B6F"/>
    <w:rsid w:val="000D14E2"/>
    <w:rsid w:val="000D17B9"/>
    <w:rsid w:val="000D2CFC"/>
    <w:rsid w:val="000D4AFB"/>
    <w:rsid w:val="000D6DDC"/>
    <w:rsid w:val="000D6E9B"/>
    <w:rsid w:val="000D7158"/>
    <w:rsid w:val="000E01C2"/>
    <w:rsid w:val="000E0639"/>
    <w:rsid w:val="000E19B2"/>
    <w:rsid w:val="000E1C76"/>
    <w:rsid w:val="000E3D86"/>
    <w:rsid w:val="000E568C"/>
    <w:rsid w:val="000E5D32"/>
    <w:rsid w:val="000E6E14"/>
    <w:rsid w:val="000F4B6C"/>
    <w:rsid w:val="000F50BC"/>
    <w:rsid w:val="000F6249"/>
    <w:rsid w:val="000F6EBE"/>
    <w:rsid w:val="00101CEC"/>
    <w:rsid w:val="00103109"/>
    <w:rsid w:val="00105248"/>
    <w:rsid w:val="00106E26"/>
    <w:rsid w:val="001115A2"/>
    <w:rsid w:val="001117DE"/>
    <w:rsid w:val="00111C28"/>
    <w:rsid w:val="00113603"/>
    <w:rsid w:val="001153E3"/>
    <w:rsid w:val="00117AE4"/>
    <w:rsid w:val="00120113"/>
    <w:rsid w:val="001214E7"/>
    <w:rsid w:val="00122208"/>
    <w:rsid w:val="00122CEB"/>
    <w:rsid w:val="00123136"/>
    <w:rsid w:val="0012361F"/>
    <w:rsid w:val="00125B97"/>
    <w:rsid w:val="0012657A"/>
    <w:rsid w:val="00126BEC"/>
    <w:rsid w:val="00127234"/>
    <w:rsid w:val="0013044E"/>
    <w:rsid w:val="00131A69"/>
    <w:rsid w:val="001327CE"/>
    <w:rsid w:val="00132E53"/>
    <w:rsid w:val="00136115"/>
    <w:rsid w:val="00136D8D"/>
    <w:rsid w:val="00137003"/>
    <w:rsid w:val="0013717C"/>
    <w:rsid w:val="00140987"/>
    <w:rsid w:val="001421B4"/>
    <w:rsid w:val="00145622"/>
    <w:rsid w:val="001516CA"/>
    <w:rsid w:val="001524FB"/>
    <w:rsid w:val="00154308"/>
    <w:rsid w:val="00154AC2"/>
    <w:rsid w:val="0015559F"/>
    <w:rsid w:val="00156082"/>
    <w:rsid w:val="00156C9D"/>
    <w:rsid w:val="00160686"/>
    <w:rsid w:val="00160E1C"/>
    <w:rsid w:val="00161352"/>
    <w:rsid w:val="00161830"/>
    <w:rsid w:val="001620E3"/>
    <w:rsid w:val="00162553"/>
    <w:rsid w:val="00162D8E"/>
    <w:rsid w:val="00164598"/>
    <w:rsid w:val="0016482C"/>
    <w:rsid w:val="0016556A"/>
    <w:rsid w:val="001675AF"/>
    <w:rsid w:val="0016771F"/>
    <w:rsid w:val="0017296F"/>
    <w:rsid w:val="001734B4"/>
    <w:rsid w:val="00174317"/>
    <w:rsid w:val="00175545"/>
    <w:rsid w:val="001767A5"/>
    <w:rsid w:val="00176E93"/>
    <w:rsid w:val="00177C18"/>
    <w:rsid w:val="00182A92"/>
    <w:rsid w:val="00182E22"/>
    <w:rsid w:val="00187310"/>
    <w:rsid w:val="00187A96"/>
    <w:rsid w:val="00192716"/>
    <w:rsid w:val="00194831"/>
    <w:rsid w:val="00194B5D"/>
    <w:rsid w:val="001A0A5C"/>
    <w:rsid w:val="001A10BF"/>
    <w:rsid w:val="001A1A56"/>
    <w:rsid w:val="001A2D08"/>
    <w:rsid w:val="001A54DD"/>
    <w:rsid w:val="001A5AC8"/>
    <w:rsid w:val="001A61A5"/>
    <w:rsid w:val="001A7D2F"/>
    <w:rsid w:val="001B1E41"/>
    <w:rsid w:val="001B2A07"/>
    <w:rsid w:val="001B2C03"/>
    <w:rsid w:val="001B3B31"/>
    <w:rsid w:val="001B4F4B"/>
    <w:rsid w:val="001B501B"/>
    <w:rsid w:val="001B58E7"/>
    <w:rsid w:val="001B6694"/>
    <w:rsid w:val="001B6D7A"/>
    <w:rsid w:val="001B7936"/>
    <w:rsid w:val="001C22FE"/>
    <w:rsid w:val="001D015A"/>
    <w:rsid w:val="001D30C7"/>
    <w:rsid w:val="001D33FA"/>
    <w:rsid w:val="001D36F0"/>
    <w:rsid w:val="001D3DFC"/>
    <w:rsid w:val="001D42DB"/>
    <w:rsid w:val="001D45F5"/>
    <w:rsid w:val="001D5EFC"/>
    <w:rsid w:val="001E02C2"/>
    <w:rsid w:val="001E0A89"/>
    <w:rsid w:val="001E13C0"/>
    <w:rsid w:val="001E1597"/>
    <w:rsid w:val="001E4209"/>
    <w:rsid w:val="001F1D14"/>
    <w:rsid w:val="001F2399"/>
    <w:rsid w:val="001F4D74"/>
    <w:rsid w:val="001F7194"/>
    <w:rsid w:val="001F71BA"/>
    <w:rsid w:val="001F7577"/>
    <w:rsid w:val="002019F3"/>
    <w:rsid w:val="0020207A"/>
    <w:rsid w:val="00202F22"/>
    <w:rsid w:val="00203BD4"/>
    <w:rsid w:val="002046F4"/>
    <w:rsid w:val="00206E92"/>
    <w:rsid w:val="00207D22"/>
    <w:rsid w:val="00212C2E"/>
    <w:rsid w:val="0021395D"/>
    <w:rsid w:val="002141AF"/>
    <w:rsid w:val="00216B81"/>
    <w:rsid w:val="00216F2E"/>
    <w:rsid w:val="00217E92"/>
    <w:rsid w:val="00220529"/>
    <w:rsid w:val="002220C9"/>
    <w:rsid w:val="00223FFD"/>
    <w:rsid w:val="00224032"/>
    <w:rsid w:val="00224AF1"/>
    <w:rsid w:val="00224C0C"/>
    <w:rsid w:val="00224E6E"/>
    <w:rsid w:val="00225CEC"/>
    <w:rsid w:val="00225D70"/>
    <w:rsid w:val="00232B0D"/>
    <w:rsid w:val="00233BF3"/>
    <w:rsid w:val="00233E40"/>
    <w:rsid w:val="002368F3"/>
    <w:rsid w:val="00236A37"/>
    <w:rsid w:val="00240576"/>
    <w:rsid w:val="00241313"/>
    <w:rsid w:val="00241AA2"/>
    <w:rsid w:val="00241DC1"/>
    <w:rsid w:val="0024212A"/>
    <w:rsid w:val="00242669"/>
    <w:rsid w:val="00243384"/>
    <w:rsid w:val="002447CA"/>
    <w:rsid w:val="0025080B"/>
    <w:rsid w:val="0025183C"/>
    <w:rsid w:val="00251F32"/>
    <w:rsid w:val="0025264B"/>
    <w:rsid w:val="00252DB1"/>
    <w:rsid w:val="00253ACF"/>
    <w:rsid w:val="00253C9E"/>
    <w:rsid w:val="0025428A"/>
    <w:rsid w:val="002555D2"/>
    <w:rsid w:val="00257294"/>
    <w:rsid w:val="00257978"/>
    <w:rsid w:val="002619DC"/>
    <w:rsid w:val="00263E2B"/>
    <w:rsid w:val="00266D10"/>
    <w:rsid w:val="002676E8"/>
    <w:rsid w:val="00267705"/>
    <w:rsid w:val="00270B59"/>
    <w:rsid w:val="00270DB3"/>
    <w:rsid w:val="002717C9"/>
    <w:rsid w:val="0027235F"/>
    <w:rsid w:val="00274782"/>
    <w:rsid w:val="0027691A"/>
    <w:rsid w:val="00277D20"/>
    <w:rsid w:val="00280730"/>
    <w:rsid w:val="0028081F"/>
    <w:rsid w:val="00281C61"/>
    <w:rsid w:val="00281DB8"/>
    <w:rsid w:val="00285767"/>
    <w:rsid w:val="0028607C"/>
    <w:rsid w:val="002863CE"/>
    <w:rsid w:val="0029038B"/>
    <w:rsid w:val="0029566F"/>
    <w:rsid w:val="002961B5"/>
    <w:rsid w:val="00296B24"/>
    <w:rsid w:val="002A1185"/>
    <w:rsid w:val="002A208F"/>
    <w:rsid w:val="002A498A"/>
    <w:rsid w:val="002A61B7"/>
    <w:rsid w:val="002B01AF"/>
    <w:rsid w:val="002B094E"/>
    <w:rsid w:val="002B1E20"/>
    <w:rsid w:val="002B2A94"/>
    <w:rsid w:val="002B2C8C"/>
    <w:rsid w:val="002B3C6D"/>
    <w:rsid w:val="002B4265"/>
    <w:rsid w:val="002B4919"/>
    <w:rsid w:val="002B4B98"/>
    <w:rsid w:val="002B6F4E"/>
    <w:rsid w:val="002B7650"/>
    <w:rsid w:val="002C06E2"/>
    <w:rsid w:val="002C0E94"/>
    <w:rsid w:val="002C26EB"/>
    <w:rsid w:val="002C6C42"/>
    <w:rsid w:val="002C7D70"/>
    <w:rsid w:val="002D179B"/>
    <w:rsid w:val="002D23B9"/>
    <w:rsid w:val="002D3534"/>
    <w:rsid w:val="002D49F7"/>
    <w:rsid w:val="002D63BF"/>
    <w:rsid w:val="002D64A2"/>
    <w:rsid w:val="002E0400"/>
    <w:rsid w:val="002E0B58"/>
    <w:rsid w:val="002E103D"/>
    <w:rsid w:val="002E1A01"/>
    <w:rsid w:val="002E1A0D"/>
    <w:rsid w:val="002E6173"/>
    <w:rsid w:val="002E6DB6"/>
    <w:rsid w:val="002F002B"/>
    <w:rsid w:val="002F0163"/>
    <w:rsid w:val="002F06AC"/>
    <w:rsid w:val="002F09BA"/>
    <w:rsid w:val="002F46B0"/>
    <w:rsid w:val="002F485A"/>
    <w:rsid w:val="002F5550"/>
    <w:rsid w:val="002F62C4"/>
    <w:rsid w:val="002F7818"/>
    <w:rsid w:val="002F7EC2"/>
    <w:rsid w:val="003006A5"/>
    <w:rsid w:val="003015E0"/>
    <w:rsid w:val="0030207B"/>
    <w:rsid w:val="00303778"/>
    <w:rsid w:val="00303A6E"/>
    <w:rsid w:val="003046FE"/>
    <w:rsid w:val="0030751A"/>
    <w:rsid w:val="00307CF8"/>
    <w:rsid w:val="00307E95"/>
    <w:rsid w:val="00307FEB"/>
    <w:rsid w:val="003128F8"/>
    <w:rsid w:val="00313D42"/>
    <w:rsid w:val="00322E5E"/>
    <w:rsid w:val="00323B17"/>
    <w:rsid w:val="003243A6"/>
    <w:rsid w:val="003247B0"/>
    <w:rsid w:val="0032734F"/>
    <w:rsid w:val="00330918"/>
    <w:rsid w:val="003310D8"/>
    <w:rsid w:val="0033296E"/>
    <w:rsid w:val="003337A9"/>
    <w:rsid w:val="0033431C"/>
    <w:rsid w:val="0033488F"/>
    <w:rsid w:val="00340E70"/>
    <w:rsid w:val="00342F85"/>
    <w:rsid w:val="00347557"/>
    <w:rsid w:val="00352435"/>
    <w:rsid w:val="003529EF"/>
    <w:rsid w:val="00355366"/>
    <w:rsid w:val="003555BB"/>
    <w:rsid w:val="003623C4"/>
    <w:rsid w:val="003629B6"/>
    <w:rsid w:val="00362BFF"/>
    <w:rsid w:val="003640C8"/>
    <w:rsid w:val="00364C11"/>
    <w:rsid w:val="00371225"/>
    <w:rsid w:val="003721AD"/>
    <w:rsid w:val="00376086"/>
    <w:rsid w:val="003761D9"/>
    <w:rsid w:val="00380608"/>
    <w:rsid w:val="00380E0A"/>
    <w:rsid w:val="0038171D"/>
    <w:rsid w:val="00382546"/>
    <w:rsid w:val="00382EAD"/>
    <w:rsid w:val="00383DC5"/>
    <w:rsid w:val="00385EED"/>
    <w:rsid w:val="00386A43"/>
    <w:rsid w:val="00390B58"/>
    <w:rsid w:val="00391166"/>
    <w:rsid w:val="00394851"/>
    <w:rsid w:val="00395F41"/>
    <w:rsid w:val="003967DF"/>
    <w:rsid w:val="003A0F06"/>
    <w:rsid w:val="003A156E"/>
    <w:rsid w:val="003A291C"/>
    <w:rsid w:val="003A3DE2"/>
    <w:rsid w:val="003A4860"/>
    <w:rsid w:val="003A4D47"/>
    <w:rsid w:val="003A6435"/>
    <w:rsid w:val="003A7D32"/>
    <w:rsid w:val="003B0E4F"/>
    <w:rsid w:val="003B1966"/>
    <w:rsid w:val="003B221E"/>
    <w:rsid w:val="003B5B25"/>
    <w:rsid w:val="003B60CA"/>
    <w:rsid w:val="003B7BDD"/>
    <w:rsid w:val="003C0CBE"/>
    <w:rsid w:val="003C1344"/>
    <w:rsid w:val="003C3421"/>
    <w:rsid w:val="003C5D0A"/>
    <w:rsid w:val="003D1987"/>
    <w:rsid w:val="003D3431"/>
    <w:rsid w:val="003D3AE8"/>
    <w:rsid w:val="003D69A7"/>
    <w:rsid w:val="003E1308"/>
    <w:rsid w:val="003F07E8"/>
    <w:rsid w:val="003F472F"/>
    <w:rsid w:val="003F79EC"/>
    <w:rsid w:val="00400129"/>
    <w:rsid w:val="004005D9"/>
    <w:rsid w:val="00400A5A"/>
    <w:rsid w:val="00407AE9"/>
    <w:rsid w:val="004120C7"/>
    <w:rsid w:val="0041257F"/>
    <w:rsid w:val="0042193A"/>
    <w:rsid w:val="0042205E"/>
    <w:rsid w:val="004267DE"/>
    <w:rsid w:val="00430ABD"/>
    <w:rsid w:val="00431631"/>
    <w:rsid w:val="00432FD5"/>
    <w:rsid w:val="00434883"/>
    <w:rsid w:val="00434C5D"/>
    <w:rsid w:val="004350F6"/>
    <w:rsid w:val="00435115"/>
    <w:rsid w:val="00441028"/>
    <w:rsid w:val="004426E8"/>
    <w:rsid w:val="00444432"/>
    <w:rsid w:val="00445D0A"/>
    <w:rsid w:val="00450DBC"/>
    <w:rsid w:val="00451896"/>
    <w:rsid w:val="00451B7B"/>
    <w:rsid w:val="0045292A"/>
    <w:rsid w:val="004540ED"/>
    <w:rsid w:val="00454843"/>
    <w:rsid w:val="004564BC"/>
    <w:rsid w:val="004565C7"/>
    <w:rsid w:val="00460176"/>
    <w:rsid w:val="00461D55"/>
    <w:rsid w:val="004627B9"/>
    <w:rsid w:val="00464BF1"/>
    <w:rsid w:val="00465E53"/>
    <w:rsid w:val="00466329"/>
    <w:rsid w:val="00473219"/>
    <w:rsid w:val="004767D2"/>
    <w:rsid w:val="00477DCC"/>
    <w:rsid w:val="00477FFA"/>
    <w:rsid w:val="004813B2"/>
    <w:rsid w:val="00481D66"/>
    <w:rsid w:val="00483579"/>
    <w:rsid w:val="004835F4"/>
    <w:rsid w:val="004836B2"/>
    <w:rsid w:val="00487B6B"/>
    <w:rsid w:val="004919CC"/>
    <w:rsid w:val="004928CB"/>
    <w:rsid w:val="00492941"/>
    <w:rsid w:val="00495AFF"/>
    <w:rsid w:val="00495E14"/>
    <w:rsid w:val="00496183"/>
    <w:rsid w:val="004975D0"/>
    <w:rsid w:val="004A08FC"/>
    <w:rsid w:val="004A3439"/>
    <w:rsid w:val="004B1364"/>
    <w:rsid w:val="004B2C5B"/>
    <w:rsid w:val="004B5104"/>
    <w:rsid w:val="004B5797"/>
    <w:rsid w:val="004B5B94"/>
    <w:rsid w:val="004B6304"/>
    <w:rsid w:val="004B64B3"/>
    <w:rsid w:val="004B6AF3"/>
    <w:rsid w:val="004C0179"/>
    <w:rsid w:val="004C0CEF"/>
    <w:rsid w:val="004C0D41"/>
    <w:rsid w:val="004C10F1"/>
    <w:rsid w:val="004C3F71"/>
    <w:rsid w:val="004C61F5"/>
    <w:rsid w:val="004D14C1"/>
    <w:rsid w:val="004D2C46"/>
    <w:rsid w:val="004D3578"/>
    <w:rsid w:val="004D4D9F"/>
    <w:rsid w:val="004D6BA6"/>
    <w:rsid w:val="004E13F9"/>
    <w:rsid w:val="004E2983"/>
    <w:rsid w:val="004E2ED7"/>
    <w:rsid w:val="004E3BA4"/>
    <w:rsid w:val="004E4E81"/>
    <w:rsid w:val="004E4E9F"/>
    <w:rsid w:val="004E5FED"/>
    <w:rsid w:val="004E67DB"/>
    <w:rsid w:val="004F1934"/>
    <w:rsid w:val="004F1E84"/>
    <w:rsid w:val="00500925"/>
    <w:rsid w:val="005042D1"/>
    <w:rsid w:val="00506098"/>
    <w:rsid w:val="00506161"/>
    <w:rsid w:val="0050659B"/>
    <w:rsid w:val="00506889"/>
    <w:rsid w:val="00510050"/>
    <w:rsid w:val="00512D6B"/>
    <w:rsid w:val="00512FF6"/>
    <w:rsid w:val="005153F7"/>
    <w:rsid w:val="0052216B"/>
    <w:rsid w:val="005224C1"/>
    <w:rsid w:val="0052338B"/>
    <w:rsid w:val="00523D4C"/>
    <w:rsid w:val="00524713"/>
    <w:rsid w:val="005275F9"/>
    <w:rsid w:val="00530F68"/>
    <w:rsid w:val="0053153F"/>
    <w:rsid w:val="00532F2D"/>
    <w:rsid w:val="005339D0"/>
    <w:rsid w:val="00534E75"/>
    <w:rsid w:val="00536954"/>
    <w:rsid w:val="005379BC"/>
    <w:rsid w:val="00540606"/>
    <w:rsid w:val="00541870"/>
    <w:rsid w:val="0054297E"/>
    <w:rsid w:val="005436EC"/>
    <w:rsid w:val="005447C5"/>
    <w:rsid w:val="00544A37"/>
    <w:rsid w:val="005455B0"/>
    <w:rsid w:val="005504A7"/>
    <w:rsid w:val="0055263D"/>
    <w:rsid w:val="00552E2B"/>
    <w:rsid w:val="0055303C"/>
    <w:rsid w:val="00553369"/>
    <w:rsid w:val="00553731"/>
    <w:rsid w:val="00554574"/>
    <w:rsid w:val="0055553F"/>
    <w:rsid w:val="0056150F"/>
    <w:rsid w:val="005678E0"/>
    <w:rsid w:val="005729F4"/>
    <w:rsid w:val="00572E82"/>
    <w:rsid w:val="005754C3"/>
    <w:rsid w:val="00575C7F"/>
    <w:rsid w:val="00576F58"/>
    <w:rsid w:val="00576F5E"/>
    <w:rsid w:val="005773B2"/>
    <w:rsid w:val="00577D19"/>
    <w:rsid w:val="0058062A"/>
    <w:rsid w:val="005834AE"/>
    <w:rsid w:val="00585920"/>
    <w:rsid w:val="0058666A"/>
    <w:rsid w:val="00586BEF"/>
    <w:rsid w:val="005875EC"/>
    <w:rsid w:val="00590434"/>
    <w:rsid w:val="00594050"/>
    <w:rsid w:val="0059432A"/>
    <w:rsid w:val="0059452A"/>
    <w:rsid w:val="005956E9"/>
    <w:rsid w:val="005963CF"/>
    <w:rsid w:val="005A0ABD"/>
    <w:rsid w:val="005A163F"/>
    <w:rsid w:val="005A2637"/>
    <w:rsid w:val="005A37E5"/>
    <w:rsid w:val="005A4497"/>
    <w:rsid w:val="005A5BBA"/>
    <w:rsid w:val="005A5F08"/>
    <w:rsid w:val="005A60B4"/>
    <w:rsid w:val="005A7A64"/>
    <w:rsid w:val="005B0719"/>
    <w:rsid w:val="005B0E8E"/>
    <w:rsid w:val="005B2E22"/>
    <w:rsid w:val="005B31D7"/>
    <w:rsid w:val="005B485C"/>
    <w:rsid w:val="005B4E77"/>
    <w:rsid w:val="005B5427"/>
    <w:rsid w:val="005B56F7"/>
    <w:rsid w:val="005B5CA8"/>
    <w:rsid w:val="005B680B"/>
    <w:rsid w:val="005B6889"/>
    <w:rsid w:val="005B68FA"/>
    <w:rsid w:val="005B7492"/>
    <w:rsid w:val="005B7E46"/>
    <w:rsid w:val="005C0C18"/>
    <w:rsid w:val="005C0D63"/>
    <w:rsid w:val="005C41F6"/>
    <w:rsid w:val="005C48C1"/>
    <w:rsid w:val="005C7059"/>
    <w:rsid w:val="005D189A"/>
    <w:rsid w:val="005D4DA7"/>
    <w:rsid w:val="005D585C"/>
    <w:rsid w:val="005D6963"/>
    <w:rsid w:val="005E3212"/>
    <w:rsid w:val="005E45D8"/>
    <w:rsid w:val="005E4855"/>
    <w:rsid w:val="005E7AEF"/>
    <w:rsid w:val="005F18D4"/>
    <w:rsid w:val="005F2383"/>
    <w:rsid w:val="005F44A0"/>
    <w:rsid w:val="005F48A6"/>
    <w:rsid w:val="005F57A1"/>
    <w:rsid w:val="005F65A1"/>
    <w:rsid w:val="005F7741"/>
    <w:rsid w:val="00600788"/>
    <w:rsid w:val="00600BA3"/>
    <w:rsid w:val="00605C5D"/>
    <w:rsid w:val="006106F0"/>
    <w:rsid w:val="006110E7"/>
    <w:rsid w:val="00612DC2"/>
    <w:rsid w:val="006135FD"/>
    <w:rsid w:val="00613A8D"/>
    <w:rsid w:val="006212F9"/>
    <w:rsid w:val="00622494"/>
    <w:rsid w:val="00624A82"/>
    <w:rsid w:val="0062747C"/>
    <w:rsid w:val="0062751F"/>
    <w:rsid w:val="0063253B"/>
    <w:rsid w:val="00633136"/>
    <w:rsid w:val="00636E70"/>
    <w:rsid w:val="0064020E"/>
    <w:rsid w:val="006410E2"/>
    <w:rsid w:val="0064160C"/>
    <w:rsid w:val="0064209A"/>
    <w:rsid w:val="006429DE"/>
    <w:rsid w:val="00645BA9"/>
    <w:rsid w:val="00646B73"/>
    <w:rsid w:val="006501CB"/>
    <w:rsid w:val="00650A3C"/>
    <w:rsid w:val="00651415"/>
    <w:rsid w:val="00651B66"/>
    <w:rsid w:val="00651B79"/>
    <w:rsid w:val="00652695"/>
    <w:rsid w:val="006529D7"/>
    <w:rsid w:val="00652DCE"/>
    <w:rsid w:val="006545F8"/>
    <w:rsid w:val="00654F8C"/>
    <w:rsid w:val="00656312"/>
    <w:rsid w:val="0066135D"/>
    <w:rsid w:val="00661A5F"/>
    <w:rsid w:val="00663C36"/>
    <w:rsid w:val="00667012"/>
    <w:rsid w:val="00673DDB"/>
    <w:rsid w:val="00675F3B"/>
    <w:rsid w:val="0067671B"/>
    <w:rsid w:val="006768F0"/>
    <w:rsid w:val="00676C10"/>
    <w:rsid w:val="00677078"/>
    <w:rsid w:val="006775B7"/>
    <w:rsid w:val="00677C07"/>
    <w:rsid w:val="006831FB"/>
    <w:rsid w:val="00684F62"/>
    <w:rsid w:val="0068617E"/>
    <w:rsid w:val="00686E01"/>
    <w:rsid w:val="00687107"/>
    <w:rsid w:val="00692610"/>
    <w:rsid w:val="006939E4"/>
    <w:rsid w:val="00693A07"/>
    <w:rsid w:val="00695DE8"/>
    <w:rsid w:val="006978DE"/>
    <w:rsid w:val="00697A40"/>
    <w:rsid w:val="00697F28"/>
    <w:rsid w:val="006A0BD0"/>
    <w:rsid w:val="006A150C"/>
    <w:rsid w:val="006A2F6C"/>
    <w:rsid w:val="006A3BE2"/>
    <w:rsid w:val="006A6601"/>
    <w:rsid w:val="006B0A42"/>
    <w:rsid w:val="006B19DF"/>
    <w:rsid w:val="006B2EA9"/>
    <w:rsid w:val="006B3A13"/>
    <w:rsid w:val="006B3CB5"/>
    <w:rsid w:val="006C0A70"/>
    <w:rsid w:val="006C2008"/>
    <w:rsid w:val="006C2696"/>
    <w:rsid w:val="006C4076"/>
    <w:rsid w:val="006C4193"/>
    <w:rsid w:val="006C61E8"/>
    <w:rsid w:val="006D01AF"/>
    <w:rsid w:val="006D1884"/>
    <w:rsid w:val="006D1E56"/>
    <w:rsid w:val="006D65EC"/>
    <w:rsid w:val="006E074A"/>
    <w:rsid w:val="006E1C67"/>
    <w:rsid w:val="006E26DC"/>
    <w:rsid w:val="006E52B8"/>
    <w:rsid w:val="006E675F"/>
    <w:rsid w:val="006E68CA"/>
    <w:rsid w:val="006F32FB"/>
    <w:rsid w:val="006F3E66"/>
    <w:rsid w:val="00700FD6"/>
    <w:rsid w:val="00705D83"/>
    <w:rsid w:val="0071201C"/>
    <w:rsid w:val="00712177"/>
    <w:rsid w:val="00713CD7"/>
    <w:rsid w:val="00714847"/>
    <w:rsid w:val="00717F9B"/>
    <w:rsid w:val="0072112F"/>
    <w:rsid w:val="007253C3"/>
    <w:rsid w:val="00730047"/>
    <w:rsid w:val="0073009C"/>
    <w:rsid w:val="007316BB"/>
    <w:rsid w:val="00731B6F"/>
    <w:rsid w:val="00731E05"/>
    <w:rsid w:val="00736FB9"/>
    <w:rsid w:val="00737562"/>
    <w:rsid w:val="007424FC"/>
    <w:rsid w:val="007443AD"/>
    <w:rsid w:val="007540ED"/>
    <w:rsid w:val="00754B1D"/>
    <w:rsid w:val="00756671"/>
    <w:rsid w:val="00762254"/>
    <w:rsid w:val="0076333E"/>
    <w:rsid w:val="00764BFF"/>
    <w:rsid w:val="00767284"/>
    <w:rsid w:val="00771B91"/>
    <w:rsid w:val="007737E3"/>
    <w:rsid w:val="007748DA"/>
    <w:rsid w:val="0077685A"/>
    <w:rsid w:val="00776A31"/>
    <w:rsid w:val="0078013F"/>
    <w:rsid w:val="007802A4"/>
    <w:rsid w:val="007824F4"/>
    <w:rsid w:val="0078345F"/>
    <w:rsid w:val="00783AB1"/>
    <w:rsid w:val="00784109"/>
    <w:rsid w:val="00785FC5"/>
    <w:rsid w:val="0078631B"/>
    <w:rsid w:val="00786A1E"/>
    <w:rsid w:val="0078760B"/>
    <w:rsid w:val="00791A2B"/>
    <w:rsid w:val="00792EE9"/>
    <w:rsid w:val="00794BD8"/>
    <w:rsid w:val="00795445"/>
    <w:rsid w:val="0079572A"/>
    <w:rsid w:val="00795D79"/>
    <w:rsid w:val="0079732B"/>
    <w:rsid w:val="007A1121"/>
    <w:rsid w:val="007A1122"/>
    <w:rsid w:val="007A15A6"/>
    <w:rsid w:val="007A2531"/>
    <w:rsid w:val="007A278E"/>
    <w:rsid w:val="007B0955"/>
    <w:rsid w:val="007B11F2"/>
    <w:rsid w:val="007B1851"/>
    <w:rsid w:val="007B232E"/>
    <w:rsid w:val="007B358E"/>
    <w:rsid w:val="007B3C38"/>
    <w:rsid w:val="007B5E2F"/>
    <w:rsid w:val="007B6635"/>
    <w:rsid w:val="007C0099"/>
    <w:rsid w:val="007C37DF"/>
    <w:rsid w:val="007C6288"/>
    <w:rsid w:val="007C6507"/>
    <w:rsid w:val="007D05D4"/>
    <w:rsid w:val="007D06A5"/>
    <w:rsid w:val="007D085C"/>
    <w:rsid w:val="007D1100"/>
    <w:rsid w:val="007D2280"/>
    <w:rsid w:val="007D3EF7"/>
    <w:rsid w:val="007D6B5F"/>
    <w:rsid w:val="007E1111"/>
    <w:rsid w:val="007E1865"/>
    <w:rsid w:val="007E5614"/>
    <w:rsid w:val="007F0754"/>
    <w:rsid w:val="007F3198"/>
    <w:rsid w:val="007F36AF"/>
    <w:rsid w:val="007F515C"/>
    <w:rsid w:val="007F5D81"/>
    <w:rsid w:val="008009B8"/>
    <w:rsid w:val="00800CEA"/>
    <w:rsid w:val="00807AD4"/>
    <w:rsid w:val="008104E0"/>
    <w:rsid w:val="00812DCE"/>
    <w:rsid w:val="0081387C"/>
    <w:rsid w:val="00817296"/>
    <w:rsid w:val="00817512"/>
    <w:rsid w:val="00822194"/>
    <w:rsid w:val="00822D26"/>
    <w:rsid w:val="008245C1"/>
    <w:rsid w:val="008269F5"/>
    <w:rsid w:val="00830105"/>
    <w:rsid w:val="0083053E"/>
    <w:rsid w:val="00830CE8"/>
    <w:rsid w:val="008317F6"/>
    <w:rsid w:val="00831B5E"/>
    <w:rsid w:val="00831F36"/>
    <w:rsid w:val="0083256C"/>
    <w:rsid w:val="0083338E"/>
    <w:rsid w:val="00833A44"/>
    <w:rsid w:val="0083519D"/>
    <w:rsid w:val="00843016"/>
    <w:rsid w:val="00844420"/>
    <w:rsid w:val="00845A34"/>
    <w:rsid w:val="00846E1E"/>
    <w:rsid w:val="00850445"/>
    <w:rsid w:val="00850C6E"/>
    <w:rsid w:val="008543C2"/>
    <w:rsid w:val="008546D7"/>
    <w:rsid w:val="0085594F"/>
    <w:rsid w:val="0085766D"/>
    <w:rsid w:val="008630EC"/>
    <w:rsid w:val="00864888"/>
    <w:rsid w:val="00866791"/>
    <w:rsid w:val="00866B63"/>
    <w:rsid w:val="00870EAA"/>
    <w:rsid w:val="00874FE0"/>
    <w:rsid w:val="008769D5"/>
    <w:rsid w:val="008824B5"/>
    <w:rsid w:val="00882EE9"/>
    <w:rsid w:val="00883131"/>
    <w:rsid w:val="008834B2"/>
    <w:rsid w:val="00883A3E"/>
    <w:rsid w:val="008848CF"/>
    <w:rsid w:val="00885B2F"/>
    <w:rsid w:val="008866ED"/>
    <w:rsid w:val="008868A5"/>
    <w:rsid w:val="0089080A"/>
    <w:rsid w:val="00890A80"/>
    <w:rsid w:val="008926E5"/>
    <w:rsid w:val="008926F3"/>
    <w:rsid w:val="00892DB3"/>
    <w:rsid w:val="00893533"/>
    <w:rsid w:val="00894FAD"/>
    <w:rsid w:val="008955F6"/>
    <w:rsid w:val="008957C5"/>
    <w:rsid w:val="00896014"/>
    <w:rsid w:val="0089614B"/>
    <w:rsid w:val="00896556"/>
    <w:rsid w:val="00896BE6"/>
    <w:rsid w:val="00896FD6"/>
    <w:rsid w:val="00897BD9"/>
    <w:rsid w:val="008A04D3"/>
    <w:rsid w:val="008A0C76"/>
    <w:rsid w:val="008A4605"/>
    <w:rsid w:val="008A618B"/>
    <w:rsid w:val="008A663F"/>
    <w:rsid w:val="008B05F2"/>
    <w:rsid w:val="008B0636"/>
    <w:rsid w:val="008B1531"/>
    <w:rsid w:val="008B2EE5"/>
    <w:rsid w:val="008B3C82"/>
    <w:rsid w:val="008B41E0"/>
    <w:rsid w:val="008B5C5C"/>
    <w:rsid w:val="008B64C9"/>
    <w:rsid w:val="008C1795"/>
    <w:rsid w:val="008C4597"/>
    <w:rsid w:val="008C4B0D"/>
    <w:rsid w:val="008C7511"/>
    <w:rsid w:val="008C75D3"/>
    <w:rsid w:val="008C79A2"/>
    <w:rsid w:val="008D01F6"/>
    <w:rsid w:val="008D1E94"/>
    <w:rsid w:val="008D373A"/>
    <w:rsid w:val="008D484C"/>
    <w:rsid w:val="008D68A5"/>
    <w:rsid w:val="008E19F3"/>
    <w:rsid w:val="008E3B44"/>
    <w:rsid w:val="008E58ED"/>
    <w:rsid w:val="008E6712"/>
    <w:rsid w:val="008E6AA0"/>
    <w:rsid w:val="008F0A7A"/>
    <w:rsid w:val="008F2226"/>
    <w:rsid w:val="008F25C5"/>
    <w:rsid w:val="008F4980"/>
    <w:rsid w:val="008F6707"/>
    <w:rsid w:val="008F6AAF"/>
    <w:rsid w:val="008F715C"/>
    <w:rsid w:val="008F7A61"/>
    <w:rsid w:val="00900951"/>
    <w:rsid w:val="00901813"/>
    <w:rsid w:val="00903020"/>
    <w:rsid w:val="00906176"/>
    <w:rsid w:val="0090637E"/>
    <w:rsid w:val="00906E67"/>
    <w:rsid w:val="00914002"/>
    <w:rsid w:val="00915ADA"/>
    <w:rsid w:val="009161BE"/>
    <w:rsid w:val="00917F21"/>
    <w:rsid w:val="009213AE"/>
    <w:rsid w:val="009222C9"/>
    <w:rsid w:val="00922BC9"/>
    <w:rsid w:val="00926825"/>
    <w:rsid w:val="009268FC"/>
    <w:rsid w:val="00926A98"/>
    <w:rsid w:val="00932625"/>
    <w:rsid w:val="00932ACD"/>
    <w:rsid w:val="00933256"/>
    <w:rsid w:val="009340FD"/>
    <w:rsid w:val="00934141"/>
    <w:rsid w:val="009344C2"/>
    <w:rsid w:val="009345C9"/>
    <w:rsid w:val="0093538A"/>
    <w:rsid w:val="00941295"/>
    <w:rsid w:val="009434D0"/>
    <w:rsid w:val="0094705C"/>
    <w:rsid w:val="009514FE"/>
    <w:rsid w:val="00952F66"/>
    <w:rsid w:val="00957B41"/>
    <w:rsid w:val="00961519"/>
    <w:rsid w:val="00962FD2"/>
    <w:rsid w:val="009632AA"/>
    <w:rsid w:val="009644A2"/>
    <w:rsid w:val="00967162"/>
    <w:rsid w:val="009715F0"/>
    <w:rsid w:val="00971DE7"/>
    <w:rsid w:val="00973C62"/>
    <w:rsid w:val="0097419E"/>
    <w:rsid w:val="00974A97"/>
    <w:rsid w:val="0097696C"/>
    <w:rsid w:val="00977B41"/>
    <w:rsid w:val="00977D76"/>
    <w:rsid w:val="009808FE"/>
    <w:rsid w:val="00982987"/>
    <w:rsid w:val="00985386"/>
    <w:rsid w:val="00990318"/>
    <w:rsid w:val="0099489F"/>
    <w:rsid w:val="00994B64"/>
    <w:rsid w:val="009955B3"/>
    <w:rsid w:val="00996D72"/>
    <w:rsid w:val="009A4D99"/>
    <w:rsid w:val="009A53B7"/>
    <w:rsid w:val="009A544A"/>
    <w:rsid w:val="009A69B1"/>
    <w:rsid w:val="009A6CDB"/>
    <w:rsid w:val="009B0A81"/>
    <w:rsid w:val="009B0CA9"/>
    <w:rsid w:val="009B301F"/>
    <w:rsid w:val="009B52C2"/>
    <w:rsid w:val="009B604B"/>
    <w:rsid w:val="009C0ECA"/>
    <w:rsid w:val="009C283B"/>
    <w:rsid w:val="009C2B04"/>
    <w:rsid w:val="009C3544"/>
    <w:rsid w:val="009C45BA"/>
    <w:rsid w:val="009D2D28"/>
    <w:rsid w:val="009D4B75"/>
    <w:rsid w:val="009D6924"/>
    <w:rsid w:val="009D7AFB"/>
    <w:rsid w:val="009E055E"/>
    <w:rsid w:val="009E0C76"/>
    <w:rsid w:val="009E22C3"/>
    <w:rsid w:val="009E250D"/>
    <w:rsid w:val="009E2833"/>
    <w:rsid w:val="009E317D"/>
    <w:rsid w:val="009E3B52"/>
    <w:rsid w:val="009E3D89"/>
    <w:rsid w:val="009E5B43"/>
    <w:rsid w:val="009E6B59"/>
    <w:rsid w:val="009F097B"/>
    <w:rsid w:val="009F0DD5"/>
    <w:rsid w:val="009F2CB2"/>
    <w:rsid w:val="009F2CEE"/>
    <w:rsid w:val="009F3A56"/>
    <w:rsid w:val="009F59EE"/>
    <w:rsid w:val="009F5CD5"/>
    <w:rsid w:val="009F66D0"/>
    <w:rsid w:val="00A02D45"/>
    <w:rsid w:val="00A0581C"/>
    <w:rsid w:val="00A069E2"/>
    <w:rsid w:val="00A073C7"/>
    <w:rsid w:val="00A07431"/>
    <w:rsid w:val="00A07A9F"/>
    <w:rsid w:val="00A11B93"/>
    <w:rsid w:val="00A11C90"/>
    <w:rsid w:val="00A12821"/>
    <w:rsid w:val="00A12DE6"/>
    <w:rsid w:val="00A14FC9"/>
    <w:rsid w:val="00A2066F"/>
    <w:rsid w:val="00A21C37"/>
    <w:rsid w:val="00A23C45"/>
    <w:rsid w:val="00A25B10"/>
    <w:rsid w:val="00A26B19"/>
    <w:rsid w:val="00A33653"/>
    <w:rsid w:val="00A36D79"/>
    <w:rsid w:val="00A37A20"/>
    <w:rsid w:val="00A37AD0"/>
    <w:rsid w:val="00A4508B"/>
    <w:rsid w:val="00A4618A"/>
    <w:rsid w:val="00A53205"/>
    <w:rsid w:val="00A5429B"/>
    <w:rsid w:val="00A553A9"/>
    <w:rsid w:val="00A61F80"/>
    <w:rsid w:val="00A62566"/>
    <w:rsid w:val="00A62CCA"/>
    <w:rsid w:val="00A641DB"/>
    <w:rsid w:val="00A6536F"/>
    <w:rsid w:val="00A65B9D"/>
    <w:rsid w:val="00A70932"/>
    <w:rsid w:val="00A719A5"/>
    <w:rsid w:val="00A72732"/>
    <w:rsid w:val="00A72A74"/>
    <w:rsid w:val="00A72F83"/>
    <w:rsid w:val="00A7372B"/>
    <w:rsid w:val="00A74A1E"/>
    <w:rsid w:val="00A7509B"/>
    <w:rsid w:val="00A7796E"/>
    <w:rsid w:val="00A77F44"/>
    <w:rsid w:val="00A803EF"/>
    <w:rsid w:val="00A86656"/>
    <w:rsid w:val="00A87B14"/>
    <w:rsid w:val="00A93638"/>
    <w:rsid w:val="00A95DA9"/>
    <w:rsid w:val="00A97D07"/>
    <w:rsid w:val="00AA0737"/>
    <w:rsid w:val="00AA218A"/>
    <w:rsid w:val="00AA48E7"/>
    <w:rsid w:val="00AB0673"/>
    <w:rsid w:val="00AB3D30"/>
    <w:rsid w:val="00AB4794"/>
    <w:rsid w:val="00AB4842"/>
    <w:rsid w:val="00AB7BAF"/>
    <w:rsid w:val="00AB7CCF"/>
    <w:rsid w:val="00AC2D2E"/>
    <w:rsid w:val="00AC614D"/>
    <w:rsid w:val="00AC7F1C"/>
    <w:rsid w:val="00AD0F3F"/>
    <w:rsid w:val="00AD4EA3"/>
    <w:rsid w:val="00AD7FC9"/>
    <w:rsid w:val="00AE05ED"/>
    <w:rsid w:val="00AE44CB"/>
    <w:rsid w:val="00AE55D4"/>
    <w:rsid w:val="00AE72D7"/>
    <w:rsid w:val="00AF05BB"/>
    <w:rsid w:val="00AF1038"/>
    <w:rsid w:val="00AF113B"/>
    <w:rsid w:val="00AF2633"/>
    <w:rsid w:val="00AF74AF"/>
    <w:rsid w:val="00B01F39"/>
    <w:rsid w:val="00B037AF"/>
    <w:rsid w:val="00B05862"/>
    <w:rsid w:val="00B05A4B"/>
    <w:rsid w:val="00B07D3B"/>
    <w:rsid w:val="00B11974"/>
    <w:rsid w:val="00B1264B"/>
    <w:rsid w:val="00B12CF8"/>
    <w:rsid w:val="00B15519"/>
    <w:rsid w:val="00B15922"/>
    <w:rsid w:val="00B2198E"/>
    <w:rsid w:val="00B244B9"/>
    <w:rsid w:val="00B24985"/>
    <w:rsid w:val="00B27178"/>
    <w:rsid w:val="00B277DA"/>
    <w:rsid w:val="00B30A9E"/>
    <w:rsid w:val="00B3265A"/>
    <w:rsid w:val="00B32817"/>
    <w:rsid w:val="00B33E8E"/>
    <w:rsid w:val="00B346ED"/>
    <w:rsid w:val="00B36901"/>
    <w:rsid w:val="00B37F41"/>
    <w:rsid w:val="00B4245F"/>
    <w:rsid w:val="00B43ABC"/>
    <w:rsid w:val="00B4468E"/>
    <w:rsid w:val="00B470FB"/>
    <w:rsid w:val="00B479EB"/>
    <w:rsid w:val="00B507D2"/>
    <w:rsid w:val="00B51125"/>
    <w:rsid w:val="00B52CDF"/>
    <w:rsid w:val="00B65A3B"/>
    <w:rsid w:val="00B66DE0"/>
    <w:rsid w:val="00B72652"/>
    <w:rsid w:val="00B8133C"/>
    <w:rsid w:val="00B815A3"/>
    <w:rsid w:val="00B85C55"/>
    <w:rsid w:val="00B85CBF"/>
    <w:rsid w:val="00B90B23"/>
    <w:rsid w:val="00B91CEE"/>
    <w:rsid w:val="00B94777"/>
    <w:rsid w:val="00B9592E"/>
    <w:rsid w:val="00B95BB2"/>
    <w:rsid w:val="00B95EBA"/>
    <w:rsid w:val="00B96E03"/>
    <w:rsid w:val="00B97985"/>
    <w:rsid w:val="00BA0BC1"/>
    <w:rsid w:val="00BA1D82"/>
    <w:rsid w:val="00BA1FA3"/>
    <w:rsid w:val="00BA23D8"/>
    <w:rsid w:val="00BA27DA"/>
    <w:rsid w:val="00BA2A8A"/>
    <w:rsid w:val="00BA4230"/>
    <w:rsid w:val="00BA45FD"/>
    <w:rsid w:val="00BA5B9C"/>
    <w:rsid w:val="00BA7722"/>
    <w:rsid w:val="00BB4512"/>
    <w:rsid w:val="00BB4D49"/>
    <w:rsid w:val="00BB51F4"/>
    <w:rsid w:val="00BB56EB"/>
    <w:rsid w:val="00BB58F0"/>
    <w:rsid w:val="00BB6439"/>
    <w:rsid w:val="00BB675F"/>
    <w:rsid w:val="00BC133F"/>
    <w:rsid w:val="00BC1530"/>
    <w:rsid w:val="00BC1D75"/>
    <w:rsid w:val="00BC1D83"/>
    <w:rsid w:val="00BD05E4"/>
    <w:rsid w:val="00BD0936"/>
    <w:rsid w:val="00BD11E2"/>
    <w:rsid w:val="00BD17B0"/>
    <w:rsid w:val="00BD3267"/>
    <w:rsid w:val="00BD3715"/>
    <w:rsid w:val="00BD4630"/>
    <w:rsid w:val="00BD4EBD"/>
    <w:rsid w:val="00BD59F0"/>
    <w:rsid w:val="00BD5A47"/>
    <w:rsid w:val="00BD6E76"/>
    <w:rsid w:val="00BD702E"/>
    <w:rsid w:val="00BE07F9"/>
    <w:rsid w:val="00BE6717"/>
    <w:rsid w:val="00BF1148"/>
    <w:rsid w:val="00BF1811"/>
    <w:rsid w:val="00BF36AE"/>
    <w:rsid w:val="00BF4092"/>
    <w:rsid w:val="00BF44F1"/>
    <w:rsid w:val="00BF4CD9"/>
    <w:rsid w:val="00BF688B"/>
    <w:rsid w:val="00C00EEF"/>
    <w:rsid w:val="00C02E39"/>
    <w:rsid w:val="00C0301A"/>
    <w:rsid w:val="00C04F1A"/>
    <w:rsid w:val="00C05CCC"/>
    <w:rsid w:val="00C07088"/>
    <w:rsid w:val="00C07D5F"/>
    <w:rsid w:val="00C07F35"/>
    <w:rsid w:val="00C15993"/>
    <w:rsid w:val="00C17C49"/>
    <w:rsid w:val="00C21F84"/>
    <w:rsid w:val="00C22B1C"/>
    <w:rsid w:val="00C23E32"/>
    <w:rsid w:val="00C24B73"/>
    <w:rsid w:val="00C2555B"/>
    <w:rsid w:val="00C26D3E"/>
    <w:rsid w:val="00C30EA3"/>
    <w:rsid w:val="00C31E67"/>
    <w:rsid w:val="00C325BB"/>
    <w:rsid w:val="00C33A4A"/>
    <w:rsid w:val="00C36E55"/>
    <w:rsid w:val="00C4086A"/>
    <w:rsid w:val="00C42CA5"/>
    <w:rsid w:val="00C42FAF"/>
    <w:rsid w:val="00C456DD"/>
    <w:rsid w:val="00C47E7D"/>
    <w:rsid w:val="00C52DA0"/>
    <w:rsid w:val="00C53031"/>
    <w:rsid w:val="00C568D7"/>
    <w:rsid w:val="00C56AD1"/>
    <w:rsid w:val="00C60BBC"/>
    <w:rsid w:val="00C6365D"/>
    <w:rsid w:val="00C6644B"/>
    <w:rsid w:val="00C668FF"/>
    <w:rsid w:val="00C67861"/>
    <w:rsid w:val="00C70A05"/>
    <w:rsid w:val="00C726D8"/>
    <w:rsid w:val="00C7532A"/>
    <w:rsid w:val="00C7663D"/>
    <w:rsid w:val="00C779DC"/>
    <w:rsid w:val="00C80ADA"/>
    <w:rsid w:val="00C81DF4"/>
    <w:rsid w:val="00C83132"/>
    <w:rsid w:val="00C864DC"/>
    <w:rsid w:val="00C908E5"/>
    <w:rsid w:val="00C9118F"/>
    <w:rsid w:val="00C9156E"/>
    <w:rsid w:val="00C947C0"/>
    <w:rsid w:val="00C947CE"/>
    <w:rsid w:val="00C95072"/>
    <w:rsid w:val="00C95F04"/>
    <w:rsid w:val="00C97E6F"/>
    <w:rsid w:val="00CA079E"/>
    <w:rsid w:val="00CA135D"/>
    <w:rsid w:val="00CA1722"/>
    <w:rsid w:val="00CA1806"/>
    <w:rsid w:val="00CA22D8"/>
    <w:rsid w:val="00CA5872"/>
    <w:rsid w:val="00CA78F9"/>
    <w:rsid w:val="00CA7CAF"/>
    <w:rsid w:val="00CB0499"/>
    <w:rsid w:val="00CB06F8"/>
    <w:rsid w:val="00CB08B5"/>
    <w:rsid w:val="00CB18B1"/>
    <w:rsid w:val="00CB2736"/>
    <w:rsid w:val="00CB38CA"/>
    <w:rsid w:val="00CB5712"/>
    <w:rsid w:val="00CB6969"/>
    <w:rsid w:val="00CB6F2B"/>
    <w:rsid w:val="00CB7254"/>
    <w:rsid w:val="00CC0CB0"/>
    <w:rsid w:val="00CC1067"/>
    <w:rsid w:val="00CC3D3D"/>
    <w:rsid w:val="00CC3DF9"/>
    <w:rsid w:val="00CC65C5"/>
    <w:rsid w:val="00CC73AB"/>
    <w:rsid w:val="00CD0325"/>
    <w:rsid w:val="00CD12BC"/>
    <w:rsid w:val="00CD32FA"/>
    <w:rsid w:val="00CD3324"/>
    <w:rsid w:val="00CD46EA"/>
    <w:rsid w:val="00CD4A18"/>
    <w:rsid w:val="00CD575C"/>
    <w:rsid w:val="00CD6257"/>
    <w:rsid w:val="00CD6E1E"/>
    <w:rsid w:val="00CD7A9C"/>
    <w:rsid w:val="00CE0770"/>
    <w:rsid w:val="00CE0BEA"/>
    <w:rsid w:val="00CE1E44"/>
    <w:rsid w:val="00CE37D5"/>
    <w:rsid w:val="00CE5086"/>
    <w:rsid w:val="00CE6C6E"/>
    <w:rsid w:val="00CE76FD"/>
    <w:rsid w:val="00CE7991"/>
    <w:rsid w:val="00CF177F"/>
    <w:rsid w:val="00CF2033"/>
    <w:rsid w:val="00CF5DF2"/>
    <w:rsid w:val="00CF6C98"/>
    <w:rsid w:val="00D0061B"/>
    <w:rsid w:val="00D012CF"/>
    <w:rsid w:val="00D016C3"/>
    <w:rsid w:val="00D01832"/>
    <w:rsid w:val="00D01DC0"/>
    <w:rsid w:val="00D02C28"/>
    <w:rsid w:val="00D02E81"/>
    <w:rsid w:val="00D0526B"/>
    <w:rsid w:val="00D07AA2"/>
    <w:rsid w:val="00D1081A"/>
    <w:rsid w:val="00D15569"/>
    <w:rsid w:val="00D15619"/>
    <w:rsid w:val="00D15A44"/>
    <w:rsid w:val="00D160DE"/>
    <w:rsid w:val="00D21C96"/>
    <w:rsid w:val="00D30074"/>
    <w:rsid w:val="00D30854"/>
    <w:rsid w:val="00D31127"/>
    <w:rsid w:val="00D320FC"/>
    <w:rsid w:val="00D333B4"/>
    <w:rsid w:val="00D3359F"/>
    <w:rsid w:val="00D35FF4"/>
    <w:rsid w:val="00D40C89"/>
    <w:rsid w:val="00D41337"/>
    <w:rsid w:val="00D422E9"/>
    <w:rsid w:val="00D47B55"/>
    <w:rsid w:val="00D47B8A"/>
    <w:rsid w:val="00D50703"/>
    <w:rsid w:val="00D531E4"/>
    <w:rsid w:val="00D53C47"/>
    <w:rsid w:val="00D53E59"/>
    <w:rsid w:val="00D55534"/>
    <w:rsid w:val="00D558AA"/>
    <w:rsid w:val="00D60057"/>
    <w:rsid w:val="00D60444"/>
    <w:rsid w:val="00D605B1"/>
    <w:rsid w:val="00D60D98"/>
    <w:rsid w:val="00D6181D"/>
    <w:rsid w:val="00D61D5F"/>
    <w:rsid w:val="00D61FAA"/>
    <w:rsid w:val="00D62038"/>
    <w:rsid w:val="00D628D2"/>
    <w:rsid w:val="00D62FEC"/>
    <w:rsid w:val="00D639EE"/>
    <w:rsid w:val="00D65C4E"/>
    <w:rsid w:val="00D6662D"/>
    <w:rsid w:val="00D67EA6"/>
    <w:rsid w:val="00D71C06"/>
    <w:rsid w:val="00D71EA0"/>
    <w:rsid w:val="00D72152"/>
    <w:rsid w:val="00D72157"/>
    <w:rsid w:val="00D721F1"/>
    <w:rsid w:val="00D73F33"/>
    <w:rsid w:val="00D74A93"/>
    <w:rsid w:val="00D76337"/>
    <w:rsid w:val="00D77A56"/>
    <w:rsid w:val="00D80B6D"/>
    <w:rsid w:val="00D80C55"/>
    <w:rsid w:val="00D80F78"/>
    <w:rsid w:val="00D8120C"/>
    <w:rsid w:val="00D84488"/>
    <w:rsid w:val="00D844C8"/>
    <w:rsid w:val="00D84B7D"/>
    <w:rsid w:val="00D84F78"/>
    <w:rsid w:val="00D8513A"/>
    <w:rsid w:val="00D85BBB"/>
    <w:rsid w:val="00D85FB4"/>
    <w:rsid w:val="00D879CA"/>
    <w:rsid w:val="00D906BE"/>
    <w:rsid w:val="00D943AD"/>
    <w:rsid w:val="00D94687"/>
    <w:rsid w:val="00D9690A"/>
    <w:rsid w:val="00DA2C91"/>
    <w:rsid w:val="00DA5316"/>
    <w:rsid w:val="00DA7B87"/>
    <w:rsid w:val="00DB0343"/>
    <w:rsid w:val="00DB342A"/>
    <w:rsid w:val="00DB3E19"/>
    <w:rsid w:val="00DB63D9"/>
    <w:rsid w:val="00DB6CA5"/>
    <w:rsid w:val="00DB7121"/>
    <w:rsid w:val="00DB7E77"/>
    <w:rsid w:val="00DC0BD6"/>
    <w:rsid w:val="00DC0F17"/>
    <w:rsid w:val="00DC30D0"/>
    <w:rsid w:val="00DC37CE"/>
    <w:rsid w:val="00DC422E"/>
    <w:rsid w:val="00DC72C4"/>
    <w:rsid w:val="00DD0B4E"/>
    <w:rsid w:val="00DD1F5E"/>
    <w:rsid w:val="00DD2DD1"/>
    <w:rsid w:val="00DD4803"/>
    <w:rsid w:val="00DD639C"/>
    <w:rsid w:val="00DD67DA"/>
    <w:rsid w:val="00DD7940"/>
    <w:rsid w:val="00DE1840"/>
    <w:rsid w:val="00DE1B89"/>
    <w:rsid w:val="00DE476A"/>
    <w:rsid w:val="00DE5007"/>
    <w:rsid w:val="00DE59C6"/>
    <w:rsid w:val="00DF26B9"/>
    <w:rsid w:val="00DF2E5A"/>
    <w:rsid w:val="00DF3A69"/>
    <w:rsid w:val="00DF4305"/>
    <w:rsid w:val="00DF4D81"/>
    <w:rsid w:val="00DF658B"/>
    <w:rsid w:val="00E00DC6"/>
    <w:rsid w:val="00E04B02"/>
    <w:rsid w:val="00E058A3"/>
    <w:rsid w:val="00E05E9B"/>
    <w:rsid w:val="00E07417"/>
    <w:rsid w:val="00E10ABF"/>
    <w:rsid w:val="00E130CB"/>
    <w:rsid w:val="00E151F3"/>
    <w:rsid w:val="00E1723B"/>
    <w:rsid w:val="00E17539"/>
    <w:rsid w:val="00E23A7D"/>
    <w:rsid w:val="00E244E6"/>
    <w:rsid w:val="00E2695D"/>
    <w:rsid w:val="00E27028"/>
    <w:rsid w:val="00E32995"/>
    <w:rsid w:val="00E32C50"/>
    <w:rsid w:val="00E3404F"/>
    <w:rsid w:val="00E41A6D"/>
    <w:rsid w:val="00E41E9C"/>
    <w:rsid w:val="00E423C3"/>
    <w:rsid w:val="00E4323F"/>
    <w:rsid w:val="00E4469C"/>
    <w:rsid w:val="00E450AB"/>
    <w:rsid w:val="00E47059"/>
    <w:rsid w:val="00E5280E"/>
    <w:rsid w:val="00E52CEE"/>
    <w:rsid w:val="00E53A7F"/>
    <w:rsid w:val="00E54A8E"/>
    <w:rsid w:val="00E563FC"/>
    <w:rsid w:val="00E569BC"/>
    <w:rsid w:val="00E57F9B"/>
    <w:rsid w:val="00E60634"/>
    <w:rsid w:val="00E607C0"/>
    <w:rsid w:val="00E61348"/>
    <w:rsid w:val="00E6211E"/>
    <w:rsid w:val="00E6319B"/>
    <w:rsid w:val="00E6550B"/>
    <w:rsid w:val="00E65551"/>
    <w:rsid w:val="00E6726D"/>
    <w:rsid w:val="00E70FBC"/>
    <w:rsid w:val="00E74000"/>
    <w:rsid w:val="00E7623C"/>
    <w:rsid w:val="00E773C0"/>
    <w:rsid w:val="00E80764"/>
    <w:rsid w:val="00E80FCB"/>
    <w:rsid w:val="00E81433"/>
    <w:rsid w:val="00E81C95"/>
    <w:rsid w:val="00E845C0"/>
    <w:rsid w:val="00E852A3"/>
    <w:rsid w:val="00E86628"/>
    <w:rsid w:val="00E914B7"/>
    <w:rsid w:val="00E92775"/>
    <w:rsid w:val="00E93103"/>
    <w:rsid w:val="00EA0295"/>
    <w:rsid w:val="00EA0314"/>
    <w:rsid w:val="00EA0C1C"/>
    <w:rsid w:val="00EA477A"/>
    <w:rsid w:val="00EA5CA0"/>
    <w:rsid w:val="00EA5D92"/>
    <w:rsid w:val="00EB083E"/>
    <w:rsid w:val="00EB307B"/>
    <w:rsid w:val="00EB5354"/>
    <w:rsid w:val="00EB7780"/>
    <w:rsid w:val="00EC2DC7"/>
    <w:rsid w:val="00EC3779"/>
    <w:rsid w:val="00EC65E8"/>
    <w:rsid w:val="00EC71DE"/>
    <w:rsid w:val="00EC7F0E"/>
    <w:rsid w:val="00ED2D1F"/>
    <w:rsid w:val="00ED58E9"/>
    <w:rsid w:val="00ED700E"/>
    <w:rsid w:val="00ED79D6"/>
    <w:rsid w:val="00EE1831"/>
    <w:rsid w:val="00EE3DAD"/>
    <w:rsid w:val="00EF2177"/>
    <w:rsid w:val="00EF2F7C"/>
    <w:rsid w:val="00EF3FC0"/>
    <w:rsid w:val="00EF42FC"/>
    <w:rsid w:val="00EF61B5"/>
    <w:rsid w:val="00F009B3"/>
    <w:rsid w:val="00F00A40"/>
    <w:rsid w:val="00F00A6E"/>
    <w:rsid w:val="00F05773"/>
    <w:rsid w:val="00F0773E"/>
    <w:rsid w:val="00F115D1"/>
    <w:rsid w:val="00F12CED"/>
    <w:rsid w:val="00F12DCE"/>
    <w:rsid w:val="00F13496"/>
    <w:rsid w:val="00F13B2F"/>
    <w:rsid w:val="00F14346"/>
    <w:rsid w:val="00F14982"/>
    <w:rsid w:val="00F163E9"/>
    <w:rsid w:val="00F22A26"/>
    <w:rsid w:val="00F23C0F"/>
    <w:rsid w:val="00F2598D"/>
    <w:rsid w:val="00F26166"/>
    <w:rsid w:val="00F26D3E"/>
    <w:rsid w:val="00F2720A"/>
    <w:rsid w:val="00F32739"/>
    <w:rsid w:val="00F32845"/>
    <w:rsid w:val="00F336A2"/>
    <w:rsid w:val="00F34643"/>
    <w:rsid w:val="00F36BA0"/>
    <w:rsid w:val="00F411C5"/>
    <w:rsid w:val="00F44AEB"/>
    <w:rsid w:val="00F45620"/>
    <w:rsid w:val="00F5304D"/>
    <w:rsid w:val="00F532E2"/>
    <w:rsid w:val="00F5470D"/>
    <w:rsid w:val="00F555FB"/>
    <w:rsid w:val="00F5638B"/>
    <w:rsid w:val="00F56493"/>
    <w:rsid w:val="00F60301"/>
    <w:rsid w:val="00F628BC"/>
    <w:rsid w:val="00F628FC"/>
    <w:rsid w:val="00F7033F"/>
    <w:rsid w:val="00F70DD4"/>
    <w:rsid w:val="00F7277F"/>
    <w:rsid w:val="00F72E32"/>
    <w:rsid w:val="00F73B85"/>
    <w:rsid w:val="00F747EC"/>
    <w:rsid w:val="00F76218"/>
    <w:rsid w:val="00F829B7"/>
    <w:rsid w:val="00F82DF0"/>
    <w:rsid w:val="00F84A4F"/>
    <w:rsid w:val="00F84ACE"/>
    <w:rsid w:val="00F8617B"/>
    <w:rsid w:val="00F863D7"/>
    <w:rsid w:val="00F9173C"/>
    <w:rsid w:val="00F94474"/>
    <w:rsid w:val="00F975AD"/>
    <w:rsid w:val="00FA05C2"/>
    <w:rsid w:val="00FA2D1E"/>
    <w:rsid w:val="00FA35EB"/>
    <w:rsid w:val="00FA6EE9"/>
    <w:rsid w:val="00FB18D0"/>
    <w:rsid w:val="00FB2241"/>
    <w:rsid w:val="00FB2315"/>
    <w:rsid w:val="00FB2ED6"/>
    <w:rsid w:val="00FB3591"/>
    <w:rsid w:val="00FB412B"/>
    <w:rsid w:val="00FB42E5"/>
    <w:rsid w:val="00FB58C3"/>
    <w:rsid w:val="00FB59EE"/>
    <w:rsid w:val="00FB5D32"/>
    <w:rsid w:val="00FB6B8F"/>
    <w:rsid w:val="00FC2522"/>
    <w:rsid w:val="00FC3C77"/>
    <w:rsid w:val="00FC5B56"/>
    <w:rsid w:val="00FD181C"/>
    <w:rsid w:val="00FD4B12"/>
    <w:rsid w:val="00FD5009"/>
    <w:rsid w:val="00FD55C9"/>
    <w:rsid w:val="00FD62DC"/>
    <w:rsid w:val="00FD64DF"/>
    <w:rsid w:val="00FD65D3"/>
    <w:rsid w:val="00FD6A70"/>
    <w:rsid w:val="00FE06B1"/>
    <w:rsid w:val="00FE1D87"/>
    <w:rsid w:val="00FE1EC8"/>
    <w:rsid w:val="00FE3560"/>
    <w:rsid w:val="00FE3E09"/>
    <w:rsid w:val="00FE4FBF"/>
    <w:rsid w:val="00FE6961"/>
    <w:rsid w:val="00FE78CB"/>
    <w:rsid w:val="00FF1E5A"/>
    <w:rsid w:val="00FF6AA1"/>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 w:type="character" w:styleId="Siln">
    <w:name w:val="Strong"/>
    <w:basedOn w:val="Standardnpsmoodstavce"/>
    <w:uiPriority w:val="22"/>
    <w:qFormat/>
    <w:rsid w:val="00A553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8548">
      <w:bodyDiv w:val="1"/>
      <w:marLeft w:val="0"/>
      <w:marRight w:val="0"/>
      <w:marTop w:val="0"/>
      <w:marBottom w:val="0"/>
      <w:divBdr>
        <w:top w:val="none" w:sz="0" w:space="0" w:color="auto"/>
        <w:left w:val="none" w:sz="0" w:space="0" w:color="auto"/>
        <w:bottom w:val="none" w:sz="0" w:space="0" w:color="auto"/>
        <w:right w:val="none" w:sz="0" w:space="0" w:color="auto"/>
      </w:divBdr>
    </w:div>
    <w:div w:id="26149915">
      <w:bodyDiv w:val="1"/>
      <w:marLeft w:val="0"/>
      <w:marRight w:val="0"/>
      <w:marTop w:val="0"/>
      <w:marBottom w:val="0"/>
      <w:divBdr>
        <w:top w:val="none" w:sz="0" w:space="0" w:color="auto"/>
        <w:left w:val="none" w:sz="0" w:space="0" w:color="auto"/>
        <w:bottom w:val="none" w:sz="0" w:space="0" w:color="auto"/>
        <w:right w:val="none" w:sz="0" w:space="0" w:color="auto"/>
      </w:divBdr>
    </w:div>
    <w:div w:id="61872337">
      <w:bodyDiv w:val="1"/>
      <w:marLeft w:val="0"/>
      <w:marRight w:val="0"/>
      <w:marTop w:val="0"/>
      <w:marBottom w:val="0"/>
      <w:divBdr>
        <w:top w:val="none" w:sz="0" w:space="0" w:color="auto"/>
        <w:left w:val="none" w:sz="0" w:space="0" w:color="auto"/>
        <w:bottom w:val="none" w:sz="0" w:space="0" w:color="auto"/>
        <w:right w:val="none" w:sz="0" w:space="0" w:color="auto"/>
      </w:divBdr>
    </w:div>
    <w:div w:id="84084129">
      <w:bodyDiv w:val="1"/>
      <w:marLeft w:val="0"/>
      <w:marRight w:val="0"/>
      <w:marTop w:val="0"/>
      <w:marBottom w:val="0"/>
      <w:divBdr>
        <w:top w:val="none" w:sz="0" w:space="0" w:color="auto"/>
        <w:left w:val="none" w:sz="0" w:space="0" w:color="auto"/>
        <w:bottom w:val="none" w:sz="0" w:space="0" w:color="auto"/>
        <w:right w:val="none" w:sz="0" w:space="0" w:color="auto"/>
      </w:divBdr>
    </w:div>
    <w:div w:id="95486990">
      <w:bodyDiv w:val="1"/>
      <w:marLeft w:val="0"/>
      <w:marRight w:val="0"/>
      <w:marTop w:val="0"/>
      <w:marBottom w:val="0"/>
      <w:divBdr>
        <w:top w:val="none" w:sz="0" w:space="0" w:color="auto"/>
        <w:left w:val="none" w:sz="0" w:space="0" w:color="auto"/>
        <w:bottom w:val="none" w:sz="0" w:space="0" w:color="auto"/>
        <w:right w:val="none" w:sz="0" w:space="0" w:color="auto"/>
      </w:divBdr>
    </w:div>
    <w:div w:id="116265840">
      <w:bodyDiv w:val="1"/>
      <w:marLeft w:val="0"/>
      <w:marRight w:val="0"/>
      <w:marTop w:val="0"/>
      <w:marBottom w:val="0"/>
      <w:divBdr>
        <w:top w:val="none" w:sz="0" w:space="0" w:color="auto"/>
        <w:left w:val="none" w:sz="0" w:space="0" w:color="auto"/>
        <w:bottom w:val="none" w:sz="0" w:space="0" w:color="auto"/>
        <w:right w:val="none" w:sz="0" w:space="0" w:color="auto"/>
      </w:divBdr>
    </w:div>
    <w:div w:id="136192622">
      <w:bodyDiv w:val="1"/>
      <w:marLeft w:val="0"/>
      <w:marRight w:val="0"/>
      <w:marTop w:val="0"/>
      <w:marBottom w:val="0"/>
      <w:divBdr>
        <w:top w:val="none" w:sz="0" w:space="0" w:color="auto"/>
        <w:left w:val="none" w:sz="0" w:space="0" w:color="auto"/>
        <w:bottom w:val="none" w:sz="0" w:space="0" w:color="auto"/>
        <w:right w:val="none" w:sz="0" w:space="0" w:color="auto"/>
      </w:divBdr>
    </w:div>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192810600">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24488455">
      <w:bodyDiv w:val="1"/>
      <w:marLeft w:val="0"/>
      <w:marRight w:val="0"/>
      <w:marTop w:val="0"/>
      <w:marBottom w:val="0"/>
      <w:divBdr>
        <w:top w:val="none" w:sz="0" w:space="0" w:color="auto"/>
        <w:left w:val="none" w:sz="0" w:space="0" w:color="auto"/>
        <w:bottom w:val="none" w:sz="0" w:space="0" w:color="auto"/>
        <w:right w:val="none" w:sz="0" w:space="0" w:color="auto"/>
      </w:divBdr>
    </w:div>
    <w:div w:id="539055257">
      <w:bodyDiv w:val="1"/>
      <w:marLeft w:val="0"/>
      <w:marRight w:val="0"/>
      <w:marTop w:val="0"/>
      <w:marBottom w:val="0"/>
      <w:divBdr>
        <w:top w:val="none" w:sz="0" w:space="0" w:color="auto"/>
        <w:left w:val="none" w:sz="0" w:space="0" w:color="auto"/>
        <w:bottom w:val="none" w:sz="0" w:space="0" w:color="auto"/>
        <w:right w:val="none" w:sz="0" w:space="0" w:color="auto"/>
      </w:divBdr>
    </w:div>
    <w:div w:id="580876104">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641467723">
      <w:bodyDiv w:val="1"/>
      <w:marLeft w:val="0"/>
      <w:marRight w:val="0"/>
      <w:marTop w:val="0"/>
      <w:marBottom w:val="0"/>
      <w:divBdr>
        <w:top w:val="none" w:sz="0" w:space="0" w:color="auto"/>
        <w:left w:val="none" w:sz="0" w:space="0" w:color="auto"/>
        <w:bottom w:val="none" w:sz="0" w:space="0" w:color="auto"/>
        <w:right w:val="none" w:sz="0" w:space="0" w:color="auto"/>
      </w:divBdr>
    </w:div>
    <w:div w:id="645667381">
      <w:bodyDiv w:val="1"/>
      <w:marLeft w:val="0"/>
      <w:marRight w:val="0"/>
      <w:marTop w:val="0"/>
      <w:marBottom w:val="0"/>
      <w:divBdr>
        <w:top w:val="none" w:sz="0" w:space="0" w:color="auto"/>
        <w:left w:val="none" w:sz="0" w:space="0" w:color="auto"/>
        <w:bottom w:val="none" w:sz="0" w:space="0" w:color="auto"/>
        <w:right w:val="none" w:sz="0" w:space="0" w:color="auto"/>
      </w:divBdr>
    </w:div>
    <w:div w:id="664868236">
      <w:bodyDiv w:val="1"/>
      <w:marLeft w:val="0"/>
      <w:marRight w:val="0"/>
      <w:marTop w:val="0"/>
      <w:marBottom w:val="0"/>
      <w:divBdr>
        <w:top w:val="none" w:sz="0" w:space="0" w:color="auto"/>
        <w:left w:val="none" w:sz="0" w:space="0" w:color="auto"/>
        <w:bottom w:val="none" w:sz="0" w:space="0" w:color="auto"/>
        <w:right w:val="none" w:sz="0" w:space="0" w:color="auto"/>
      </w:divBdr>
    </w:div>
    <w:div w:id="675570253">
      <w:bodyDiv w:val="1"/>
      <w:marLeft w:val="0"/>
      <w:marRight w:val="0"/>
      <w:marTop w:val="0"/>
      <w:marBottom w:val="0"/>
      <w:divBdr>
        <w:top w:val="none" w:sz="0" w:space="0" w:color="auto"/>
        <w:left w:val="none" w:sz="0" w:space="0" w:color="auto"/>
        <w:bottom w:val="none" w:sz="0" w:space="0" w:color="auto"/>
        <w:right w:val="none" w:sz="0" w:space="0" w:color="auto"/>
      </w:divBdr>
    </w:div>
    <w:div w:id="703022082">
      <w:bodyDiv w:val="1"/>
      <w:marLeft w:val="0"/>
      <w:marRight w:val="0"/>
      <w:marTop w:val="0"/>
      <w:marBottom w:val="0"/>
      <w:divBdr>
        <w:top w:val="none" w:sz="0" w:space="0" w:color="auto"/>
        <w:left w:val="none" w:sz="0" w:space="0" w:color="auto"/>
        <w:bottom w:val="none" w:sz="0" w:space="0" w:color="auto"/>
        <w:right w:val="none" w:sz="0" w:space="0" w:color="auto"/>
      </w:divBdr>
    </w:div>
    <w:div w:id="742989099">
      <w:bodyDiv w:val="1"/>
      <w:marLeft w:val="0"/>
      <w:marRight w:val="0"/>
      <w:marTop w:val="0"/>
      <w:marBottom w:val="0"/>
      <w:divBdr>
        <w:top w:val="none" w:sz="0" w:space="0" w:color="auto"/>
        <w:left w:val="none" w:sz="0" w:space="0" w:color="auto"/>
        <w:bottom w:val="none" w:sz="0" w:space="0" w:color="auto"/>
        <w:right w:val="none" w:sz="0" w:space="0" w:color="auto"/>
      </w:divBdr>
    </w:div>
    <w:div w:id="753823787">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867060497">
      <w:bodyDiv w:val="1"/>
      <w:marLeft w:val="0"/>
      <w:marRight w:val="0"/>
      <w:marTop w:val="0"/>
      <w:marBottom w:val="0"/>
      <w:divBdr>
        <w:top w:val="none" w:sz="0" w:space="0" w:color="auto"/>
        <w:left w:val="none" w:sz="0" w:space="0" w:color="auto"/>
        <w:bottom w:val="none" w:sz="0" w:space="0" w:color="auto"/>
        <w:right w:val="none" w:sz="0" w:space="0" w:color="auto"/>
      </w:divBdr>
    </w:div>
    <w:div w:id="899173101">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9256544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056513043">
      <w:bodyDiv w:val="1"/>
      <w:marLeft w:val="0"/>
      <w:marRight w:val="0"/>
      <w:marTop w:val="0"/>
      <w:marBottom w:val="0"/>
      <w:divBdr>
        <w:top w:val="none" w:sz="0" w:space="0" w:color="auto"/>
        <w:left w:val="none" w:sz="0" w:space="0" w:color="auto"/>
        <w:bottom w:val="none" w:sz="0" w:space="0" w:color="auto"/>
        <w:right w:val="none" w:sz="0" w:space="0" w:color="auto"/>
      </w:divBdr>
    </w:div>
    <w:div w:id="1074353678">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02065241">
      <w:bodyDiv w:val="1"/>
      <w:marLeft w:val="0"/>
      <w:marRight w:val="0"/>
      <w:marTop w:val="0"/>
      <w:marBottom w:val="0"/>
      <w:divBdr>
        <w:top w:val="none" w:sz="0" w:space="0" w:color="auto"/>
        <w:left w:val="none" w:sz="0" w:space="0" w:color="auto"/>
        <w:bottom w:val="none" w:sz="0" w:space="0" w:color="auto"/>
        <w:right w:val="none" w:sz="0" w:space="0" w:color="auto"/>
      </w:divBdr>
    </w:div>
    <w:div w:id="1129516099">
      <w:bodyDiv w:val="1"/>
      <w:marLeft w:val="0"/>
      <w:marRight w:val="0"/>
      <w:marTop w:val="0"/>
      <w:marBottom w:val="0"/>
      <w:divBdr>
        <w:top w:val="none" w:sz="0" w:space="0" w:color="auto"/>
        <w:left w:val="none" w:sz="0" w:space="0" w:color="auto"/>
        <w:bottom w:val="none" w:sz="0" w:space="0" w:color="auto"/>
        <w:right w:val="none" w:sz="0" w:space="0" w:color="auto"/>
      </w:divBdr>
    </w:div>
    <w:div w:id="1180124350">
      <w:bodyDiv w:val="1"/>
      <w:marLeft w:val="0"/>
      <w:marRight w:val="0"/>
      <w:marTop w:val="0"/>
      <w:marBottom w:val="0"/>
      <w:divBdr>
        <w:top w:val="none" w:sz="0" w:space="0" w:color="auto"/>
        <w:left w:val="none" w:sz="0" w:space="0" w:color="auto"/>
        <w:bottom w:val="none" w:sz="0" w:space="0" w:color="auto"/>
        <w:right w:val="none" w:sz="0" w:space="0" w:color="auto"/>
      </w:divBdr>
    </w:div>
    <w:div w:id="1202398645">
      <w:bodyDiv w:val="1"/>
      <w:marLeft w:val="0"/>
      <w:marRight w:val="0"/>
      <w:marTop w:val="0"/>
      <w:marBottom w:val="0"/>
      <w:divBdr>
        <w:top w:val="none" w:sz="0" w:space="0" w:color="auto"/>
        <w:left w:val="none" w:sz="0" w:space="0" w:color="auto"/>
        <w:bottom w:val="none" w:sz="0" w:space="0" w:color="auto"/>
        <w:right w:val="none" w:sz="0" w:space="0" w:color="auto"/>
      </w:divBdr>
    </w:div>
    <w:div w:id="1203983725">
      <w:bodyDiv w:val="1"/>
      <w:marLeft w:val="0"/>
      <w:marRight w:val="0"/>
      <w:marTop w:val="0"/>
      <w:marBottom w:val="0"/>
      <w:divBdr>
        <w:top w:val="none" w:sz="0" w:space="0" w:color="auto"/>
        <w:left w:val="none" w:sz="0" w:space="0" w:color="auto"/>
        <w:bottom w:val="none" w:sz="0" w:space="0" w:color="auto"/>
        <w:right w:val="none" w:sz="0" w:space="0" w:color="auto"/>
      </w:divBdr>
    </w:div>
    <w:div w:id="1208882320">
      <w:bodyDiv w:val="1"/>
      <w:marLeft w:val="0"/>
      <w:marRight w:val="0"/>
      <w:marTop w:val="0"/>
      <w:marBottom w:val="0"/>
      <w:divBdr>
        <w:top w:val="none" w:sz="0" w:space="0" w:color="auto"/>
        <w:left w:val="none" w:sz="0" w:space="0" w:color="auto"/>
        <w:bottom w:val="none" w:sz="0" w:space="0" w:color="auto"/>
        <w:right w:val="none" w:sz="0" w:space="0" w:color="auto"/>
      </w:divBdr>
    </w:div>
    <w:div w:id="1216889717">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85886793">
      <w:bodyDiv w:val="1"/>
      <w:marLeft w:val="0"/>
      <w:marRight w:val="0"/>
      <w:marTop w:val="0"/>
      <w:marBottom w:val="0"/>
      <w:divBdr>
        <w:top w:val="none" w:sz="0" w:space="0" w:color="auto"/>
        <w:left w:val="none" w:sz="0" w:space="0" w:color="auto"/>
        <w:bottom w:val="none" w:sz="0" w:space="0" w:color="auto"/>
        <w:right w:val="none" w:sz="0" w:space="0" w:color="auto"/>
      </w:divBdr>
    </w:div>
    <w:div w:id="1339623275">
      <w:bodyDiv w:val="1"/>
      <w:marLeft w:val="0"/>
      <w:marRight w:val="0"/>
      <w:marTop w:val="0"/>
      <w:marBottom w:val="0"/>
      <w:divBdr>
        <w:top w:val="none" w:sz="0" w:space="0" w:color="auto"/>
        <w:left w:val="none" w:sz="0" w:space="0" w:color="auto"/>
        <w:bottom w:val="none" w:sz="0" w:space="0" w:color="auto"/>
        <w:right w:val="none" w:sz="0" w:space="0" w:color="auto"/>
      </w:divBdr>
    </w:div>
    <w:div w:id="1358702177">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394231548">
      <w:bodyDiv w:val="1"/>
      <w:marLeft w:val="0"/>
      <w:marRight w:val="0"/>
      <w:marTop w:val="0"/>
      <w:marBottom w:val="0"/>
      <w:divBdr>
        <w:top w:val="none" w:sz="0" w:space="0" w:color="auto"/>
        <w:left w:val="none" w:sz="0" w:space="0" w:color="auto"/>
        <w:bottom w:val="none" w:sz="0" w:space="0" w:color="auto"/>
        <w:right w:val="none" w:sz="0" w:space="0" w:color="auto"/>
      </w:divBdr>
    </w:div>
    <w:div w:id="1414161234">
      <w:bodyDiv w:val="1"/>
      <w:marLeft w:val="0"/>
      <w:marRight w:val="0"/>
      <w:marTop w:val="0"/>
      <w:marBottom w:val="0"/>
      <w:divBdr>
        <w:top w:val="none" w:sz="0" w:space="0" w:color="auto"/>
        <w:left w:val="none" w:sz="0" w:space="0" w:color="auto"/>
        <w:bottom w:val="none" w:sz="0" w:space="0" w:color="auto"/>
        <w:right w:val="none" w:sz="0" w:space="0" w:color="auto"/>
      </w:divBdr>
    </w:div>
    <w:div w:id="1438479073">
      <w:bodyDiv w:val="1"/>
      <w:marLeft w:val="0"/>
      <w:marRight w:val="0"/>
      <w:marTop w:val="0"/>
      <w:marBottom w:val="0"/>
      <w:divBdr>
        <w:top w:val="none" w:sz="0" w:space="0" w:color="auto"/>
        <w:left w:val="none" w:sz="0" w:space="0" w:color="auto"/>
        <w:bottom w:val="none" w:sz="0" w:space="0" w:color="auto"/>
        <w:right w:val="none" w:sz="0" w:space="0" w:color="auto"/>
      </w:divBdr>
    </w:div>
    <w:div w:id="1470200845">
      <w:bodyDiv w:val="1"/>
      <w:marLeft w:val="0"/>
      <w:marRight w:val="0"/>
      <w:marTop w:val="0"/>
      <w:marBottom w:val="0"/>
      <w:divBdr>
        <w:top w:val="none" w:sz="0" w:space="0" w:color="auto"/>
        <w:left w:val="none" w:sz="0" w:space="0" w:color="auto"/>
        <w:bottom w:val="none" w:sz="0" w:space="0" w:color="auto"/>
        <w:right w:val="none" w:sz="0" w:space="0" w:color="auto"/>
      </w:divBdr>
    </w:div>
    <w:div w:id="1490054170">
      <w:bodyDiv w:val="1"/>
      <w:marLeft w:val="0"/>
      <w:marRight w:val="0"/>
      <w:marTop w:val="0"/>
      <w:marBottom w:val="0"/>
      <w:divBdr>
        <w:top w:val="none" w:sz="0" w:space="0" w:color="auto"/>
        <w:left w:val="none" w:sz="0" w:space="0" w:color="auto"/>
        <w:bottom w:val="none" w:sz="0" w:space="0" w:color="auto"/>
        <w:right w:val="none" w:sz="0" w:space="0" w:color="auto"/>
      </w:divBdr>
      <w:divsChild>
        <w:div w:id="1384795914">
          <w:marLeft w:val="0"/>
          <w:marRight w:val="0"/>
          <w:marTop w:val="0"/>
          <w:marBottom w:val="0"/>
          <w:divBdr>
            <w:top w:val="none" w:sz="0" w:space="0" w:color="auto"/>
            <w:left w:val="none" w:sz="0" w:space="0" w:color="auto"/>
            <w:bottom w:val="none" w:sz="0" w:space="0" w:color="auto"/>
            <w:right w:val="none" w:sz="0" w:space="0" w:color="auto"/>
          </w:divBdr>
          <w:divsChild>
            <w:div w:id="1217232780">
              <w:marLeft w:val="0"/>
              <w:marRight w:val="0"/>
              <w:marTop w:val="0"/>
              <w:marBottom w:val="0"/>
              <w:divBdr>
                <w:top w:val="none" w:sz="0" w:space="0" w:color="auto"/>
                <w:left w:val="none" w:sz="0" w:space="0" w:color="auto"/>
                <w:bottom w:val="none" w:sz="0" w:space="0" w:color="auto"/>
                <w:right w:val="none" w:sz="0" w:space="0" w:color="auto"/>
              </w:divBdr>
              <w:divsChild>
                <w:div w:id="113408768">
                  <w:marLeft w:val="0"/>
                  <w:marRight w:val="0"/>
                  <w:marTop w:val="0"/>
                  <w:marBottom w:val="0"/>
                  <w:divBdr>
                    <w:top w:val="none" w:sz="0" w:space="0" w:color="auto"/>
                    <w:left w:val="none" w:sz="0" w:space="0" w:color="auto"/>
                    <w:bottom w:val="none" w:sz="0" w:space="0" w:color="auto"/>
                    <w:right w:val="none" w:sz="0" w:space="0" w:color="auto"/>
                  </w:divBdr>
                  <w:divsChild>
                    <w:div w:id="749426387">
                      <w:marLeft w:val="0"/>
                      <w:marRight w:val="0"/>
                      <w:marTop w:val="0"/>
                      <w:marBottom w:val="0"/>
                      <w:divBdr>
                        <w:top w:val="none" w:sz="0" w:space="0" w:color="auto"/>
                        <w:left w:val="none" w:sz="0" w:space="0" w:color="auto"/>
                        <w:bottom w:val="none" w:sz="0" w:space="0" w:color="auto"/>
                        <w:right w:val="none" w:sz="0" w:space="0" w:color="auto"/>
                      </w:divBdr>
                      <w:divsChild>
                        <w:div w:id="780342244">
                          <w:marLeft w:val="0"/>
                          <w:marRight w:val="0"/>
                          <w:marTop w:val="0"/>
                          <w:marBottom w:val="0"/>
                          <w:divBdr>
                            <w:top w:val="none" w:sz="0" w:space="0" w:color="auto"/>
                            <w:left w:val="none" w:sz="0" w:space="0" w:color="auto"/>
                            <w:bottom w:val="none" w:sz="0" w:space="0" w:color="auto"/>
                            <w:right w:val="none" w:sz="0" w:space="0" w:color="auto"/>
                          </w:divBdr>
                          <w:divsChild>
                            <w:div w:id="5698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609041497">
      <w:bodyDiv w:val="1"/>
      <w:marLeft w:val="0"/>
      <w:marRight w:val="0"/>
      <w:marTop w:val="0"/>
      <w:marBottom w:val="0"/>
      <w:divBdr>
        <w:top w:val="none" w:sz="0" w:space="0" w:color="auto"/>
        <w:left w:val="none" w:sz="0" w:space="0" w:color="auto"/>
        <w:bottom w:val="none" w:sz="0" w:space="0" w:color="auto"/>
        <w:right w:val="none" w:sz="0" w:space="0" w:color="auto"/>
      </w:divBdr>
    </w:div>
    <w:div w:id="1644502417">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12606406">
      <w:bodyDiv w:val="1"/>
      <w:marLeft w:val="0"/>
      <w:marRight w:val="0"/>
      <w:marTop w:val="0"/>
      <w:marBottom w:val="0"/>
      <w:divBdr>
        <w:top w:val="none" w:sz="0" w:space="0" w:color="auto"/>
        <w:left w:val="none" w:sz="0" w:space="0" w:color="auto"/>
        <w:bottom w:val="none" w:sz="0" w:space="0" w:color="auto"/>
        <w:right w:val="none" w:sz="0" w:space="0" w:color="auto"/>
      </w:divBdr>
    </w:div>
    <w:div w:id="1726222585">
      <w:bodyDiv w:val="1"/>
      <w:marLeft w:val="0"/>
      <w:marRight w:val="0"/>
      <w:marTop w:val="0"/>
      <w:marBottom w:val="0"/>
      <w:divBdr>
        <w:top w:val="none" w:sz="0" w:space="0" w:color="auto"/>
        <w:left w:val="none" w:sz="0" w:space="0" w:color="auto"/>
        <w:bottom w:val="none" w:sz="0" w:space="0" w:color="auto"/>
        <w:right w:val="none" w:sz="0" w:space="0" w:color="auto"/>
      </w:divBdr>
    </w:div>
    <w:div w:id="1733112470">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754204180">
      <w:bodyDiv w:val="1"/>
      <w:marLeft w:val="0"/>
      <w:marRight w:val="0"/>
      <w:marTop w:val="0"/>
      <w:marBottom w:val="0"/>
      <w:divBdr>
        <w:top w:val="none" w:sz="0" w:space="0" w:color="auto"/>
        <w:left w:val="none" w:sz="0" w:space="0" w:color="auto"/>
        <w:bottom w:val="none" w:sz="0" w:space="0" w:color="auto"/>
        <w:right w:val="none" w:sz="0" w:space="0" w:color="auto"/>
      </w:divBdr>
    </w:div>
    <w:div w:id="1761415458">
      <w:bodyDiv w:val="1"/>
      <w:marLeft w:val="0"/>
      <w:marRight w:val="0"/>
      <w:marTop w:val="0"/>
      <w:marBottom w:val="0"/>
      <w:divBdr>
        <w:top w:val="none" w:sz="0" w:space="0" w:color="auto"/>
        <w:left w:val="none" w:sz="0" w:space="0" w:color="auto"/>
        <w:bottom w:val="none" w:sz="0" w:space="0" w:color="auto"/>
        <w:right w:val="none" w:sz="0" w:space="0" w:color="auto"/>
      </w:divBdr>
    </w:div>
    <w:div w:id="1840151224">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1899173014">
      <w:bodyDiv w:val="1"/>
      <w:marLeft w:val="0"/>
      <w:marRight w:val="0"/>
      <w:marTop w:val="0"/>
      <w:marBottom w:val="0"/>
      <w:divBdr>
        <w:top w:val="none" w:sz="0" w:space="0" w:color="auto"/>
        <w:left w:val="none" w:sz="0" w:space="0" w:color="auto"/>
        <w:bottom w:val="none" w:sz="0" w:space="0" w:color="auto"/>
        <w:right w:val="none" w:sz="0" w:space="0" w:color="auto"/>
      </w:divBdr>
    </w:div>
    <w:div w:id="1929188920">
      <w:bodyDiv w:val="1"/>
      <w:marLeft w:val="0"/>
      <w:marRight w:val="0"/>
      <w:marTop w:val="0"/>
      <w:marBottom w:val="0"/>
      <w:divBdr>
        <w:top w:val="none" w:sz="0" w:space="0" w:color="auto"/>
        <w:left w:val="none" w:sz="0" w:space="0" w:color="auto"/>
        <w:bottom w:val="none" w:sz="0" w:space="0" w:color="auto"/>
        <w:right w:val="none" w:sz="0" w:space="0" w:color="auto"/>
      </w:divBdr>
    </w:div>
    <w:div w:id="2009283326">
      <w:bodyDiv w:val="1"/>
      <w:marLeft w:val="0"/>
      <w:marRight w:val="0"/>
      <w:marTop w:val="0"/>
      <w:marBottom w:val="0"/>
      <w:divBdr>
        <w:top w:val="none" w:sz="0" w:space="0" w:color="auto"/>
        <w:left w:val="none" w:sz="0" w:space="0" w:color="auto"/>
        <w:bottom w:val="none" w:sz="0" w:space="0" w:color="auto"/>
        <w:right w:val="none" w:sz="0" w:space="0" w:color="auto"/>
      </w:divBdr>
    </w:div>
    <w:div w:id="2080667806">
      <w:bodyDiv w:val="1"/>
      <w:marLeft w:val="0"/>
      <w:marRight w:val="0"/>
      <w:marTop w:val="0"/>
      <w:marBottom w:val="0"/>
      <w:divBdr>
        <w:top w:val="none" w:sz="0" w:space="0" w:color="auto"/>
        <w:left w:val="none" w:sz="0" w:space="0" w:color="auto"/>
        <w:bottom w:val="none" w:sz="0" w:space="0" w:color="auto"/>
        <w:right w:val="none" w:sz="0" w:space="0" w:color="auto"/>
      </w:divBdr>
    </w:div>
    <w:div w:id="2095472261">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Broker.Consulting/" TargetMode="Externa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footer" Target="footer2.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yperlink" Target="http://okpointy.cz" TargetMode="External"/><Relationship Id="rId19" Type="http://schemas.openxmlformats.org/officeDocument/2006/relationships/footer" Target="footer1.xml"/><Relationship Id="rId31" Type="http://schemas.openxmlformats.org/officeDocument/2006/relationships/hyperlink" Target="mailto:lenka.kuzelova@bcas.cz" TargetMode="Externa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yperlink" Target="https://www.bcas.cz/o-nas/broker-consulting-index-hypotecnich-uveru/" TargetMode="Externa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7A29F-2DAB-4B15-8C0E-DCA431BFA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Pages>
  <Words>1046</Words>
  <Characters>6173</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7</cp:revision>
  <cp:lastPrinted>2023-03-06T11:31:00Z</cp:lastPrinted>
  <dcterms:created xsi:type="dcterms:W3CDTF">2024-12-02T14:50:00Z</dcterms:created>
  <dcterms:modified xsi:type="dcterms:W3CDTF">2024-12-03T07:25:00Z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