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3477F" w14:textId="73DE3A14" w:rsidR="00B712F8" w:rsidRPr="00B712F8" w:rsidRDefault="00B712F8" w:rsidP="00B712F8">
      <w:pPr>
        <w:spacing w:before="230"/>
        <w:jc w:val="center"/>
        <w:rPr>
          <w:rFonts w:asciiTheme="minorHAnsi" w:hAnsiTheme="minorHAnsi" w:cstheme="minorHAnsi"/>
          <w:sz w:val="24"/>
        </w:rPr>
      </w:pPr>
      <w:r w:rsidRPr="00B712F8">
        <w:rPr>
          <w:rFonts w:asciiTheme="minorHAnsi" w:hAnsiTheme="minorHAnsi" w:cstheme="minorHAnsi"/>
          <w:sz w:val="24"/>
        </w:rPr>
        <w:t>INDEX HYPOTEČNÍCH ÚVĚRŮ | FIXINDEX</w:t>
      </w:r>
    </w:p>
    <w:p w14:paraId="60EAB24B" w14:textId="1AA8A38E" w:rsid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PODÍLOVÝCH </w:t>
      </w:r>
    </w:p>
    <w:p w14:paraId="5297514E" w14:textId="27BF137B" w:rsidR="00873067" w:rsidRPr="00B712F8" w:rsidRDefault="00873067" w:rsidP="00B712F8">
      <w:pPr>
        <w:spacing w:before="230"/>
        <w:ind w:left="165"/>
        <w:jc w:val="center"/>
        <w:rPr>
          <w:rFonts w:asciiTheme="minorHAnsi" w:hAnsiTheme="minorHAnsi" w:cstheme="minorHAnsi"/>
          <w:sz w:val="24"/>
        </w:rPr>
      </w:pPr>
      <w:r>
        <w:rPr>
          <w:rFonts w:asciiTheme="minorHAnsi" w:hAnsiTheme="minorHAnsi" w:cstheme="minorHAnsi"/>
          <w:sz w:val="24"/>
        </w:rPr>
        <w:t>REALINDEX</w:t>
      </w:r>
    </w:p>
    <w:p w14:paraId="26DF00A4" w14:textId="285D3435" w:rsidR="00873067" w:rsidRPr="00B712F8" w:rsidRDefault="00B712F8" w:rsidP="00873067">
      <w:pPr>
        <w:spacing w:before="230"/>
        <w:ind w:left="165"/>
        <w:jc w:val="center"/>
        <w:rPr>
          <w:rFonts w:asciiTheme="minorHAnsi" w:hAnsiTheme="minorHAnsi" w:cstheme="minorHAnsi"/>
          <w:b/>
          <w:sz w:val="24"/>
        </w:rPr>
      </w:pPr>
      <w:r w:rsidRPr="00B712F8">
        <w:rPr>
          <w:rFonts w:asciiTheme="minorHAnsi" w:hAnsiTheme="minorHAnsi" w:cstheme="minorHAnsi"/>
          <w:b/>
          <w:sz w:val="24"/>
        </w:rPr>
        <w:t xml:space="preserve">POVINDEX </w:t>
      </w:r>
    </w:p>
    <w:p w14:paraId="35D84D67" w14:textId="77777777" w:rsidR="00B712F8" w:rsidRPr="00B712F8" w:rsidRDefault="00B712F8" w:rsidP="00B712F8">
      <w:pPr>
        <w:spacing w:before="230"/>
        <w:ind w:left="165"/>
        <w:jc w:val="center"/>
        <w:rPr>
          <w:rFonts w:asciiTheme="minorHAnsi" w:hAnsiTheme="minorHAnsi" w:cstheme="minorHAnsi"/>
          <w:sz w:val="24"/>
        </w:rPr>
      </w:pPr>
      <w:r w:rsidRPr="00B712F8">
        <w:rPr>
          <w:rFonts w:asciiTheme="minorHAnsi" w:hAnsiTheme="minorHAnsi" w:cstheme="minorHAnsi"/>
          <w:sz w:val="24"/>
        </w:rPr>
        <w:t xml:space="preserve">INDEX SPOTŘEBITELSKÝCH ÚVĚRŮ  </w:t>
      </w:r>
    </w:p>
    <w:p w14:paraId="461E2AE1" w14:textId="77777777" w:rsidR="00B712F8" w:rsidRPr="005D11F0" w:rsidRDefault="00B712F8" w:rsidP="00B712F8">
      <w:pPr>
        <w:pStyle w:val="Zkladntext"/>
        <w:rPr>
          <w:sz w:val="20"/>
        </w:rPr>
      </w:pPr>
    </w:p>
    <w:p w14:paraId="0E5FD800" w14:textId="77777777" w:rsidR="00B712F8" w:rsidRPr="005D11F0" w:rsidRDefault="00B712F8" w:rsidP="00B712F8">
      <w:pPr>
        <w:pStyle w:val="Zkladntext"/>
        <w:rPr>
          <w:sz w:val="20"/>
        </w:rPr>
      </w:pPr>
      <w:r w:rsidRPr="005D11F0">
        <w:rPr>
          <w:noProof/>
          <w:sz w:val="20"/>
          <w:lang w:bidi="ar-SA"/>
        </w:rPr>
        <w:drawing>
          <wp:anchor distT="0" distB="0" distL="114300" distR="114300" simplePos="0" relativeHeight="251659264" behindDoc="1" locked="0" layoutInCell="1" allowOverlap="1" wp14:anchorId="5B99E0AC" wp14:editId="394D1D8C">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EE3ED0" w14:textId="77777777" w:rsidR="00B712F8" w:rsidRPr="005D11F0" w:rsidRDefault="00B712F8" w:rsidP="00B712F8">
      <w:pPr>
        <w:pStyle w:val="Zkladntext"/>
        <w:rPr>
          <w:sz w:val="20"/>
        </w:rPr>
      </w:pPr>
    </w:p>
    <w:p w14:paraId="07EC57A1" w14:textId="77777777" w:rsidR="00B712F8" w:rsidRPr="005D11F0" w:rsidRDefault="00B712F8" w:rsidP="00B712F8">
      <w:pPr>
        <w:pStyle w:val="Zkladntext"/>
        <w:rPr>
          <w:sz w:val="20"/>
        </w:rPr>
      </w:pPr>
    </w:p>
    <w:p w14:paraId="10EA7975" w14:textId="77777777" w:rsidR="00B712F8" w:rsidRPr="005D11F0" w:rsidRDefault="00B712F8" w:rsidP="00B712F8">
      <w:pPr>
        <w:pStyle w:val="Zkladntext"/>
        <w:rPr>
          <w:sz w:val="20"/>
        </w:rPr>
      </w:pPr>
    </w:p>
    <w:p w14:paraId="0E42394D" w14:textId="77777777" w:rsidR="00B712F8" w:rsidRPr="005D11F0" w:rsidRDefault="00B712F8" w:rsidP="00B712F8">
      <w:pPr>
        <w:pStyle w:val="Zkladntext"/>
        <w:rPr>
          <w:sz w:val="20"/>
        </w:rPr>
      </w:pPr>
    </w:p>
    <w:p w14:paraId="1D9CF081" w14:textId="77777777" w:rsidR="00B712F8" w:rsidRPr="005D11F0" w:rsidRDefault="00B712F8" w:rsidP="00B712F8">
      <w:pPr>
        <w:pStyle w:val="Zkladntext"/>
        <w:rPr>
          <w:sz w:val="20"/>
        </w:rPr>
      </w:pPr>
    </w:p>
    <w:p w14:paraId="28C33AD0" w14:textId="77777777" w:rsidR="00B712F8" w:rsidRPr="005D11F0" w:rsidRDefault="00B712F8" w:rsidP="00B712F8">
      <w:pPr>
        <w:pStyle w:val="Zkladntext"/>
        <w:rPr>
          <w:sz w:val="20"/>
        </w:rPr>
      </w:pPr>
    </w:p>
    <w:p w14:paraId="64B40F02" w14:textId="77777777" w:rsidR="00B712F8" w:rsidRPr="005D11F0" w:rsidRDefault="00B712F8" w:rsidP="00B712F8">
      <w:pPr>
        <w:pStyle w:val="Zkladntext"/>
        <w:rPr>
          <w:sz w:val="20"/>
        </w:rPr>
      </w:pPr>
    </w:p>
    <w:p w14:paraId="6AB0AA92" w14:textId="77777777" w:rsidR="00B712F8" w:rsidRPr="005D11F0" w:rsidRDefault="00B712F8" w:rsidP="00B712F8">
      <w:pPr>
        <w:pStyle w:val="Zkladntext"/>
        <w:jc w:val="both"/>
        <w:rPr>
          <w:rFonts w:ascii="Arial" w:hAnsi="Arial" w:cs="Arial"/>
          <w:sz w:val="20"/>
        </w:rPr>
      </w:pPr>
    </w:p>
    <w:p w14:paraId="168CA3FE" w14:textId="77777777" w:rsidR="00B712F8" w:rsidRPr="005D11F0" w:rsidRDefault="00B712F8" w:rsidP="00B712F8">
      <w:pPr>
        <w:pStyle w:val="Zkladntext"/>
        <w:jc w:val="both"/>
        <w:rPr>
          <w:rFonts w:ascii="Arial" w:hAnsi="Arial" w:cs="Arial"/>
          <w:b/>
          <w:sz w:val="20"/>
        </w:rPr>
      </w:pPr>
    </w:p>
    <w:p w14:paraId="2C7C11E7" w14:textId="77777777" w:rsidR="00B712F8" w:rsidRPr="005D11F0" w:rsidRDefault="00B712F8" w:rsidP="00B712F8">
      <w:pPr>
        <w:pStyle w:val="Zkladntext"/>
        <w:jc w:val="both"/>
        <w:rPr>
          <w:rFonts w:ascii="Arial" w:hAnsi="Arial" w:cs="Arial"/>
          <w:b/>
          <w:sz w:val="20"/>
        </w:rPr>
      </w:pPr>
    </w:p>
    <w:p w14:paraId="2EC7A176" w14:textId="77777777" w:rsidR="00B712F8" w:rsidRPr="005D11F0" w:rsidRDefault="00B712F8" w:rsidP="00B712F8">
      <w:pPr>
        <w:pStyle w:val="Zkladntext"/>
        <w:jc w:val="both"/>
        <w:rPr>
          <w:rFonts w:ascii="Arial" w:hAnsi="Arial" w:cs="Arial"/>
          <w:b/>
          <w:sz w:val="20"/>
        </w:rPr>
      </w:pPr>
    </w:p>
    <w:p w14:paraId="3B89FDD7" w14:textId="77777777" w:rsidR="00B712F8" w:rsidRPr="005D11F0" w:rsidRDefault="00B712F8" w:rsidP="00B712F8">
      <w:pPr>
        <w:pStyle w:val="Zkladntext"/>
        <w:jc w:val="both"/>
        <w:rPr>
          <w:rFonts w:ascii="Arial" w:hAnsi="Arial" w:cs="Arial"/>
          <w:b/>
          <w:sz w:val="20"/>
        </w:rPr>
      </w:pPr>
    </w:p>
    <w:p w14:paraId="37DBF001" w14:textId="77777777" w:rsidR="00B712F8" w:rsidRPr="005D11F0" w:rsidRDefault="00B712F8" w:rsidP="00B712F8">
      <w:pPr>
        <w:pStyle w:val="Zkladntext"/>
        <w:jc w:val="both"/>
        <w:rPr>
          <w:rFonts w:ascii="Arial" w:hAnsi="Arial" w:cs="Arial"/>
          <w:b/>
          <w:sz w:val="20"/>
        </w:rPr>
      </w:pPr>
    </w:p>
    <w:p w14:paraId="0B933A79" w14:textId="77777777" w:rsidR="00B712F8" w:rsidRPr="005D11F0" w:rsidRDefault="00B712F8" w:rsidP="00B712F8">
      <w:pPr>
        <w:pStyle w:val="Zkladntext"/>
        <w:jc w:val="both"/>
        <w:rPr>
          <w:rFonts w:ascii="Arial" w:hAnsi="Arial" w:cs="Arial"/>
          <w:b/>
          <w:sz w:val="20"/>
        </w:rPr>
      </w:pPr>
    </w:p>
    <w:p w14:paraId="2A36DAD9" w14:textId="77777777" w:rsidR="00B712F8" w:rsidRPr="005D11F0" w:rsidRDefault="00B712F8" w:rsidP="00B712F8">
      <w:pPr>
        <w:pStyle w:val="Zkladntext"/>
        <w:jc w:val="both"/>
        <w:rPr>
          <w:rFonts w:ascii="Arial" w:hAnsi="Arial" w:cs="Arial"/>
          <w:b/>
          <w:sz w:val="20"/>
        </w:rPr>
      </w:pPr>
    </w:p>
    <w:p w14:paraId="157674BA" w14:textId="77777777" w:rsidR="00B712F8" w:rsidRPr="005D11F0" w:rsidRDefault="00B712F8" w:rsidP="00B712F8">
      <w:pPr>
        <w:pStyle w:val="Zkladntext"/>
        <w:jc w:val="both"/>
        <w:rPr>
          <w:rFonts w:ascii="Arial" w:hAnsi="Arial" w:cs="Arial"/>
          <w:b/>
          <w:sz w:val="20"/>
        </w:rPr>
      </w:pPr>
    </w:p>
    <w:p w14:paraId="7C68B864" w14:textId="77777777" w:rsidR="00B712F8" w:rsidRPr="005D11F0" w:rsidRDefault="00B712F8" w:rsidP="00B712F8">
      <w:pPr>
        <w:pStyle w:val="Zkladntext"/>
        <w:jc w:val="both"/>
        <w:rPr>
          <w:rFonts w:ascii="Arial" w:hAnsi="Arial" w:cs="Arial"/>
          <w:b/>
          <w:sz w:val="20"/>
        </w:rPr>
      </w:pPr>
    </w:p>
    <w:p w14:paraId="5876D6B4" w14:textId="77777777" w:rsidR="00B712F8" w:rsidRPr="005D11F0" w:rsidRDefault="00B712F8" w:rsidP="00B712F8">
      <w:pPr>
        <w:pStyle w:val="Zkladntext"/>
        <w:jc w:val="both"/>
        <w:rPr>
          <w:rFonts w:ascii="Arial" w:hAnsi="Arial" w:cs="Arial"/>
          <w:b/>
          <w:sz w:val="20"/>
        </w:rPr>
      </w:pPr>
    </w:p>
    <w:p w14:paraId="62179353" w14:textId="77777777" w:rsidR="00B712F8" w:rsidRPr="005D11F0" w:rsidRDefault="00B712F8" w:rsidP="00B712F8">
      <w:pPr>
        <w:pStyle w:val="Zkladntext"/>
        <w:jc w:val="both"/>
        <w:rPr>
          <w:rFonts w:ascii="Arial" w:hAnsi="Arial" w:cs="Arial"/>
          <w:b/>
          <w:sz w:val="20"/>
        </w:rPr>
      </w:pPr>
    </w:p>
    <w:p w14:paraId="3D7BD27C" w14:textId="77777777" w:rsidR="00B712F8" w:rsidRPr="005D11F0" w:rsidRDefault="00B712F8" w:rsidP="00B712F8">
      <w:pPr>
        <w:pStyle w:val="Zkladntext"/>
        <w:jc w:val="both"/>
        <w:rPr>
          <w:rFonts w:ascii="Arial" w:hAnsi="Arial" w:cs="Arial"/>
          <w:b/>
          <w:sz w:val="20"/>
        </w:rPr>
      </w:pPr>
    </w:p>
    <w:p w14:paraId="5246B823" w14:textId="77777777" w:rsidR="00B712F8" w:rsidRPr="005D11F0" w:rsidRDefault="00B712F8" w:rsidP="00B712F8">
      <w:pPr>
        <w:pStyle w:val="Zkladntext"/>
        <w:jc w:val="both"/>
        <w:rPr>
          <w:rFonts w:ascii="Arial" w:hAnsi="Arial" w:cs="Arial"/>
          <w:b/>
          <w:sz w:val="20"/>
        </w:rPr>
      </w:pPr>
    </w:p>
    <w:p w14:paraId="7E12EF6D" w14:textId="77777777" w:rsidR="00B712F8" w:rsidRPr="005D11F0" w:rsidRDefault="00B712F8" w:rsidP="00B712F8">
      <w:pPr>
        <w:pStyle w:val="Zkladntext"/>
        <w:jc w:val="both"/>
        <w:rPr>
          <w:rFonts w:ascii="Arial" w:hAnsi="Arial" w:cs="Arial"/>
          <w:b/>
          <w:sz w:val="20"/>
        </w:rPr>
      </w:pPr>
    </w:p>
    <w:p w14:paraId="37782B33" w14:textId="77777777" w:rsidR="00B712F8" w:rsidRPr="005D11F0" w:rsidRDefault="00B712F8" w:rsidP="00B712F8">
      <w:pPr>
        <w:pStyle w:val="Zkladntext"/>
        <w:jc w:val="both"/>
        <w:rPr>
          <w:rFonts w:ascii="Arial" w:hAnsi="Arial" w:cs="Arial"/>
          <w:b/>
          <w:sz w:val="20"/>
        </w:rPr>
      </w:pPr>
    </w:p>
    <w:p w14:paraId="181E0E15" w14:textId="77777777" w:rsidR="00B712F8" w:rsidRPr="005D11F0" w:rsidRDefault="00B712F8" w:rsidP="00B712F8">
      <w:pPr>
        <w:pStyle w:val="Zkladntext"/>
        <w:jc w:val="both"/>
        <w:rPr>
          <w:rFonts w:ascii="Arial" w:hAnsi="Arial" w:cs="Arial"/>
          <w:b/>
          <w:sz w:val="20"/>
        </w:rPr>
      </w:pPr>
    </w:p>
    <w:p w14:paraId="540F0B34" w14:textId="77777777" w:rsidR="00B712F8" w:rsidRPr="005D11F0" w:rsidRDefault="00B712F8" w:rsidP="00B712F8">
      <w:pPr>
        <w:pStyle w:val="Zkladntext"/>
        <w:jc w:val="both"/>
        <w:rPr>
          <w:rFonts w:ascii="Arial" w:hAnsi="Arial" w:cs="Arial"/>
          <w:b/>
          <w:sz w:val="20"/>
        </w:rPr>
      </w:pPr>
    </w:p>
    <w:p w14:paraId="602D9FFB" w14:textId="77777777" w:rsidR="00B712F8" w:rsidRPr="005D11F0" w:rsidRDefault="00B712F8" w:rsidP="00B712F8">
      <w:pPr>
        <w:pStyle w:val="Zkladntext"/>
        <w:jc w:val="both"/>
        <w:rPr>
          <w:rFonts w:ascii="Arial" w:hAnsi="Arial" w:cs="Arial"/>
          <w:b/>
          <w:sz w:val="20"/>
        </w:rPr>
      </w:pPr>
    </w:p>
    <w:p w14:paraId="514F7B2A" w14:textId="62E24A5B" w:rsidR="00B712F8" w:rsidRPr="005D11F0" w:rsidRDefault="00B712F8" w:rsidP="00B712F8">
      <w:pPr>
        <w:pStyle w:val="Zkladntext"/>
        <w:jc w:val="both"/>
        <w:rPr>
          <w:rFonts w:ascii="Arial" w:hAnsi="Arial" w:cs="Arial"/>
          <w:b/>
          <w:sz w:val="20"/>
        </w:rPr>
      </w:pPr>
    </w:p>
    <w:p w14:paraId="7134DC1D" w14:textId="77777777" w:rsidR="00B712F8" w:rsidRPr="005D11F0" w:rsidRDefault="00B712F8" w:rsidP="00B712F8">
      <w:pPr>
        <w:pStyle w:val="Zkladntext"/>
        <w:jc w:val="both"/>
        <w:rPr>
          <w:rFonts w:ascii="Arial" w:hAnsi="Arial" w:cs="Arial"/>
          <w:b/>
          <w:sz w:val="20"/>
        </w:rPr>
      </w:pPr>
    </w:p>
    <w:p w14:paraId="3B9A3695" w14:textId="0BA677B3" w:rsidR="00B712F8" w:rsidRPr="00B712F8" w:rsidRDefault="00B712F8" w:rsidP="00B712F8">
      <w:pPr>
        <w:pStyle w:val="Zkladntext"/>
        <w:jc w:val="both"/>
        <w:rPr>
          <w:rFonts w:asciiTheme="minorHAnsi" w:hAnsiTheme="minorHAnsi" w:cstheme="minorHAnsi"/>
          <w:b/>
        </w:rPr>
      </w:pPr>
      <w:r w:rsidRPr="00B712F8">
        <w:rPr>
          <w:rFonts w:asciiTheme="minorHAnsi" w:hAnsiTheme="minorHAnsi" w:cstheme="minorHAnsi"/>
          <w:b/>
        </w:rPr>
        <w:t>O společnosti Broker Consulting</w:t>
      </w:r>
    </w:p>
    <w:p w14:paraId="46DADFA7" w14:textId="77777777" w:rsidR="00F63179" w:rsidRPr="005B7E46" w:rsidRDefault="00F63179" w:rsidP="00F63179">
      <w:pPr>
        <w:jc w:val="both"/>
        <w:rPr>
          <w:rFonts w:asciiTheme="minorHAnsi" w:hAnsiTheme="minorHAnsi" w:cstheme="minorHAnsi"/>
          <w:sz w:val="20"/>
          <w:szCs w:val="20"/>
        </w:rPr>
      </w:pPr>
    </w:p>
    <w:p w14:paraId="6A9EF2EE" w14:textId="318AFB90" w:rsidR="005541A6" w:rsidRDefault="00F63179" w:rsidP="005541A6">
      <w:pPr>
        <w:jc w:val="both"/>
        <w:rPr>
          <w:rFonts w:asciiTheme="minorHAnsi" w:hAnsiTheme="minorHAnsi" w:cstheme="minorHAnsi"/>
          <w:sz w:val="20"/>
          <w:szCs w:val="20"/>
          <w:lang w:val="de-DE"/>
        </w:rPr>
      </w:pPr>
      <w:r w:rsidRPr="005B7E46">
        <w:rPr>
          <w:rFonts w:asciiTheme="minorHAnsi" w:hAnsiTheme="minorHAnsi" w:cstheme="minorHAnsi"/>
          <w:sz w:val="20"/>
          <w:szCs w:val="20"/>
        </w:rPr>
        <w:t>Broker Consulting je jednou z největších společností na českém a slovenském trhu, která poskytuje služby v oblasti financí a realit. Od rok</w:t>
      </w:r>
      <w:r w:rsidR="00DA68D5">
        <w:rPr>
          <w:rFonts w:asciiTheme="minorHAnsi" w:hAnsiTheme="minorHAnsi" w:cstheme="minorHAnsi"/>
          <w:sz w:val="20"/>
          <w:szCs w:val="20"/>
        </w:rPr>
        <w:t>u 1998 získala důvěru více než 7</w:t>
      </w:r>
      <w:r w:rsidRPr="005B7E46">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zapracování v ČR i SR</w:t>
      </w:r>
      <w:r>
        <w:rPr>
          <w:rFonts w:asciiTheme="minorHAnsi" w:hAnsiTheme="minorHAnsi" w:cstheme="minorHAnsi"/>
          <w:sz w:val="20"/>
          <w:szCs w:val="20"/>
        </w:rPr>
        <w:t>) ve více než 150 kancelářích</w:t>
      </w:r>
      <w:r w:rsidRPr="005B7E46">
        <w:rPr>
          <w:rFonts w:asciiTheme="minorHAnsi" w:hAnsiTheme="minorHAnsi" w:cstheme="minorHAnsi"/>
          <w:sz w:val="20"/>
          <w:szCs w:val="20"/>
        </w:rPr>
        <w:t xml:space="preserve"> </w:t>
      </w:r>
      <w:r>
        <w:rPr>
          <w:rFonts w:asciiTheme="minorHAnsi" w:hAnsiTheme="minorHAnsi" w:cstheme="minorHAnsi"/>
          <w:sz w:val="20"/>
          <w:szCs w:val="20"/>
        </w:rPr>
        <w:t>a na několika desítkách poboček Broker Point Premium</w:t>
      </w:r>
      <w:r w:rsidRPr="005B7E46">
        <w:rPr>
          <w:rFonts w:asciiTheme="minorHAnsi" w:hAnsiTheme="minorHAnsi" w:cstheme="minorHAnsi"/>
          <w:sz w:val="20"/>
          <w:szCs w:val="20"/>
        </w:rPr>
        <w: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w:t>
      </w:r>
      <w:r>
        <w:rPr>
          <w:rFonts w:asciiTheme="minorHAnsi" w:hAnsiTheme="minorHAnsi" w:cstheme="minorHAnsi"/>
          <w:sz w:val="20"/>
          <w:szCs w:val="20"/>
        </w:rPr>
        <w:t xml:space="preserve"> služby společně, to je Broker Point Premium,</w:t>
      </w:r>
      <w:r w:rsidRPr="00961519">
        <w:rPr>
          <w:rFonts w:asciiTheme="minorHAnsi" w:hAnsiTheme="minorHAnsi" w:cstheme="minorHAnsi"/>
          <w:sz w:val="20"/>
          <w:szCs w:val="20"/>
        </w:rPr>
        <w:t xml:space="preserve"> </w:t>
      </w:r>
      <w:r>
        <w:rPr>
          <w:rFonts w:asciiTheme="minorHAnsi" w:hAnsiTheme="minorHAnsi" w:cstheme="minorHAnsi"/>
          <w:sz w:val="20"/>
          <w:szCs w:val="20"/>
        </w:rPr>
        <w:t xml:space="preserve">jehož přináší společnost Broker Consulting, která za vedení franšízy a její podporu získala ocenění </w:t>
      </w:r>
      <w:r w:rsidRPr="00A0680F">
        <w:rPr>
          <w:rFonts w:asciiTheme="minorHAnsi" w:hAnsiTheme="minorHAnsi" w:cstheme="minorHAnsi"/>
          <w:b/>
          <w:color w:val="FF0000"/>
          <w:sz w:val="20"/>
          <w:szCs w:val="20"/>
        </w:rPr>
        <w:t>Franchisor roku 2022</w:t>
      </w:r>
      <w:r w:rsidRPr="00A0680F">
        <w:rPr>
          <w:rFonts w:asciiTheme="minorHAnsi" w:hAnsiTheme="minorHAnsi" w:cstheme="minorHAnsi"/>
          <w:color w:val="FF0000"/>
          <w:sz w:val="20"/>
          <w:szCs w:val="20"/>
        </w:rPr>
        <w:t xml:space="preserve"> </w:t>
      </w:r>
      <w:r>
        <w:rPr>
          <w:rFonts w:asciiTheme="minorHAnsi" w:hAnsiTheme="minorHAnsi" w:cstheme="minorHAnsi"/>
          <w:sz w:val="20"/>
          <w:szCs w:val="20"/>
        </w:rPr>
        <w:t>od České asociace franchisingu</w:t>
      </w:r>
      <w:r w:rsidRPr="005B7E46">
        <w:rPr>
          <w:rFonts w:asciiTheme="minorHAnsi" w:hAnsiTheme="minorHAnsi" w:cstheme="minorHAnsi"/>
          <w:sz w:val="20"/>
          <w:szCs w:val="20"/>
        </w:rPr>
        <w:t xml:space="preserve">. </w:t>
      </w:r>
      <w:r w:rsidRPr="005B7E46">
        <w:rPr>
          <w:rStyle w:val="dn"/>
          <w:rFonts w:asciiTheme="minorHAnsi" w:hAnsiTheme="minorHAnsi" w:cstheme="minorHAnsi"/>
          <w:sz w:val="20"/>
          <w:szCs w:val="20"/>
        </w:rPr>
        <w:t xml:space="preserve">Více na </w:t>
      </w:r>
      <w:hyperlink r:id="rId9" w:history="1">
        <w:r w:rsidRPr="005B7E46">
          <w:rPr>
            <w:rStyle w:val="Hypertextovodkaz"/>
            <w:rFonts w:asciiTheme="minorHAnsi" w:hAnsiTheme="minorHAnsi" w:cstheme="minorHAnsi"/>
            <w:color w:val="auto"/>
            <w:sz w:val="20"/>
            <w:szCs w:val="20"/>
          </w:rPr>
          <w:t>bcas.cz</w:t>
        </w:r>
      </w:hyperlink>
      <w:r w:rsidRPr="005B7E46">
        <w:rPr>
          <w:rStyle w:val="Hypertextovodkaz"/>
          <w:rFonts w:asciiTheme="minorHAnsi" w:hAnsiTheme="minorHAnsi" w:cstheme="minorHAnsi"/>
          <w:color w:val="auto"/>
          <w:sz w:val="20"/>
          <w:szCs w:val="20"/>
          <w:u w:val="none"/>
        </w:rPr>
        <w:t xml:space="preserve">, </w:t>
      </w:r>
      <w:hyperlink r:id="rId10" w:history="1">
        <w:r>
          <w:rPr>
            <w:rStyle w:val="Hypertextovodkaz"/>
            <w:rFonts w:asciiTheme="minorHAnsi" w:hAnsiTheme="minorHAnsi" w:cstheme="minorHAnsi"/>
            <w:color w:val="auto"/>
            <w:sz w:val="20"/>
            <w:szCs w:val="20"/>
          </w:rPr>
          <w:t>brokerpointy</w:t>
        </w:r>
        <w:r w:rsidRPr="005B7E46">
          <w:rPr>
            <w:rStyle w:val="Hypertextovodkaz"/>
            <w:rFonts w:asciiTheme="minorHAnsi" w:hAnsiTheme="minorHAnsi" w:cstheme="minorHAnsi"/>
            <w:color w:val="auto"/>
            <w:sz w:val="20"/>
            <w:szCs w:val="20"/>
          </w:rPr>
          <w:t>.cz</w:t>
        </w:r>
      </w:hyperlink>
      <w:r w:rsidRPr="005B7E46">
        <w:rPr>
          <w:rStyle w:val="Hypertextovodkaz"/>
          <w:rFonts w:asciiTheme="minorHAnsi" w:hAnsiTheme="minorHAnsi" w:cstheme="minorHAnsi"/>
          <w:color w:val="auto"/>
          <w:sz w:val="20"/>
          <w:szCs w:val="20"/>
          <w:u w:val="none"/>
        </w:rPr>
        <w:t xml:space="preserve">, </w:t>
      </w:r>
      <w:r>
        <w:rPr>
          <w:rStyle w:val="Hypertextovodkaz"/>
          <w:rFonts w:asciiTheme="minorHAnsi" w:hAnsiTheme="minorHAnsi" w:cstheme="minorHAnsi"/>
          <w:color w:val="auto"/>
          <w:sz w:val="20"/>
          <w:szCs w:val="20"/>
          <w:u w:val="none"/>
        </w:rPr>
        <w:t>brokerpoint</w:t>
      </w:r>
      <w:hyperlink r:id="rId11" w:history="1">
        <w:r w:rsidRPr="005B7E46">
          <w:rPr>
            <w:rStyle w:val="Hypertextovodkaz"/>
            <w:rFonts w:asciiTheme="minorHAnsi" w:hAnsiTheme="minorHAnsi" w:cstheme="minorHAnsi"/>
            <w:color w:val="auto"/>
            <w:sz w:val="20"/>
            <w:szCs w:val="20"/>
          </w:rPr>
          <w:t>.tv</w:t>
        </w:r>
      </w:hyperlink>
      <w:r w:rsidRPr="005B7E46">
        <w:rPr>
          <w:rStyle w:val="dn"/>
          <w:rFonts w:asciiTheme="minorHAnsi" w:hAnsiTheme="minorHAnsi" w:cstheme="minorHAnsi"/>
          <w:sz w:val="20"/>
          <w:szCs w:val="20"/>
        </w:rPr>
        <w:t xml:space="preserve"> a na </w:t>
      </w:r>
      <w:hyperlink r:id="rId12" w:history="1">
        <w:r w:rsidRPr="005B7E46">
          <w:rPr>
            <w:rStyle w:val="Hypertextovodkaz"/>
            <w:rFonts w:asciiTheme="minorHAnsi" w:hAnsiTheme="minorHAnsi" w:cstheme="minorHAnsi"/>
            <w:color w:val="auto"/>
            <w:sz w:val="20"/>
            <w:szCs w:val="20"/>
          </w:rPr>
          <w:t>realityspolu.cz</w:t>
        </w:r>
      </w:hyperlink>
      <w:r w:rsidRPr="005B7E46">
        <w:rPr>
          <w:rStyle w:val="Hypertextovodkaz"/>
          <w:rFonts w:asciiTheme="minorHAnsi" w:hAnsiTheme="minorHAnsi" w:cstheme="minorHAnsi"/>
          <w:color w:val="auto"/>
          <w:sz w:val="20"/>
          <w:szCs w:val="20"/>
          <w:u w:val="none"/>
        </w:rPr>
        <w:t xml:space="preserve">. </w:t>
      </w:r>
      <w:r w:rsidRPr="005B7E46">
        <w:rPr>
          <w:rStyle w:val="dn"/>
          <w:rFonts w:asciiTheme="minorHAnsi" w:hAnsiTheme="minorHAnsi" w:cstheme="minorHAnsi"/>
          <w:sz w:val="20"/>
          <w:szCs w:val="20"/>
        </w:rPr>
        <w:t xml:space="preserve">Navštivte také náš </w:t>
      </w:r>
      <w:hyperlink r:id="rId13"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w:t>
      </w:r>
      <w:hyperlink r:id="rId14" w:history="1">
        <w:r w:rsidRPr="005B7E46">
          <w:rPr>
            <w:rStyle w:val="Hypertextovodkaz"/>
            <w:rFonts w:asciiTheme="minorHAnsi" w:hAnsiTheme="minorHAnsi" w:cstheme="minorHAnsi"/>
            <w:color w:val="auto"/>
            <w:sz w:val="20"/>
            <w:szCs w:val="20"/>
          </w:rPr>
          <w:t>LinkedIN</w:t>
        </w:r>
      </w:hyperlink>
      <w:r w:rsidRPr="005B7E46">
        <w:rPr>
          <w:rStyle w:val="dn"/>
          <w:rFonts w:asciiTheme="minorHAnsi" w:hAnsiTheme="minorHAnsi" w:cstheme="minorHAnsi"/>
          <w:sz w:val="20"/>
          <w:szCs w:val="20"/>
        </w:rPr>
        <w:t xml:space="preserve"> Broker Consulting, Twitter </w:t>
      </w:r>
      <w:r w:rsidRPr="005B7E46">
        <w:rPr>
          <w:rFonts w:asciiTheme="minorHAnsi" w:hAnsiTheme="minorHAnsi" w:cstheme="minorHAnsi"/>
          <w:sz w:val="20"/>
          <w:szCs w:val="20"/>
          <w:shd w:val="clear" w:color="auto" w:fill="FFFFFF"/>
        </w:rPr>
        <w:t xml:space="preserve">@BC_oficialni, </w:t>
      </w:r>
      <w:r w:rsidRPr="005B7E46">
        <w:rPr>
          <w:rStyle w:val="dn"/>
          <w:rFonts w:asciiTheme="minorHAnsi" w:hAnsiTheme="minorHAnsi" w:cstheme="minorHAnsi"/>
          <w:sz w:val="20"/>
          <w:szCs w:val="20"/>
        </w:rPr>
        <w:t xml:space="preserve"> </w:t>
      </w:r>
      <w:hyperlink r:id="rId15" w:history="1">
        <w:r w:rsidRPr="005B7E46">
          <w:rPr>
            <w:rStyle w:val="Hypertextovodkaz"/>
            <w:rFonts w:asciiTheme="minorHAnsi" w:hAnsiTheme="minorHAnsi" w:cstheme="minorHAnsi"/>
            <w:color w:val="auto"/>
            <w:sz w:val="20"/>
            <w:szCs w:val="20"/>
          </w:rPr>
          <w:t>Facebook</w:t>
        </w:r>
      </w:hyperlink>
      <w:r w:rsidRPr="005B7E46">
        <w:rPr>
          <w:rStyle w:val="dn"/>
          <w:rFonts w:asciiTheme="minorHAnsi" w:hAnsiTheme="minorHAnsi" w:cstheme="minorHAnsi"/>
          <w:sz w:val="20"/>
          <w:szCs w:val="20"/>
        </w:rPr>
        <w:t xml:space="preserve"> a </w:t>
      </w:r>
      <w:hyperlink r:id="rId16" w:history="1">
        <w:r w:rsidRPr="005B7E46">
          <w:rPr>
            <w:rStyle w:val="Hypertextovodkaz"/>
            <w:rFonts w:asciiTheme="minorHAnsi" w:hAnsiTheme="minorHAnsi" w:cstheme="minorHAnsi"/>
            <w:color w:val="auto"/>
            <w:sz w:val="20"/>
            <w:szCs w:val="20"/>
          </w:rPr>
          <w:t>LinkedI</w:t>
        </w:r>
      </w:hyperlink>
      <w:r w:rsidRPr="005B7E46">
        <w:rPr>
          <w:rStyle w:val="Hypertextovodkaz"/>
          <w:rFonts w:asciiTheme="minorHAnsi" w:hAnsiTheme="minorHAnsi" w:cstheme="minorHAnsi"/>
          <w:color w:val="auto"/>
          <w:sz w:val="20"/>
          <w:szCs w:val="20"/>
        </w:rPr>
        <w:t>N</w:t>
      </w:r>
      <w:r>
        <w:rPr>
          <w:rStyle w:val="dn"/>
          <w:rFonts w:asciiTheme="minorHAnsi" w:hAnsiTheme="minorHAnsi" w:cstheme="minorHAnsi"/>
          <w:sz w:val="20"/>
          <w:szCs w:val="20"/>
        </w:rPr>
        <w:t xml:space="preserve"> Broker Point Premium</w:t>
      </w:r>
      <w:r w:rsidRPr="005B7E46">
        <w:rPr>
          <w:rStyle w:val="dn"/>
          <w:rFonts w:asciiTheme="minorHAnsi" w:hAnsiTheme="minorHAnsi" w:cstheme="minorHAnsi"/>
          <w:sz w:val="20"/>
          <w:szCs w:val="20"/>
        </w:rPr>
        <w:t xml:space="preserve">. </w:t>
      </w:r>
    </w:p>
    <w:p w14:paraId="754C4A66" w14:textId="1E3039F0" w:rsidR="009E6D78" w:rsidRPr="004F1CA3" w:rsidRDefault="00517EF2" w:rsidP="005541A6">
      <w:pPr>
        <w:spacing w:after="120"/>
        <w:jc w:val="center"/>
        <w:rPr>
          <w:rFonts w:asciiTheme="minorHAnsi" w:hAnsiTheme="minorHAnsi" w:cstheme="minorHAnsi"/>
          <w:color w:val="000000" w:themeColor="text1"/>
          <w:sz w:val="20"/>
          <w:szCs w:val="20"/>
          <w:lang w:val="de-DE"/>
        </w:rPr>
      </w:pPr>
      <w:r>
        <w:rPr>
          <w:rFonts w:asciiTheme="minorHAnsi" w:hAnsiTheme="minorHAnsi" w:cstheme="minorHAnsi"/>
          <w:b/>
          <w:color w:val="000000" w:themeColor="text1"/>
          <w:sz w:val="30"/>
          <w:szCs w:val="30"/>
        </w:rPr>
        <w:lastRenderedPageBreak/>
        <w:t>Ceny povinného ručení zůstávají takřka beze změn</w:t>
      </w:r>
    </w:p>
    <w:p w14:paraId="16AB1248" w14:textId="1FA17004" w:rsidR="00A577B7" w:rsidRPr="00197411" w:rsidRDefault="0058601E" w:rsidP="000D1503">
      <w:pPr>
        <w:pStyle w:val="Odstavecseseznamem"/>
        <w:numPr>
          <w:ilvl w:val="0"/>
          <w:numId w:val="24"/>
        </w:numPr>
        <w:ind w:left="357" w:right="40" w:hanging="357"/>
        <w:rPr>
          <w:rFonts w:asciiTheme="minorHAnsi" w:hAnsiTheme="minorHAnsi" w:cstheme="minorHAnsi"/>
          <w:b/>
          <w:color w:val="000000" w:themeColor="text1"/>
        </w:rPr>
      </w:pPr>
      <w:r w:rsidRPr="00197411">
        <w:rPr>
          <w:rFonts w:asciiTheme="minorHAnsi" w:hAnsiTheme="minorHAnsi" w:cstheme="minorHAnsi"/>
          <w:b/>
          <w:color w:val="000000" w:themeColor="text1"/>
        </w:rPr>
        <w:t>Pr</w:t>
      </w:r>
      <w:r w:rsidR="00A577B7" w:rsidRPr="00197411">
        <w:rPr>
          <w:rFonts w:asciiTheme="minorHAnsi" w:hAnsiTheme="minorHAnsi" w:cstheme="minorHAnsi"/>
          <w:b/>
          <w:color w:val="000000" w:themeColor="text1"/>
        </w:rPr>
        <w:t xml:space="preserve">ůměrné náklady na pojištění typického vozu </w:t>
      </w:r>
      <w:r w:rsidRPr="00197411">
        <w:rPr>
          <w:rFonts w:asciiTheme="minorHAnsi" w:hAnsiTheme="minorHAnsi" w:cstheme="minorHAnsi"/>
          <w:b/>
          <w:color w:val="000000" w:themeColor="text1"/>
        </w:rPr>
        <w:t>v září mírně klesly</w:t>
      </w:r>
      <w:r w:rsidR="00A577B7" w:rsidRPr="00197411">
        <w:rPr>
          <w:rFonts w:asciiTheme="minorHAnsi" w:hAnsiTheme="minorHAnsi" w:cstheme="minorHAnsi"/>
          <w:b/>
          <w:color w:val="000000" w:themeColor="text1"/>
        </w:rPr>
        <w:t>.</w:t>
      </w:r>
    </w:p>
    <w:p w14:paraId="096765A6" w14:textId="1877010E" w:rsidR="0058601E" w:rsidRPr="00197411" w:rsidRDefault="00A577B7" w:rsidP="000D1503">
      <w:pPr>
        <w:pStyle w:val="Odstavecseseznamem"/>
        <w:numPr>
          <w:ilvl w:val="0"/>
          <w:numId w:val="24"/>
        </w:numPr>
        <w:ind w:left="357" w:right="40" w:hanging="357"/>
        <w:rPr>
          <w:rFonts w:asciiTheme="minorHAnsi" w:hAnsiTheme="minorHAnsi" w:cstheme="minorHAnsi"/>
          <w:b/>
          <w:color w:val="000000" w:themeColor="text1"/>
        </w:rPr>
      </w:pPr>
      <w:r w:rsidRPr="00197411">
        <w:rPr>
          <w:rFonts w:asciiTheme="minorHAnsi" w:hAnsiTheme="minorHAnsi" w:cstheme="minorHAnsi"/>
          <w:b/>
          <w:color w:val="000000" w:themeColor="text1"/>
        </w:rPr>
        <w:t>Broker Consulting Index evidoval v září hodnotu</w:t>
      </w:r>
      <w:r w:rsidR="0058601E" w:rsidRPr="00197411">
        <w:rPr>
          <w:rFonts w:asciiTheme="minorHAnsi" w:hAnsiTheme="minorHAnsi" w:cstheme="minorHAnsi"/>
          <w:b/>
          <w:color w:val="000000" w:themeColor="text1"/>
        </w:rPr>
        <w:t xml:space="preserve"> </w:t>
      </w:r>
      <w:r w:rsidRPr="00197411">
        <w:rPr>
          <w:rFonts w:asciiTheme="minorHAnsi" w:hAnsiTheme="minorHAnsi" w:cstheme="minorHAnsi"/>
          <w:b/>
          <w:color w:val="000000" w:themeColor="text1"/>
        </w:rPr>
        <w:t xml:space="preserve">7 </w:t>
      </w:r>
      <w:r w:rsidR="0058601E" w:rsidRPr="00197411">
        <w:rPr>
          <w:rFonts w:asciiTheme="minorHAnsi" w:hAnsiTheme="minorHAnsi" w:cstheme="minorHAnsi"/>
          <w:b/>
          <w:color w:val="000000" w:themeColor="text1"/>
        </w:rPr>
        <w:t>152 korun.</w:t>
      </w:r>
    </w:p>
    <w:p w14:paraId="28703ED8" w14:textId="4DABB729" w:rsidR="00A577B7" w:rsidRPr="00197411" w:rsidRDefault="00A577B7" w:rsidP="000D1503">
      <w:pPr>
        <w:pStyle w:val="Odstavecseseznamem"/>
        <w:numPr>
          <w:ilvl w:val="0"/>
          <w:numId w:val="24"/>
        </w:numPr>
        <w:ind w:left="357" w:right="40" w:hanging="357"/>
        <w:rPr>
          <w:rFonts w:asciiTheme="minorHAnsi" w:hAnsiTheme="minorHAnsi" w:cstheme="minorHAnsi"/>
          <w:b/>
          <w:color w:val="000000" w:themeColor="text1"/>
        </w:rPr>
      </w:pPr>
      <w:r w:rsidRPr="00197411">
        <w:rPr>
          <w:rFonts w:asciiTheme="minorHAnsi" w:eastAsia="Times New Roman" w:hAnsiTheme="minorHAnsi" w:cstheme="minorHAnsi"/>
          <w:b/>
          <w:sz w:val="21"/>
          <w:szCs w:val="21"/>
        </w:rPr>
        <w:t>Od prvního října se mění podmínky v zákoně o povinném ručení.</w:t>
      </w:r>
    </w:p>
    <w:p w14:paraId="598575A9" w14:textId="33DFD40E" w:rsidR="003009FF" w:rsidRPr="00197411" w:rsidRDefault="003009FF" w:rsidP="00197411">
      <w:pPr>
        <w:ind w:right="40"/>
        <w:rPr>
          <w:rFonts w:asciiTheme="minorHAnsi" w:hAnsiTheme="minorHAnsi" w:cstheme="minorHAnsi"/>
          <w:b/>
          <w:color w:val="FF0000"/>
        </w:rPr>
      </w:pPr>
    </w:p>
    <w:p w14:paraId="2B3185B8" w14:textId="45B74692" w:rsidR="003009FF" w:rsidRPr="00860697" w:rsidRDefault="00A577B7" w:rsidP="003009FF">
      <w:pPr>
        <w:spacing w:before="100" w:beforeAutospacing="1" w:after="100" w:afterAutospacing="1"/>
        <w:jc w:val="both"/>
        <w:rPr>
          <w:rFonts w:asciiTheme="minorHAnsi" w:eastAsia="Times New Roman" w:hAnsiTheme="minorHAnsi" w:cstheme="minorHAnsi"/>
          <w:sz w:val="21"/>
          <w:szCs w:val="21"/>
        </w:rPr>
      </w:pPr>
      <w:r>
        <w:rPr>
          <w:rFonts w:asciiTheme="minorHAnsi" w:eastAsia="Times New Roman" w:hAnsiTheme="minorHAnsi" w:cstheme="minorHAnsi"/>
          <w:sz w:val="21"/>
          <w:szCs w:val="21"/>
        </w:rPr>
        <w:t>Praha, 8</w:t>
      </w:r>
      <w:r w:rsidR="003009FF" w:rsidRPr="00860697">
        <w:rPr>
          <w:rFonts w:asciiTheme="minorHAnsi" w:eastAsia="Times New Roman" w:hAnsiTheme="minorHAnsi" w:cstheme="minorHAnsi"/>
          <w:sz w:val="21"/>
          <w:szCs w:val="21"/>
        </w:rPr>
        <w:t>. října 2024 –</w:t>
      </w:r>
      <w:r w:rsidR="003009FF" w:rsidRPr="00197411">
        <w:rPr>
          <w:rFonts w:asciiTheme="minorHAnsi" w:eastAsia="Times New Roman" w:hAnsiTheme="minorHAnsi" w:cstheme="minorHAnsi"/>
          <w:sz w:val="21"/>
          <w:szCs w:val="21"/>
        </w:rPr>
        <w:t xml:space="preserve"> </w:t>
      </w:r>
      <w:r w:rsidR="003009FF" w:rsidRPr="00197411">
        <w:rPr>
          <w:rFonts w:asciiTheme="minorHAnsi" w:eastAsia="Times New Roman" w:hAnsiTheme="minorHAnsi" w:cstheme="minorHAnsi"/>
          <w:b/>
          <w:sz w:val="21"/>
          <w:szCs w:val="21"/>
        </w:rPr>
        <w:t xml:space="preserve">Náklady na pojištění typického vozu zůstaly v září téměř na stejné úrovni jako v předchozím měsíci. Provozovatelé nové Škody Octavie 1,6 TDI, 85 kW, a dalších podobných vozů, tak nemuseli čelit výrazným změnám. Broker Consulting Index ukázal, že se průměrné hodnoty v září snížily ze srpnových 7 155 korun na 7 152 korun. Nejvýhodnější povinné ručení zaznamenal Index v roce 2020, kdy se náklady pohybovaly na historickém minimu 6 410 korun. </w:t>
      </w:r>
      <w:r w:rsidRPr="00197411">
        <w:rPr>
          <w:rFonts w:asciiTheme="minorHAnsi" w:hAnsiTheme="minorHAnsi" w:cstheme="minorHAnsi"/>
          <w:b/>
          <w:color w:val="000000" w:themeColor="text1"/>
          <w:sz w:val="21"/>
          <w:szCs w:val="21"/>
        </w:rPr>
        <w:t>Od 1. října se mění pravidla povinného ručení, přinášíme přehled nejdůležitějších změn.</w:t>
      </w:r>
    </w:p>
    <w:p w14:paraId="25E3B345" w14:textId="77777777" w:rsidR="003009FF" w:rsidRPr="005C5CF7" w:rsidRDefault="003009FF" w:rsidP="003009FF">
      <w:pPr>
        <w:spacing w:before="100" w:beforeAutospacing="1" w:after="100" w:afterAutospacing="1"/>
        <w:jc w:val="both"/>
        <w:rPr>
          <w:rFonts w:asciiTheme="minorHAnsi" w:hAnsiTheme="minorHAnsi" w:cstheme="minorHAnsi"/>
          <w:b/>
          <w:sz w:val="21"/>
          <w:szCs w:val="21"/>
        </w:rPr>
      </w:pPr>
      <w:r w:rsidRPr="00860697">
        <w:rPr>
          <w:rFonts w:asciiTheme="minorHAnsi" w:eastAsia="Times New Roman" w:hAnsiTheme="minorHAnsi" w:cstheme="minorHAnsi"/>
          <w:sz w:val="21"/>
          <w:szCs w:val="21"/>
        </w:rPr>
        <w:t>Broker Consulting Index povinného ručení, který sleduje vývoj pojistných nákladů</w:t>
      </w:r>
      <w:r w:rsidRPr="005C5CF7">
        <w:rPr>
          <w:rFonts w:asciiTheme="minorHAnsi" w:eastAsia="Times New Roman" w:hAnsiTheme="minorHAnsi" w:cstheme="minorHAnsi"/>
          <w:sz w:val="21"/>
          <w:szCs w:val="21"/>
        </w:rPr>
        <w:t xml:space="preserve"> pro řidiče bez historie</w:t>
      </w:r>
      <w:r w:rsidRPr="00860697">
        <w:rPr>
          <w:rFonts w:asciiTheme="minorHAnsi" w:eastAsia="Times New Roman" w:hAnsiTheme="minorHAnsi" w:cstheme="minorHAnsi"/>
          <w:sz w:val="21"/>
          <w:szCs w:val="21"/>
        </w:rPr>
        <w:t xml:space="preserve">, vykazuje i nadále stabilní hodnoty. </w:t>
      </w:r>
      <w:r w:rsidRPr="005C5CF7">
        <w:rPr>
          <w:rFonts w:asciiTheme="minorHAnsi" w:eastAsia="Times New Roman" w:hAnsiTheme="minorHAnsi" w:cstheme="minorHAnsi"/>
          <w:i/>
          <w:sz w:val="21"/>
          <w:szCs w:val="21"/>
        </w:rPr>
        <w:t>„</w:t>
      </w:r>
      <w:r w:rsidRPr="00860697">
        <w:rPr>
          <w:rFonts w:asciiTheme="minorHAnsi" w:eastAsia="Times New Roman" w:hAnsiTheme="minorHAnsi" w:cstheme="minorHAnsi"/>
          <w:i/>
          <w:sz w:val="21"/>
          <w:szCs w:val="21"/>
        </w:rPr>
        <w:t>Průměrné náklady zůstávají nad hranicí sedmi tisíc</w:t>
      </w:r>
      <w:r w:rsidRPr="005C5CF7">
        <w:rPr>
          <w:rFonts w:asciiTheme="minorHAnsi" w:eastAsia="Times New Roman" w:hAnsiTheme="minorHAnsi" w:cstheme="minorHAnsi"/>
          <w:i/>
          <w:sz w:val="21"/>
          <w:szCs w:val="21"/>
        </w:rPr>
        <w:t xml:space="preserve"> korun (7 152 Kč), nicméně jejich růst </w:t>
      </w:r>
      <w:r w:rsidRPr="00860697">
        <w:rPr>
          <w:rFonts w:asciiTheme="minorHAnsi" w:eastAsia="Times New Roman" w:hAnsiTheme="minorHAnsi" w:cstheme="minorHAnsi"/>
          <w:i/>
          <w:sz w:val="21"/>
          <w:szCs w:val="21"/>
        </w:rPr>
        <w:t xml:space="preserve">byl v posledních pěti letech pozvolný a </w:t>
      </w:r>
      <w:r w:rsidRPr="005C5CF7">
        <w:rPr>
          <w:rFonts w:asciiTheme="minorHAnsi" w:eastAsia="Times New Roman" w:hAnsiTheme="minorHAnsi" w:cstheme="minorHAnsi"/>
          <w:i/>
          <w:sz w:val="21"/>
          <w:szCs w:val="21"/>
        </w:rPr>
        <w:t xml:space="preserve">poměrně předvídatelný. </w:t>
      </w:r>
      <w:r w:rsidRPr="005C5CF7">
        <w:rPr>
          <w:rFonts w:asciiTheme="minorHAnsi" w:hAnsiTheme="minorHAnsi" w:cstheme="minorHAnsi"/>
          <w:i/>
          <w:sz w:val="21"/>
          <w:szCs w:val="21"/>
        </w:rPr>
        <w:t>Sledujeme zvyšující se ceny náhradních dílů i lidské práce, což se promítá do výše povinného ručení,“</w:t>
      </w:r>
      <w:r w:rsidRPr="005C5CF7">
        <w:rPr>
          <w:rFonts w:asciiTheme="minorHAnsi" w:hAnsiTheme="minorHAnsi" w:cstheme="minorHAnsi"/>
          <w:sz w:val="21"/>
          <w:szCs w:val="21"/>
        </w:rPr>
        <w:t xml:space="preserve"> vysvětluje </w:t>
      </w:r>
      <w:r w:rsidRPr="005C5CF7">
        <w:rPr>
          <w:rFonts w:asciiTheme="minorHAnsi" w:hAnsiTheme="minorHAnsi" w:cstheme="minorHAnsi"/>
          <w:b/>
          <w:sz w:val="21"/>
          <w:szCs w:val="21"/>
        </w:rPr>
        <w:t xml:space="preserve">Jiří Váchal, analytik neživotního pojištění ze společnosti Broker Consulting. </w:t>
      </w:r>
    </w:p>
    <w:p w14:paraId="2B612639" w14:textId="77777777" w:rsidR="003009FF" w:rsidRPr="00860697" w:rsidRDefault="003009FF" w:rsidP="003009FF">
      <w:pPr>
        <w:spacing w:before="100" w:beforeAutospacing="1" w:after="100" w:afterAutospacing="1"/>
        <w:jc w:val="both"/>
        <w:rPr>
          <w:rFonts w:asciiTheme="minorHAnsi" w:eastAsia="Times New Roman" w:hAnsiTheme="minorHAnsi" w:cstheme="minorHAnsi"/>
          <w:sz w:val="21"/>
          <w:szCs w:val="21"/>
        </w:rPr>
      </w:pPr>
      <w:r w:rsidRPr="005C5CF7">
        <w:rPr>
          <w:rFonts w:asciiTheme="minorHAnsi" w:eastAsia="Times New Roman" w:hAnsiTheme="minorHAnsi" w:cstheme="minorHAnsi"/>
          <w:sz w:val="21"/>
          <w:szCs w:val="21"/>
        </w:rPr>
        <w:t>Podobný vývoj evidujeme</w:t>
      </w:r>
      <w:r w:rsidRPr="00860697">
        <w:rPr>
          <w:rFonts w:asciiTheme="minorHAnsi" w:eastAsia="Times New Roman" w:hAnsiTheme="minorHAnsi" w:cstheme="minorHAnsi"/>
          <w:sz w:val="21"/>
          <w:szCs w:val="21"/>
        </w:rPr>
        <w:t xml:space="preserve"> i v Praze. </w:t>
      </w:r>
      <w:r w:rsidRPr="005C5CF7">
        <w:rPr>
          <w:rFonts w:asciiTheme="minorHAnsi" w:eastAsia="Times New Roman" w:hAnsiTheme="minorHAnsi" w:cstheme="minorHAnsi"/>
          <w:sz w:val="21"/>
          <w:szCs w:val="21"/>
        </w:rPr>
        <w:t>Nejvyšší hodnotu zaznamenal Index v roce 2019, kdy se</w:t>
      </w:r>
      <w:r w:rsidRPr="00860697">
        <w:rPr>
          <w:rFonts w:asciiTheme="minorHAnsi" w:eastAsia="Times New Roman" w:hAnsiTheme="minorHAnsi" w:cstheme="minorHAnsi"/>
          <w:sz w:val="21"/>
          <w:szCs w:val="21"/>
        </w:rPr>
        <w:t xml:space="preserve"> průměrné náklady</w:t>
      </w:r>
      <w:r w:rsidRPr="005C5CF7">
        <w:rPr>
          <w:rFonts w:asciiTheme="minorHAnsi" w:eastAsia="Times New Roman" w:hAnsiTheme="minorHAnsi" w:cstheme="minorHAnsi"/>
          <w:sz w:val="21"/>
          <w:szCs w:val="21"/>
        </w:rPr>
        <w:t xml:space="preserve"> na povinné ručení vyšplhaly na 8 849 korun. </w:t>
      </w:r>
      <w:r w:rsidRPr="005C5CF7">
        <w:rPr>
          <w:rFonts w:eastAsia="Times New Roman" w:cstheme="minorHAnsi"/>
          <w:i/>
          <w:sz w:val="21"/>
          <w:szCs w:val="21"/>
        </w:rPr>
        <w:t>„</w:t>
      </w:r>
      <w:r w:rsidRPr="005C5CF7">
        <w:rPr>
          <w:rFonts w:asciiTheme="minorHAnsi" w:eastAsia="Times New Roman" w:hAnsiTheme="minorHAnsi" w:cstheme="minorHAnsi"/>
          <w:i/>
          <w:sz w:val="21"/>
          <w:szCs w:val="21"/>
        </w:rPr>
        <w:t>Hned následující rok došlo k výraznému poklesu (7 238 Kč) a řidiči si tak až do letošního roku mohli sjednávat povinné ručení s cenovkou pod hranicí osmi tisíc korun. L</w:t>
      </w:r>
      <w:r w:rsidRPr="00860697">
        <w:rPr>
          <w:rFonts w:asciiTheme="minorHAnsi" w:eastAsia="Times New Roman" w:hAnsiTheme="minorHAnsi" w:cstheme="minorHAnsi"/>
          <w:i/>
          <w:sz w:val="21"/>
          <w:szCs w:val="21"/>
        </w:rPr>
        <w:t>eto</w:t>
      </w:r>
      <w:r w:rsidRPr="005C5CF7">
        <w:rPr>
          <w:rFonts w:asciiTheme="minorHAnsi" w:eastAsia="Times New Roman" w:hAnsiTheme="minorHAnsi" w:cstheme="minorHAnsi"/>
          <w:i/>
          <w:sz w:val="21"/>
          <w:szCs w:val="21"/>
        </w:rPr>
        <w:t xml:space="preserve">šní září hlásí hodnotu </w:t>
      </w:r>
      <w:r w:rsidRPr="00860697">
        <w:rPr>
          <w:rFonts w:asciiTheme="minorHAnsi" w:eastAsia="Times New Roman" w:hAnsiTheme="minorHAnsi" w:cstheme="minorHAnsi"/>
          <w:i/>
          <w:sz w:val="21"/>
          <w:szCs w:val="21"/>
        </w:rPr>
        <w:t>8 002 korun</w:t>
      </w:r>
      <w:r w:rsidRPr="005C5CF7">
        <w:rPr>
          <w:rFonts w:asciiTheme="minorHAnsi" w:eastAsia="Times New Roman" w:hAnsiTheme="minorHAnsi" w:cstheme="minorHAnsi"/>
          <w:i/>
          <w:sz w:val="21"/>
          <w:szCs w:val="21"/>
        </w:rPr>
        <w:t xml:space="preserve"> a kopíruje trend pozvolného růstu cen,“</w:t>
      </w:r>
      <w:r w:rsidRPr="005C5CF7">
        <w:rPr>
          <w:rFonts w:asciiTheme="minorHAnsi" w:eastAsia="Times New Roman" w:hAnsiTheme="minorHAnsi" w:cstheme="minorHAnsi"/>
          <w:sz w:val="21"/>
          <w:szCs w:val="21"/>
        </w:rPr>
        <w:t xml:space="preserve"> dodávám </w:t>
      </w:r>
      <w:r w:rsidRPr="005C5CF7">
        <w:rPr>
          <w:rFonts w:asciiTheme="minorHAnsi" w:eastAsia="Times New Roman" w:hAnsiTheme="minorHAnsi" w:cstheme="minorHAnsi"/>
          <w:b/>
          <w:sz w:val="21"/>
          <w:szCs w:val="21"/>
        </w:rPr>
        <w:t>Jiří Váchal.</w:t>
      </w:r>
      <w:r w:rsidRPr="005C5CF7">
        <w:rPr>
          <w:rFonts w:asciiTheme="minorHAnsi" w:eastAsia="Times New Roman" w:hAnsiTheme="minorHAnsi" w:cstheme="minorHAnsi"/>
          <w:sz w:val="21"/>
          <w:szCs w:val="21"/>
        </w:rPr>
        <w:t xml:space="preserve"> </w:t>
      </w:r>
    </w:p>
    <w:p w14:paraId="3EB5AC7D" w14:textId="55D731DE" w:rsidR="003009FF" w:rsidRPr="003009FF" w:rsidRDefault="003009FF" w:rsidP="003009FF">
      <w:pPr>
        <w:spacing w:before="100" w:beforeAutospacing="1" w:after="100" w:afterAutospacing="1"/>
        <w:jc w:val="both"/>
        <w:rPr>
          <w:rFonts w:asciiTheme="minorHAnsi" w:eastAsia="Times New Roman" w:hAnsiTheme="minorHAnsi" w:cstheme="minorHAnsi"/>
          <w:sz w:val="21"/>
          <w:szCs w:val="21"/>
        </w:rPr>
      </w:pPr>
      <w:r w:rsidRPr="00860697">
        <w:rPr>
          <w:rFonts w:asciiTheme="minorHAnsi" w:eastAsia="Times New Roman" w:hAnsiTheme="minorHAnsi" w:cstheme="minorHAnsi"/>
          <w:sz w:val="21"/>
          <w:szCs w:val="21"/>
        </w:rPr>
        <w:t>Ve středočeském Be</w:t>
      </w:r>
      <w:r w:rsidRPr="005C5CF7">
        <w:rPr>
          <w:rFonts w:asciiTheme="minorHAnsi" w:eastAsia="Times New Roman" w:hAnsiTheme="minorHAnsi" w:cstheme="minorHAnsi"/>
          <w:sz w:val="21"/>
          <w:szCs w:val="21"/>
        </w:rPr>
        <w:t>nešově je situace obdobná. Zatímco v roce 2019 Index evidoval nejvyšší hodnotu (</w:t>
      </w:r>
      <w:r w:rsidRPr="00860697">
        <w:rPr>
          <w:rFonts w:asciiTheme="minorHAnsi" w:eastAsia="Times New Roman" w:hAnsiTheme="minorHAnsi" w:cstheme="minorHAnsi"/>
          <w:sz w:val="21"/>
          <w:szCs w:val="21"/>
        </w:rPr>
        <w:t>6 582 korun</w:t>
      </w:r>
      <w:r w:rsidRPr="005C5CF7">
        <w:rPr>
          <w:rFonts w:asciiTheme="minorHAnsi" w:eastAsia="Times New Roman" w:hAnsiTheme="minorHAnsi" w:cstheme="minorHAnsi"/>
          <w:sz w:val="21"/>
          <w:szCs w:val="21"/>
        </w:rPr>
        <w:t>), už rok nato se náklady na povinné ručení pohybovaly na historickém minimu (5 </w:t>
      </w:r>
      <w:r w:rsidR="007C680E">
        <w:rPr>
          <w:rFonts w:asciiTheme="minorHAnsi" w:eastAsia="Times New Roman" w:hAnsiTheme="minorHAnsi" w:cstheme="minorHAnsi"/>
          <w:sz w:val="21"/>
          <w:szCs w:val="21"/>
        </w:rPr>
        <w:t>582</w:t>
      </w:r>
      <w:r w:rsidRPr="005C5CF7">
        <w:rPr>
          <w:rFonts w:asciiTheme="minorHAnsi" w:eastAsia="Times New Roman" w:hAnsiTheme="minorHAnsi" w:cstheme="minorHAnsi"/>
          <w:sz w:val="21"/>
          <w:szCs w:val="21"/>
        </w:rPr>
        <w:t xml:space="preserve"> korun). Pod úrovní šesti tisíc se poté držely až do roku 2023 (6 111 korun), přičemž letošní září ukázalo na hodnotu 6 302 korun.</w:t>
      </w:r>
    </w:p>
    <w:p w14:paraId="14EF4800" w14:textId="1081F611" w:rsidR="004D2ED3" w:rsidRDefault="00197411" w:rsidP="004D2ED3">
      <w:pPr>
        <w:spacing w:after="120"/>
        <w:ind w:right="40"/>
        <w:jc w:val="both"/>
        <w:rPr>
          <w:rFonts w:asciiTheme="minorHAnsi" w:hAnsiTheme="minorHAnsi" w:cstheme="minorHAnsi"/>
          <w:bCs/>
          <w:sz w:val="21"/>
          <w:szCs w:val="21"/>
        </w:rPr>
      </w:pPr>
      <w:r>
        <w:rPr>
          <w:rFonts w:asciiTheme="minorHAnsi" w:hAnsiTheme="minorHAnsi" w:cstheme="minorHAnsi"/>
          <w:bCs/>
          <w:noProof/>
          <w:sz w:val="21"/>
          <w:szCs w:val="21"/>
          <w:lang w:bidi="ar-SA"/>
        </w:rPr>
        <w:drawing>
          <wp:inline distT="0" distB="0" distL="0" distR="0" wp14:anchorId="64C9A717" wp14:editId="20B081BD">
            <wp:extent cx="6788150" cy="3023743"/>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17">
                      <a:extLst>
                        <a:ext uri="{28A0092B-C50C-407E-A947-70E740481C1C}">
                          <a14:useLocalDpi xmlns:a14="http://schemas.microsoft.com/office/drawing/2010/main" val="0"/>
                        </a:ext>
                      </a:extLst>
                    </a:blip>
                    <a:stretch>
                      <a:fillRect/>
                    </a:stretch>
                  </pic:blipFill>
                  <pic:spPr>
                    <a:xfrm>
                      <a:off x="0" y="0"/>
                      <a:ext cx="6817957" cy="3037020"/>
                    </a:xfrm>
                    <a:prstGeom prst="rect">
                      <a:avLst/>
                    </a:prstGeom>
                  </pic:spPr>
                </pic:pic>
              </a:graphicData>
            </a:graphic>
          </wp:inline>
        </w:drawing>
      </w:r>
    </w:p>
    <w:p w14:paraId="4AF0F056" w14:textId="088E5709" w:rsidR="003009FF" w:rsidRDefault="003009FF" w:rsidP="004D2ED3">
      <w:pPr>
        <w:spacing w:after="120"/>
        <w:ind w:right="40"/>
        <w:jc w:val="both"/>
        <w:rPr>
          <w:rFonts w:asciiTheme="minorHAnsi" w:hAnsiTheme="minorHAnsi" w:cstheme="minorHAnsi"/>
          <w:bCs/>
          <w:sz w:val="21"/>
          <w:szCs w:val="21"/>
        </w:rPr>
      </w:pPr>
    </w:p>
    <w:p w14:paraId="57ADBA40" w14:textId="3E0CCE3C" w:rsidR="003009FF" w:rsidRDefault="003009FF" w:rsidP="004D2ED3">
      <w:pPr>
        <w:spacing w:after="120"/>
        <w:ind w:right="40"/>
        <w:jc w:val="both"/>
        <w:rPr>
          <w:rFonts w:asciiTheme="minorHAnsi" w:hAnsiTheme="minorHAnsi" w:cstheme="minorHAnsi"/>
          <w:bCs/>
          <w:sz w:val="21"/>
          <w:szCs w:val="21"/>
        </w:rPr>
      </w:pPr>
    </w:p>
    <w:p w14:paraId="61654644" w14:textId="77777777" w:rsidR="003009FF" w:rsidRDefault="003009FF" w:rsidP="003009FF">
      <w:pPr>
        <w:ind w:right="130"/>
        <w:jc w:val="both"/>
        <w:rPr>
          <w:rFonts w:ascii="Arial" w:hAnsi="Arial" w:cs="Arial"/>
          <w:color w:val="000000" w:themeColor="text1"/>
          <w:sz w:val="20"/>
          <w:szCs w:val="20"/>
        </w:rPr>
      </w:pPr>
    </w:p>
    <w:p w14:paraId="05457686" w14:textId="77777777" w:rsidR="003009FF" w:rsidRPr="00E211E6" w:rsidRDefault="003009FF" w:rsidP="003009FF">
      <w:pPr>
        <w:spacing w:after="120"/>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BOX: Zářijové hodnoty</w:t>
      </w:r>
      <w:r w:rsidRPr="00E211E6">
        <w:rPr>
          <w:rFonts w:asciiTheme="minorHAnsi" w:hAnsiTheme="minorHAnsi" w:cstheme="minorHAnsi"/>
          <w:b/>
          <w:bCs/>
          <w:color w:val="4F81BD" w:themeColor="accent1"/>
          <w:sz w:val="21"/>
          <w:szCs w:val="21"/>
        </w:rPr>
        <w:t xml:space="preserve"> Broker Consulting </w:t>
      </w:r>
      <w:proofErr w:type="spellStart"/>
      <w:r w:rsidRPr="00E211E6">
        <w:rPr>
          <w:rFonts w:asciiTheme="minorHAnsi" w:hAnsiTheme="minorHAnsi" w:cstheme="minorHAnsi"/>
          <w:b/>
          <w:bCs/>
          <w:color w:val="4F81BD" w:themeColor="accent1"/>
          <w:sz w:val="21"/>
          <w:szCs w:val="21"/>
        </w:rPr>
        <w:t>POVIndexu</w:t>
      </w:r>
      <w:proofErr w:type="spellEnd"/>
      <w:r>
        <w:rPr>
          <w:rFonts w:asciiTheme="minorHAnsi" w:hAnsiTheme="minorHAnsi" w:cstheme="minorHAnsi"/>
          <w:b/>
          <w:bCs/>
          <w:color w:val="4F81BD" w:themeColor="accent1"/>
          <w:sz w:val="21"/>
          <w:szCs w:val="21"/>
        </w:rPr>
        <w:t xml:space="preserve"> (celorepublikový průměr)</w:t>
      </w:r>
    </w:p>
    <w:tbl>
      <w:tblPr>
        <w:tblStyle w:val="Mkatabulky"/>
        <w:tblW w:w="0" w:type="auto"/>
        <w:tblLook w:val="04A0" w:firstRow="1" w:lastRow="0" w:firstColumn="1" w:lastColumn="0" w:noHBand="0" w:noVBand="1"/>
      </w:tblPr>
      <w:tblGrid>
        <w:gridCol w:w="2689"/>
        <w:gridCol w:w="2268"/>
      </w:tblGrid>
      <w:tr w:rsidR="003009FF" w:rsidRPr="00E211E6" w14:paraId="3C39B8D7" w14:textId="77777777" w:rsidTr="006A12EA">
        <w:tc>
          <w:tcPr>
            <w:tcW w:w="2689" w:type="dxa"/>
          </w:tcPr>
          <w:p w14:paraId="54E0A1A9" w14:textId="77777777" w:rsidR="003009FF" w:rsidRPr="00E211E6" w:rsidRDefault="003009FF" w:rsidP="006A12EA">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Rok</w:t>
            </w:r>
          </w:p>
        </w:tc>
        <w:tc>
          <w:tcPr>
            <w:tcW w:w="2268" w:type="dxa"/>
          </w:tcPr>
          <w:p w14:paraId="48A6A5F6" w14:textId="77777777" w:rsidR="003009FF" w:rsidRPr="00E211E6" w:rsidRDefault="003009FF" w:rsidP="006A12EA">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Hodnota POV Indexu</w:t>
            </w:r>
          </w:p>
        </w:tc>
      </w:tr>
      <w:tr w:rsidR="003009FF" w:rsidRPr="00E211E6" w14:paraId="0A9379A7" w14:textId="77777777" w:rsidTr="006A12EA">
        <w:tc>
          <w:tcPr>
            <w:tcW w:w="2689" w:type="dxa"/>
          </w:tcPr>
          <w:p w14:paraId="0D74EE38" w14:textId="77777777" w:rsidR="003009FF" w:rsidRPr="00E211E6" w:rsidRDefault="003009FF" w:rsidP="006A12EA">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2019</w:t>
            </w:r>
          </w:p>
        </w:tc>
        <w:tc>
          <w:tcPr>
            <w:tcW w:w="2268" w:type="dxa"/>
          </w:tcPr>
          <w:p w14:paraId="59E39337" w14:textId="77777777" w:rsidR="003009FF" w:rsidRPr="00E211E6" w:rsidRDefault="003009FF" w:rsidP="006A12EA">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7 716 </w:t>
            </w:r>
            <w:r w:rsidRPr="00E211E6">
              <w:rPr>
                <w:rFonts w:asciiTheme="minorHAnsi" w:hAnsiTheme="minorHAnsi" w:cstheme="minorHAnsi"/>
                <w:color w:val="4F81BD" w:themeColor="accent1"/>
                <w:sz w:val="21"/>
                <w:szCs w:val="21"/>
              </w:rPr>
              <w:t>Kč</w:t>
            </w:r>
          </w:p>
        </w:tc>
      </w:tr>
      <w:tr w:rsidR="003009FF" w:rsidRPr="00E211E6" w14:paraId="41A727B6" w14:textId="77777777" w:rsidTr="006A12EA">
        <w:tc>
          <w:tcPr>
            <w:tcW w:w="2689" w:type="dxa"/>
          </w:tcPr>
          <w:p w14:paraId="56AEB8E2" w14:textId="77777777" w:rsidR="003009FF" w:rsidRPr="00E211E6" w:rsidRDefault="003009FF" w:rsidP="006A12EA">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2020</w:t>
            </w:r>
          </w:p>
        </w:tc>
        <w:tc>
          <w:tcPr>
            <w:tcW w:w="2268" w:type="dxa"/>
          </w:tcPr>
          <w:p w14:paraId="07F79F4E" w14:textId="77777777" w:rsidR="003009FF" w:rsidRPr="00E211E6" w:rsidRDefault="003009FF" w:rsidP="006A12EA">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6 410 Kč</w:t>
            </w:r>
          </w:p>
        </w:tc>
      </w:tr>
      <w:tr w:rsidR="003009FF" w:rsidRPr="00E211E6" w14:paraId="19C74019" w14:textId="77777777" w:rsidTr="006A12EA">
        <w:tc>
          <w:tcPr>
            <w:tcW w:w="2689" w:type="dxa"/>
          </w:tcPr>
          <w:p w14:paraId="44AB49AF" w14:textId="77777777" w:rsidR="003009FF" w:rsidRPr="00E211E6" w:rsidRDefault="003009FF" w:rsidP="006A12EA">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2021</w:t>
            </w:r>
          </w:p>
        </w:tc>
        <w:tc>
          <w:tcPr>
            <w:tcW w:w="2268" w:type="dxa"/>
          </w:tcPr>
          <w:p w14:paraId="7A368CDF" w14:textId="77777777" w:rsidR="003009FF" w:rsidRPr="00E211E6" w:rsidRDefault="003009FF" w:rsidP="006A12EA">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6 530 Kč</w:t>
            </w:r>
          </w:p>
        </w:tc>
      </w:tr>
      <w:tr w:rsidR="003009FF" w:rsidRPr="00E211E6" w14:paraId="13B7D46A" w14:textId="77777777" w:rsidTr="006A12EA">
        <w:tc>
          <w:tcPr>
            <w:tcW w:w="2689" w:type="dxa"/>
          </w:tcPr>
          <w:p w14:paraId="0BF2C6F1" w14:textId="77777777" w:rsidR="003009FF" w:rsidRPr="00E211E6" w:rsidRDefault="003009FF" w:rsidP="006A12EA">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2022</w:t>
            </w:r>
          </w:p>
        </w:tc>
        <w:tc>
          <w:tcPr>
            <w:tcW w:w="2268" w:type="dxa"/>
          </w:tcPr>
          <w:p w14:paraId="7BC6C671" w14:textId="77777777" w:rsidR="003009FF" w:rsidRPr="00E211E6" w:rsidRDefault="003009FF" w:rsidP="006A12EA">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6 617 </w:t>
            </w:r>
            <w:r w:rsidRPr="00E211E6">
              <w:rPr>
                <w:rFonts w:asciiTheme="minorHAnsi" w:hAnsiTheme="minorHAnsi" w:cstheme="minorHAnsi"/>
                <w:color w:val="4F81BD" w:themeColor="accent1"/>
                <w:sz w:val="21"/>
                <w:szCs w:val="21"/>
              </w:rPr>
              <w:t>Kč</w:t>
            </w:r>
          </w:p>
        </w:tc>
      </w:tr>
      <w:tr w:rsidR="003009FF" w:rsidRPr="00E211E6" w14:paraId="2F4BC7D6" w14:textId="77777777" w:rsidTr="006A12EA">
        <w:tc>
          <w:tcPr>
            <w:tcW w:w="2689" w:type="dxa"/>
          </w:tcPr>
          <w:p w14:paraId="0E5CA7A0" w14:textId="77777777" w:rsidR="003009FF" w:rsidRDefault="003009FF" w:rsidP="006A12EA">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2023 </w:t>
            </w:r>
          </w:p>
        </w:tc>
        <w:tc>
          <w:tcPr>
            <w:tcW w:w="2268" w:type="dxa"/>
          </w:tcPr>
          <w:p w14:paraId="139752AF" w14:textId="58D0985A" w:rsidR="003009FF" w:rsidRDefault="007C680E" w:rsidP="006A12EA">
            <w:pPr>
              <w:spacing w:after="120"/>
              <w:ind w:right="130"/>
              <w:rPr>
                <w:rFonts w:asciiTheme="minorHAnsi" w:hAnsiTheme="minorHAnsi" w:cstheme="minorHAnsi"/>
                <w:color w:val="4F81BD" w:themeColor="accent1"/>
                <w:sz w:val="21"/>
                <w:szCs w:val="21"/>
              </w:rPr>
            </w:pPr>
            <w:r w:rsidRPr="001944E9">
              <w:rPr>
                <w:rFonts w:asciiTheme="minorHAnsi" w:hAnsiTheme="minorHAnsi" w:cstheme="minorHAnsi"/>
                <w:color w:val="4F81BD" w:themeColor="accent1"/>
                <w:sz w:val="21"/>
                <w:szCs w:val="21"/>
              </w:rPr>
              <w:t>6 829</w:t>
            </w:r>
            <w:r w:rsidR="003009FF" w:rsidRPr="001944E9">
              <w:rPr>
                <w:rFonts w:asciiTheme="minorHAnsi" w:hAnsiTheme="minorHAnsi" w:cstheme="minorHAnsi"/>
                <w:color w:val="4F81BD" w:themeColor="accent1"/>
                <w:sz w:val="21"/>
                <w:szCs w:val="21"/>
              </w:rPr>
              <w:t xml:space="preserve"> Kč</w:t>
            </w:r>
          </w:p>
        </w:tc>
      </w:tr>
      <w:tr w:rsidR="003009FF" w:rsidRPr="00E211E6" w14:paraId="48272446" w14:textId="77777777" w:rsidTr="006A12EA">
        <w:tc>
          <w:tcPr>
            <w:tcW w:w="2689" w:type="dxa"/>
          </w:tcPr>
          <w:p w14:paraId="093E226E" w14:textId="77777777" w:rsidR="003009FF" w:rsidRDefault="003009FF" w:rsidP="006A12EA">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2024</w:t>
            </w:r>
          </w:p>
        </w:tc>
        <w:tc>
          <w:tcPr>
            <w:tcW w:w="2268" w:type="dxa"/>
          </w:tcPr>
          <w:p w14:paraId="2FBB8697" w14:textId="77777777" w:rsidR="003009FF" w:rsidRDefault="003009FF" w:rsidP="006A12EA">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7 152 Kč</w:t>
            </w:r>
          </w:p>
        </w:tc>
      </w:tr>
      <w:tr w:rsidR="003009FF" w:rsidRPr="00E211E6" w14:paraId="76DB9B1C" w14:textId="77777777" w:rsidTr="006A12EA">
        <w:tc>
          <w:tcPr>
            <w:tcW w:w="2689" w:type="dxa"/>
          </w:tcPr>
          <w:p w14:paraId="20A76DF8" w14:textId="77777777" w:rsidR="003009FF" w:rsidRPr="00E211E6" w:rsidRDefault="003009FF" w:rsidP="006A12EA">
            <w:pPr>
              <w:spacing w:after="120"/>
              <w:ind w:right="130"/>
              <w:jc w:val="center"/>
              <w:rPr>
                <w:rFonts w:asciiTheme="minorHAnsi" w:hAnsiTheme="minorHAnsi" w:cstheme="minorHAnsi"/>
                <w:color w:val="4F81BD" w:themeColor="accent1"/>
                <w:sz w:val="21"/>
                <w:szCs w:val="21"/>
              </w:rPr>
            </w:pPr>
            <w:r w:rsidRPr="00E211E6">
              <w:rPr>
                <w:rFonts w:asciiTheme="minorHAnsi" w:hAnsiTheme="minorHAnsi" w:cstheme="minorHAnsi"/>
                <w:color w:val="4F81BD" w:themeColor="accent1"/>
                <w:sz w:val="21"/>
                <w:szCs w:val="21"/>
              </w:rPr>
              <w:t>Průměr za celé sledování</w:t>
            </w:r>
          </w:p>
        </w:tc>
        <w:tc>
          <w:tcPr>
            <w:tcW w:w="2268" w:type="dxa"/>
          </w:tcPr>
          <w:p w14:paraId="52328315" w14:textId="77777777" w:rsidR="003009FF" w:rsidRPr="00E211E6" w:rsidRDefault="003009FF" w:rsidP="006A12EA">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6 682,30</w:t>
            </w:r>
            <w:r w:rsidRPr="00E211E6">
              <w:rPr>
                <w:rFonts w:asciiTheme="minorHAnsi" w:hAnsiTheme="minorHAnsi" w:cstheme="minorHAnsi"/>
                <w:color w:val="4F81BD" w:themeColor="accent1"/>
                <w:sz w:val="21"/>
                <w:szCs w:val="21"/>
              </w:rPr>
              <w:t xml:space="preserve"> Kč</w:t>
            </w:r>
          </w:p>
        </w:tc>
      </w:tr>
    </w:tbl>
    <w:p w14:paraId="61DA833F" w14:textId="77777777" w:rsidR="003009FF" w:rsidRDefault="003009FF" w:rsidP="003009FF">
      <w:pPr>
        <w:spacing w:after="120"/>
        <w:ind w:right="130"/>
        <w:rPr>
          <w:rFonts w:asciiTheme="minorHAnsi" w:hAnsiTheme="minorHAnsi" w:cstheme="minorHAnsi"/>
          <w:b/>
          <w:bCs/>
          <w:color w:val="4F81BD" w:themeColor="accent1"/>
          <w:sz w:val="21"/>
          <w:szCs w:val="21"/>
        </w:rPr>
      </w:pPr>
    </w:p>
    <w:p w14:paraId="16E9EE51" w14:textId="77777777" w:rsidR="003009FF" w:rsidRDefault="003009FF" w:rsidP="003009FF">
      <w:pPr>
        <w:spacing w:after="120"/>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 xml:space="preserve">BOX: Zářijové </w:t>
      </w:r>
      <w:r w:rsidRPr="00E211E6">
        <w:rPr>
          <w:rFonts w:asciiTheme="minorHAnsi" w:hAnsiTheme="minorHAnsi" w:cstheme="minorHAnsi"/>
          <w:b/>
          <w:bCs/>
          <w:color w:val="4F81BD" w:themeColor="accent1"/>
          <w:sz w:val="21"/>
          <w:szCs w:val="21"/>
        </w:rPr>
        <w:t xml:space="preserve">hodnoty Broker Consulting </w:t>
      </w:r>
      <w:proofErr w:type="spellStart"/>
      <w:r w:rsidRPr="00E211E6">
        <w:rPr>
          <w:rFonts w:asciiTheme="minorHAnsi" w:hAnsiTheme="minorHAnsi" w:cstheme="minorHAnsi"/>
          <w:b/>
          <w:bCs/>
          <w:color w:val="4F81BD" w:themeColor="accent1"/>
          <w:sz w:val="21"/>
          <w:szCs w:val="21"/>
        </w:rPr>
        <w:t>POVIndexu</w:t>
      </w:r>
      <w:proofErr w:type="spellEnd"/>
      <w:r>
        <w:rPr>
          <w:rFonts w:asciiTheme="minorHAnsi" w:hAnsiTheme="minorHAnsi" w:cstheme="minorHAnsi"/>
          <w:b/>
          <w:bCs/>
          <w:color w:val="4F81BD" w:themeColor="accent1"/>
          <w:sz w:val="21"/>
          <w:szCs w:val="21"/>
        </w:rPr>
        <w:t xml:space="preserve">  </w:t>
      </w:r>
    </w:p>
    <w:p w14:paraId="6918978B" w14:textId="0FF9A3FE" w:rsidR="003009FF" w:rsidRPr="00E211E6" w:rsidRDefault="003009FF" w:rsidP="003009FF">
      <w:pPr>
        <w:spacing w:after="120"/>
        <w:ind w:right="130"/>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PRAHA</w:t>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r>
      <w:r>
        <w:rPr>
          <w:rFonts w:asciiTheme="minorHAnsi" w:hAnsiTheme="minorHAnsi" w:cstheme="minorHAnsi"/>
          <w:b/>
          <w:bCs/>
          <w:color w:val="4F81BD" w:themeColor="accent1"/>
          <w:sz w:val="21"/>
          <w:szCs w:val="21"/>
        </w:rPr>
        <w:tab/>
        <w:t xml:space="preserve">            BENEŠOV u PRAHY</w:t>
      </w:r>
    </w:p>
    <w:tbl>
      <w:tblPr>
        <w:tblStyle w:val="Mkatabulky"/>
        <w:tblW w:w="0" w:type="auto"/>
        <w:tblLook w:val="04A0" w:firstRow="1" w:lastRow="0" w:firstColumn="1" w:lastColumn="0" w:noHBand="0" w:noVBand="1"/>
      </w:tblPr>
      <w:tblGrid>
        <w:gridCol w:w="2167"/>
        <w:gridCol w:w="1828"/>
        <w:gridCol w:w="1828"/>
        <w:gridCol w:w="1828"/>
      </w:tblGrid>
      <w:tr w:rsidR="003009FF" w:rsidRPr="00E211E6" w14:paraId="3F57FCC9" w14:textId="77777777" w:rsidTr="006A12EA">
        <w:trPr>
          <w:trHeight w:val="358"/>
        </w:trPr>
        <w:tc>
          <w:tcPr>
            <w:tcW w:w="2167" w:type="dxa"/>
          </w:tcPr>
          <w:p w14:paraId="6F7A964C" w14:textId="77777777" w:rsidR="003009FF" w:rsidRPr="00E211E6" w:rsidRDefault="003009FF" w:rsidP="006A12EA">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Rok</w:t>
            </w:r>
          </w:p>
        </w:tc>
        <w:tc>
          <w:tcPr>
            <w:tcW w:w="1828" w:type="dxa"/>
          </w:tcPr>
          <w:p w14:paraId="4CE4C38A" w14:textId="77777777" w:rsidR="003009FF" w:rsidRPr="00E211E6" w:rsidRDefault="003009FF" w:rsidP="006A12EA">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Hodnota POV Indexu</w:t>
            </w:r>
          </w:p>
        </w:tc>
        <w:tc>
          <w:tcPr>
            <w:tcW w:w="1828" w:type="dxa"/>
          </w:tcPr>
          <w:p w14:paraId="7F2E6E8E" w14:textId="77777777" w:rsidR="003009FF" w:rsidRPr="00E211E6" w:rsidRDefault="003009FF" w:rsidP="006A12EA">
            <w:pPr>
              <w:spacing w:after="120"/>
              <w:ind w:right="130"/>
              <w:jc w:val="center"/>
              <w:rPr>
                <w:rFonts w:asciiTheme="minorHAnsi" w:hAnsiTheme="minorHAnsi" w:cstheme="minorHAnsi"/>
                <w:b/>
                <w:bCs/>
                <w:color w:val="4F81BD" w:themeColor="accent1"/>
                <w:sz w:val="21"/>
                <w:szCs w:val="21"/>
              </w:rPr>
            </w:pPr>
            <w:r>
              <w:rPr>
                <w:rFonts w:asciiTheme="minorHAnsi" w:hAnsiTheme="minorHAnsi" w:cstheme="minorHAnsi"/>
                <w:b/>
                <w:bCs/>
                <w:color w:val="4F81BD" w:themeColor="accent1"/>
                <w:sz w:val="21"/>
                <w:szCs w:val="21"/>
              </w:rPr>
              <w:t xml:space="preserve"> </w:t>
            </w:r>
            <w:r w:rsidRPr="00E211E6">
              <w:rPr>
                <w:rFonts w:asciiTheme="minorHAnsi" w:hAnsiTheme="minorHAnsi" w:cstheme="minorHAnsi"/>
                <w:b/>
                <w:bCs/>
                <w:color w:val="4F81BD" w:themeColor="accent1"/>
                <w:sz w:val="21"/>
                <w:szCs w:val="21"/>
              </w:rPr>
              <w:t>Rok</w:t>
            </w:r>
          </w:p>
        </w:tc>
        <w:tc>
          <w:tcPr>
            <w:tcW w:w="1828" w:type="dxa"/>
          </w:tcPr>
          <w:p w14:paraId="33542D3B" w14:textId="77777777" w:rsidR="003009FF" w:rsidRPr="00E211E6" w:rsidRDefault="003009FF" w:rsidP="006A12EA">
            <w:pPr>
              <w:spacing w:after="120"/>
              <w:ind w:right="130"/>
              <w:jc w:val="center"/>
              <w:rPr>
                <w:rFonts w:asciiTheme="minorHAnsi" w:hAnsiTheme="minorHAnsi" w:cstheme="minorHAnsi"/>
                <w:b/>
                <w:bCs/>
                <w:color w:val="4F81BD" w:themeColor="accent1"/>
                <w:sz w:val="21"/>
                <w:szCs w:val="21"/>
              </w:rPr>
            </w:pPr>
            <w:r w:rsidRPr="00E211E6">
              <w:rPr>
                <w:rFonts w:asciiTheme="minorHAnsi" w:hAnsiTheme="minorHAnsi" w:cstheme="minorHAnsi"/>
                <w:b/>
                <w:bCs/>
                <w:color w:val="4F81BD" w:themeColor="accent1"/>
                <w:sz w:val="21"/>
                <w:szCs w:val="21"/>
              </w:rPr>
              <w:t>Hodnota POV Indexu</w:t>
            </w:r>
          </w:p>
        </w:tc>
      </w:tr>
      <w:tr w:rsidR="003009FF" w:rsidRPr="00E211E6" w14:paraId="0315D4A7" w14:textId="77777777" w:rsidTr="006A12EA">
        <w:trPr>
          <w:trHeight w:val="358"/>
        </w:trPr>
        <w:tc>
          <w:tcPr>
            <w:tcW w:w="2167" w:type="dxa"/>
          </w:tcPr>
          <w:p w14:paraId="2D898862" w14:textId="77777777" w:rsidR="003009FF" w:rsidRPr="00E211E6" w:rsidRDefault="003009FF" w:rsidP="006A12EA">
            <w:pPr>
              <w:spacing w:after="120"/>
              <w:ind w:right="130"/>
              <w:jc w:val="center"/>
              <w:rPr>
                <w:rFonts w:asciiTheme="minorHAnsi" w:hAnsiTheme="minorHAnsi" w:cstheme="minorHAnsi"/>
                <w:b/>
                <w:bCs/>
                <w:color w:val="4F81BD" w:themeColor="accent1"/>
                <w:sz w:val="21"/>
                <w:szCs w:val="21"/>
              </w:rPr>
            </w:pPr>
            <w:r>
              <w:rPr>
                <w:rFonts w:asciiTheme="minorHAnsi" w:hAnsiTheme="minorHAnsi" w:cstheme="minorHAnsi"/>
                <w:color w:val="4F81BD" w:themeColor="accent1"/>
                <w:sz w:val="21"/>
                <w:szCs w:val="21"/>
              </w:rPr>
              <w:t>2019</w:t>
            </w:r>
          </w:p>
        </w:tc>
        <w:tc>
          <w:tcPr>
            <w:tcW w:w="1828" w:type="dxa"/>
          </w:tcPr>
          <w:p w14:paraId="1041D785" w14:textId="77777777" w:rsidR="003009FF" w:rsidRPr="00E211E6" w:rsidRDefault="003009FF" w:rsidP="006A12EA">
            <w:pPr>
              <w:spacing w:after="120"/>
              <w:ind w:right="130"/>
              <w:rPr>
                <w:rFonts w:asciiTheme="minorHAnsi" w:hAnsiTheme="minorHAnsi" w:cstheme="minorHAnsi"/>
                <w:b/>
                <w:bCs/>
                <w:color w:val="4F81BD" w:themeColor="accent1"/>
                <w:sz w:val="21"/>
                <w:szCs w:val="21"/>
              </w:rPr>
            </w:pPr>
            <w:r>
              <w:rPr>
                <w:rFonts w:asciiTheme="minorHAnsi" w:hAnsiTheme="minorHAnsi" w:cstheme="minorHAnsi"/>
                <w:color w:val="4F81BD" w:themeColor="accent1"/>
                <w:sz w:val="21"/>
                <w:szCs w:val="21"/>
              </w:rPr>
              <w:t xml:space="preserve">8 849 </w:t>
            </w:r>
            <w:r w:rsidRPr="00E211E6">
              <w:rPr>
                <w:rFonts w:asciiTheme="minorHAnsi" w:hAnsiTheme="minorHAnsi" w:cstheme="minorHAnsi"/>
                <w:color w:val="4F81BD" w:themeColor="accent1"/>
                <w:sz w:val="21"/>
                <w:szCs w:val="21"/>
              </w:rPr>
              <w:t>Kč</w:t>
            </w:r>
          </w:p>
        </w:tc>
        <w:tc>
          <w:tcPr>
            <w:tcW w:w="1828" w:type="dxa"/>
          </w:tcPr>
          <w:p w14:paraId="48F5BA78" w14:textId="77777777" w:rsidR="003009FF" w:rsidRPr="007114C7" w:rsidRDefault="003009FF" w:rsidP="006A12EA">
            <w:pPr>
              <w:spacing w:after="120"/>
              <w:ind w:right="130"/>
              <w:rPr>
                <w:rFonts w:asciiTheme="minorHAnsi" w:hAnsiTheme="minorHAnsi" w:cstheme="minorHAnsi"/>
                <w:bCs/>
                <w:color w:val="4F81BD" w:themeColor="accent1"/>
                <w:sz w:val="21"/>
                <w:szCs w:val="21"/>
              </w:rPr>
            </w:pPr>
            <w:r w:rsidRPr="007114C7">
              <w:rPr>
                <w:rFonts w:asciiTheme="minorHAnsi" w:hAnsiTheme="minorHAnsi" w:cstheme="minorHAnsi"/>
                <w:bCs/>
                <w:color w:val="4F81BD" w:themeColor="accent1"/>
                <w:sz w:val="21"/>
                <w:szCs w:val="21"/>
              </w:rPr>
              <w:t>2019</w:t>
            </w:r>
          </w:p>
        </w:tc>
        <w:tc>
          <w:tcPr>
            <w:tcW w:w="1828" w:type="dxa"/>
          </w:tcPr>
          <w:p w14:paraId="15FF6D6E" w14:textId="77777777" w:rsidR="003009FF" w:rsidRPr="007114C7" w:rsidRDefault="003009FF" w:rsidP="006A12EA">
            <w:pPr>
              <w:spacing w:after="120"/>
              <w:ind w:right="130"/>
              <w:rPr>
                <w:rFonts w:asciiTheme="minorHAnsi" w:hAnsiTheme="minorHAnsi" w:cstheme="minorHAnsi"/>
                <w:bCs/>
                <w:color w:val="4F81BD" w:themeColor="accent1"/>
                <w:sz w:val="21"/>
                <w:szCs w:val="21"/>
              </w:rPr>
            </w:pPr>
            <w:r w:rsidRPr="007114C7">
              <w:rPr>
                <w:rFonts w:asciiTheme="minorHAnsi" w:hAnsiTheme="minorHAnsi" w:cstheme="minorHAnsi"/>
                <w:bCs/>
                <w:color w:val="4F81BD" w:themeColor="accent1"/>
                <w:sz w:val="21"/>
                <w:szCs w:val="21"/>
              </w:rPr>
              <w:t>6 5</w:t>
            </w:r>
            <w:r>
              <w:rPr>
                <w:rFonts w:asciiTheme="minorHAnsi" w:hAnsiTheme="minorHAnsi" w:cstheme="minorHAnsi"/>
                <w:bCs/>
                <w:color w:val="4F81BD" w:themeColor="accent1"/>
                <w:sz w:val="21"/>
                <w:szCs w:val="21"/>
              </w:rPr>
              <w:t>82</w:t>
            </w:r>
            <w:r w:rsidRPr="007114C7">
              <w:rPr>
                <w:rFonts w:asciiTheme="minorHAnsi" w:hAnsiTheme="minorHAnsi" w:cstheme="minorHAnsi"/>
                <w:bCs/>
                <w:color w:val="4F81BD" w:themeColor="accent1"/>
                <w:sz w:val="21"/>
                <w:szCs w:val="21"/>
              </w:rPr>
              <w:t xml:space="preserve"> Kč</w:t>
            </w:r>
          </w:p>
        </w:tc>
      </w:tr>
      <w:tr w:rsidR="003009FF" w:rsidRPr="00E211E6" w14:paraId="29ACC4EB" w14:textId="77777777" w:rsidTr="006A12EA">
        <w:trPr>
          <w:trHeight w:val="349"/>
        </w:trPr>
        <w:tc>
          <w:tcPr>
            <w:tcW w:w="2167" w:type="dxa"/>
          </w:tcPr>
          <w:p w14:paraId="778BCD47" w14:textId="77777777" w:rsidR="003009FF" w:rsidRPr="00E211E6" w:rsidRDefault="003009FF" w:rsidP="006A12EA">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2020</w:t>
            </w:r>
          </w:p>
        </w:tc>
        <w:tc>
          <w:tcPr>
            <w:tcW w:w="1828" w:type="dxa"/>
          </w:tcPr>
          <w:p w14:paraId="494F08FE" w14:textId="77777777" w:rsidR="003009FF" w:rsidRPr="00E211E6" w:rsidRDefault="003009FF" w:rsidP="006A12EA">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7 238 Kč</w:t>
            </w:r>
          </w:p>
        </w:tc>
        <w:tc>
          <w:tcPr>
            <w:tcW w:w="1828" w:type="dxa"/>
          </w:tcPr>
          <w:p w14:paraId="7818CDEA" w14:textId="77777777" w:rsidR="003009FF" w:rsidRDefault="003009FF" w:rsidP="006A12EA">
            <w:pPr>
              <w:spacing w:after="120"/>
              <w:ind w:right="130"/>
              <w:rPr>
                <w:rFonts w:asciiTheme="minorHAnsi" w:hAnsiTheme="minorHAnsi" w:cstheme="minorHAnsi"/>
                <w:color w:val="4F81BD" w:themeColor="accent1"/>
                <w:sz w:val="21"/>
                <w:szCs w:val="21"/>
              </w:rPr>
            </w:pPr>
            <w:r w:rsidRPr="00E211E6">
              <w:rPr>
                <w:rFonts w:asciiTheme="minorHAnsi" w:hAnsiTheme="minorHAnsi" w:cstheme="minorHAnsi"/>
                <w:color w:val="4F81BD" w:themeColor="accent1"/>
                <w:sz w:val="21"/>
                <w:szCs w:val="21"/>
              </w:rPr>
              <w:t>2020</w:t>
            </w:r>
          </w:p>
        </w:tc>
        <w:tc>
          <w:tcPr>
            <w:tcW w:w="1828" w:type="dxa"/>
          </w:tcPr>
          <w:p w14:paraId="6AA07B72" w14:textId="2296254B" w:rsidR="003009FF" w:rsidRDefault="003009FF" w:rsidP="006A12EA">
            <w:pPr>
              <w:spacing w:after="120"/>
              <w:ind w:right="130"/>
              <w:rPr>
                <w:rFonts w:asciiTheme="minorHAnsi" w:hAnsiTheme="minorHAnsi" w:cstheme="minorHAnsi"/>
                <w:color w:val="4F81BD" w:themeColor="accent1"/>
                <w:sz w:val="21"/>
                <w:szCs w:val="21"/>
              </w:rPr>
            </w:pPr>
            <w:r w:rsidRPr="001944E9">
              <w:rPr>
                <w:rFonts w:asciiTheme="minorHAnsi" w:hAnsiTheme="minorHAnsi" w:cstheme="minorHAnsi"/>
                <w:color w:val="4F81BD" w:themeColor="accent1"/>
                <w:sz w:val="21"/>
                <w:szCs w:val="21"/>
              </w:rPr>
              <w:t xml:space="preserve">5 </w:t>
            </w:r>
            <w:r w:rsidR="007C680E" w:rsidRPr="001944E9">
              <w:rPr>
                <w:rFonts w:asciiTheme="minorHAnsi" w:hAnsiTheme="minorHAnsi" w:cstheme="minorHAnsi"/>
                <w:color w:val="4F81BD" w:themeColor="accent1"/>
                <w:sz w:val="21"/>
                <w:szCs w:val="21"/>
              </w:rPr>
              <w:t>582</w:t>
            </w:r>
            <w:r w:rsidRPr="001944E9">
              <w:rPr>
                <w:rFonts w:asciiTheme="minorHAnsi" w:hAnsiTheme="minorHAnsi" w:cstheme="minorHAnsi"/>
                <w:color w:val="4F81BD" w:themeColor="accent1"/>
                <w:sz w:val="21"/>
                <w:szCs w:val="21"/>
              </w:rPr>
              <w:t xml:space="preserve"> Kč</w:t>
            </w:r>
          </w:p>
        </w:tc>
      </w:tr>
      <w:tr w:rsidR="003009FF" w:rsidRPr="00E211E6" w14:paraId="35AF0EE8" w14:textId="77777777" w:rsidTr="006A12EA">
        <w:trPr>
          <w:trHeight w:val="358"/>
        </w:trPr>
        <w:tc>
          <w:tcPr>
            <w:tcW w:w="2167" w:type="dxa"/>
          </w:tcPr>
          <w:p w14:paraId="640B328D" w14:textId="77777777" w:rsidR="003009FF" w:rsidRPr="00E211E6" w:rsidRDefault="003009FF" w:rsidP="006A12EA">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2021</w:t>
            </w:r>
          </w:p>
        </w:tc>
        <w:tc>
          <w:tcPr>
            <w:tcW w:w="1828" w:type="dxa"/>
          </w:tcPr>
          <w:p w14:paraId="1C9F3A7E" w14:textId="77777777" w:rsidR="003009FF" w:rsidRPr="00E211E6" w:rsidRDefault="003009FF" w:rsidP="006A12EA">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7 224 Kč</w:t>
            </w:r>
          </w:p>
        </w:tc>
        <w:tc>
          <w:tcPr>
            <w:tcW w:w="1828" w:type="dxa"/>
          </w:tcPr>
          <w:p w14:paraId="2393C380" w14:textId="77777777" w:rsidR="003009FF" w:rsidRPr="00345D3E" w:rsidRDefault="003009FF" w:rsidP="006A12EA">
            <w:pPr>
              <w:spacing w:after="120"/>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2021</w:t>
            </w:r>
          </w:p>
        </w:tc>
        <w:tc>
          <w:tcPr>
            <w:tcW w:w="1828" w:type="dxa"/>
          </w:tcPr>
          <w:p w14:paraId="76BFC32A" w14:textId="77777777" w:rsidR="003009FF" w:rsidRPr="00345D3E" w:rsidRDefault="003009FF" w:rsidP="006A12EA">
            <w:pPr>
              <w:spacing w:after="120"/>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5 836</w:t>
            </w:r>
            <w:r w:rsidRPr="00345D3E">
              <w:rPr>
                <w:rFonts w:asciiTheme="minorHAnsi" w:hAnsiTheme="minorHAnsi" w:cs="Arial"/>
                <w:color w:val="4F81BD" w:themeColor="accent1"/>
                <w:sz w:val="20"/>
                <w:szCs w:val="20"/>
              </w:rPr>
              <w:t xml:space="preserve"> Kč</w:t>
            </w:r>
          </w:p>
        </w:tc>
      </w:tr>
      <w:tr w:rsidR="003009FF" w:rsidRPr="00345D3E" w14:paraId="4D00FC67" w14:textId="77777777" w:rsidTr="006A12EA">
        <w:trPr>
          <w:trHeight w:val="358"/>
        </w:trPr>
        <w:tc>
          <w:tcPr>
            <w:tcW w:w="2167" w:type="dxa"/>
          </w:tcPr>
          <w:p w14:paraId="17DB9C72" w14:textId="77777777" w:rsidR="003009FF" w:rsidRPr="00E211E6" w:rsidRDefault="003009FF" w:rsidP="006A12EA">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2022</w:t>
            </w:r>
          </w:p>
        </w:tc>
        <w:tc>
          <w:tcPr>
            <w:tcW w:w="1828" w:type="dxa"/>
          </w:tcPr>
          <w:p w14:paraId="5F0D83CD" w14:textId="77777777" w:rsidR="003009FF" w:rsidRPr="00345D3E" w:rsidRDefault="003009FF" w:rsidP="006A12EA">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7 339</w:t>
            </w:r>
            <w:r w:rsidRPr="00E211E6">
              <w:rPr>
                <w:rFonts w:asciiTheme="minorHAnsi" w:hAnsiTheme="minorHAnsi" w:cstheme="minorHAnsi"/>
                <w:color w:val="4F81BD" w:themeColor="accent1"/>
                <w:sz w:val="21"/>
                <w:szCs w:val="21"/>
              </w:rPr>
              <w:t xml:space="preserve"> Kč</w:t>
            </w:r>
          </w:p>
        </w:tc>
        <w:tc>
          <w:tcPr>
            <w:tcW w:w="1828" w:type="dxa"/>
          </w:tcPr>
          <w:p w14:paraId="248626C4" w14:textId="77777777" w:rsidR="003009FF" w:rsidRPr="00345D3E" w:rsidRDefault="003009FF" w:rsidP="006A12EA">
            <w:pPr>
              <w:spacing w:after="120"/>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2022</w:t>
            </w:r>
          </w:p>
        </w:tc>
        <w:tc>
          <w:tcPr>
            <w:tcW w:w="1828" w:type="dxa"/>
          </w:tcPr>
          <w:p w14:paraId="4989F822" w14:textId="77777777" w:rsidR="003009FF" w:rsidRPr="00345D3E" w:rsidRDefault="003009FF" w:rsidP="006A12EA">
            <w:pPr>
              <w:spacing w:after="120"/>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5 895</w:t>
            </w:r>
            <w:r w:rsidRPr="00345D3E">
              <w:rPr>
                <w:rFonts w:asciiTheme="minorHAnsi" w:hAnsiTheme="minorHAnsi" w:cs="Arial"/>
                <w:color w:val="4F81BD" w:themeColor="accent1"/>
                <w:sz w:val="20"/>
                <w:szCs w:val="20"/>
              </w:rPr>
              <w:t xml:space="preserve"> Kč</w:t>
            </w:r>
          </w:p>
        </w:tc>
      </w:tr>
      <w:tr w:rsidR="003009FF" w:rsidRPr="00345D3E" w14:paraId="3F9C49A8" w14:textId="77777777" w:rsidTr="006A12EA">
        <w:trPr>
          <w:trHeight w:val="349"/>
        </w:trPr>
        <w:tc>
          <w:tcPr>
            <w:tcW w:w="2167" w:type="dxa"/>
          </w:tcPr>
          <w:p w14:paraId="39DFE345" w14:textId="77777777" w:rsidR="003009FF" w:rsidRPr="00E211E6" w:rsidRDefault="003009FF" w:rsidP="006A12EA">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 xml:space="preserve">2023 </w:t>
            </w:r>
          </w:p>
        </w:tc>
        <w:tc>
          <w:tcPr>
            <w:tcW w:w="1828" w:type="dxa"/>
          </w:tcPr>
          <w:p w14:paraId="5D1E9E77" w14:textId="77777777" w:rsidR="003009FF" w:rsidRPr="00345D3E" w:rsidRDefault="003009FF" w:rsidP="006A12EA">
            <w:pPr>
              <w:spacing w:after="120"/>
              <w:ind w:right="130"/>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7 547 Kč</w:t>
            </w:r>
          </w:p>
        </w:tc>
        <w:tc>
          <w:tcPr>
            <w:tcW w:w="1828" w:type="dxa"/>
          </w:tcPr>
          <w:p w14:paraId="7AB2113F" w14:textId="77777777" w:rsidR="003009FF" w:rsidRPr="00345D3E" w:rsidRDefault="003009FF" w:rsidP="006A12EA">
            <w:pPr>
              <w:spacing w:after="120"/>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2023</w:t>
            </w:r>
          </w:p>
        </w:tc>
        <w:tc>
          <w:tcPr>
            <w:tcW w:w="1828" w:type="dxa"/>
          </w:tcPr>
          <w:p w14:paraId="1C4C8BCF" w14:textId="77777777" w:rsidR="003009FF" w:rsidRPr="00345D3E" w:rsidRDefault="003009FF" w:rsidP="006A12EA">
            <w:pPr>
              <w:spacing w:after="120"/>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6 111</w:t>
            </w:r>
            <w:r w:rsidRPr="00345D3E">
              <w:rPr>
                <w:rFonts w:asciiTheme="minorHAnsi" w:hAnsiTheme="minorHAnsi" w:cs="Arial"/>
                <w:color w:val="4F81BD" w:themeColor="accent1"/>
                <w:sz w:val="20"/>
                <w:szCs w:val="20"/>
              </w:rPr>
              <w:t xml:space="preserve"> Kč</w:t>
            </w:r>
          </w:p>
        </w:tc>
      </w:tr>
      <w:tr w:rsidR="003009FF" w:rsidRPr="00345D3E" w14:paraId="1E5345B7" w14:textId="77777777" w:rsidTr="006A12EA">
        <w:trPr>
          <w:trHeight w:val="358"/>
        </w:trPr>
        <w:tc>
          <w:tcPr>
            <w:tcW w:w="2167" w:type="dxa"/>
          </w:tcPr>
          <w:p w14:paraId="69C29A7B" w14:textId="77777777" w:rsidR="003009FF" w:rsidRDefault="003009FF" w:rsidP="006A12EA">
            <w:pPr>
              <w:spacing w:after="120"/>
              <w:ind w:right="130"/>
              <w:jc w:val="center"/>
              <w:rPr>
                <w:rFonts w:asciiTheme="minorHAnsi" w:hAnsiTheme="minorHAnsi" w:cstheme="minorHAnsi"/>
                <w:color w:val="4F81BD" w:themeColor="accent1"/>
                <w:sz w:val="21"/>
                <w:szCs w:val="21"/>
              </w:rPr>
            </w:pPr>
            <w:r>
              <w:rPr>
                <w:rFonts w:asciiTheme="minorHAnsi" w:hAnsiTheme="minorHAnsi" w:cstheme="minorHAnsi"/>
                <w:color w:val="4F81BD" w:themeColor="accent1"/>
                <w:sz w:val="21"/>
                <w:szCs w:val="21"/>
              </w:rPr>
              <w:t>2024</w:t>
            </w:r>
          </w:p>
        </w:tc>
        <w:tc>
          <w:tcPr>
            <w:tcW w:w="1828" w:type="dxa"/>
          </w:tcPr>
          <w:p w14:paraId="69AD4276" w14:textId="77777777" w:rsidR="003009FF" w:rsidRPr="00345D3E" w:rsidRDefault="003009FF" w:rsidP="006A12EA">
            <w:pPr>
              <w:spacing w:after="120"/>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8 002 Kč</w:t>
            </w:r>
          </w:p>
        </w:tc>
        <w:tc>
          <w:tcPr>
            <w:tcW w:w="1828" w:type="dxa"/>
          </w:tcPr>
          <w:p w14:paraId="36DBAAA5" w14:textId="77777777" w:rsidR="003009FF" w:rsidRDefault="003009FF" w:rsidP="006A12EA">
            <w:pPr>
              <w:spacing w:after="120"/>
              <w:ind w:right="130"/>
              <w:rPr>
                <w:rFonts w:asciiTheme="minorHAnsi" w:hAnsiTheme="minorHAnsi" w:cs="Arial"/>
                <w:color w:val="4F81BD" w:themeColor="accent1"/>
                <w:sz w:val="20"/>
                <w:szCs w:val="20"/>
              </w:rPr>
            </w:pPr>
            <w:r>
              <w:rPr>
                <w:rFonts w:asciiTheme="minorHAnsi" w:hAnsiTheme="minorHAnsi" w:cstheme="minorHAnsi"/>
                <w:color w:val="4F81BD" w:themeColor="accent1"/>
                <w:sz w:val="21"/>
                <w:szCs w:val="21"/>
              </w:rPr>
              <w:t>2024</w:t>
            </w:r>
          </w:p>
        </w:tc>
        <w:tc>
          <w:tcPr>
            <w:tcW w:w="1828" w:type="dxa"/>
          </w:tcPr>
          <w:p w14:paraId="242E467F" w14:textId="77777777" w:rsidR="003009FF" w:rsidRDefault="003009FF" w:rsidP="006A12EA">
            <w:pPr>
              <w:spacing w:after="120"/>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6 302</w:t>
            </w:r>
            <w:r w:rsidRPr="00345D3E">
              <w:rPr>
                <w:rFonts w:asciiTheme="minorHAnsi" w:hAnsiTheme="minorHAnsi" w:cs="Arial"/>
                <w:color w:val="4F81BD" w:themeColor="accent1"/>
                <w:sz w:val="20"/>
                <w:szCs w:val="20"/>
              </w:rPr>
              <w:t xml:space="preserve"> </w:t>
            </w:r>
            <w:r>
              <w:rPr>
                <w:rFonts w:asciiTheme="minorHAnsi" w:hAnsiTheme="minorHAnsi" w:cs="Arial"/>
                <w:color w:val="4F81BD" w:themeColor="accent1"/>
                <w:sz w:val="20"/>
                <w:szCs w:val="20"/>
              </w:rPr>
              <w:t>K</w:t>
            </w:r>
            <w:r w:rsidRPr="00345D3E">
              <w:rPr>
                <w:rFonts w:asciiTheme="minorHAnsi" w:hAnsiTheme="minorHAnsi" w:cs="Arial"/>
                <w:color w:val="4F81BD" w:themeColor="accent1"/>
                <w:sz w:val="20"/>
                <w:szCs w:val="20"/>
              </w:rPr>
              <w:t>č</w:t>
            </w:r>
          </w:p>
        </w:tc>
      </w:tr>
      <w:tr w:rsidR="003009FF" w:rsidRPr="00345D3E" w14:paraId="366AC945" w14:textId="77777777" w:rsidTr="006A12EA">
        <w:trPr>
          <w:trHeight w:val="349"/>
        </w:trPr>
        <w:tc>
          <w:tcPr>
            <w:tcW w:w="2167" w:type="dxa"/>
          </w:tcPr>
          <w:p w14:paraId="7BA62D35" w14:textId="77777777" w:rsidR="003009FF" w:rsidRPr="00E211E6" w:rsidRDefault="003009FF" w:rsidP="006A12EA">
            <w:pPr>
              <w:spacing w:after="120"/>
              <w:ind w:right="130"/>
              <w:jc w:val="center"/>
              <w:rPr>
                <w:rFonts w:asciiTheme="minorHAnsi" w:hAnsiTheme="minorHAnsi" w:cstheme="minorHAnsi"/>
                <w:color w:val="4F81BD" w:themeColor="accent1"/>
                <w:sz w:val="21"/>
                <w:szCs w:val="21"/>
              </w:rPr>
            </w:pPr>
            <w:r w:rsidRPr="00E211E6">
              <w:rPr>
                <w:rFonts w:asciiTheme="minorHAnsi" w:hAnsiTheme="minorHAnsi" w:cstheme="minorHAnsi"/>
                <w:color w:val="4F81BD" w:themeColor="accent1"/>
                <w:sz w:val="21"/>
                <w:szCs w:val="21"/>
              </w:rPr>
              <w:t>Průměr za celé sledování</w:t>
            </w:r>
          </w:p>
        </w:tc>
        <w:tc>
          <w:tcPr>
            <w:tcW w:w="1828" w:type="dxa"/>
          </w:tcPr>
          <w:p w14:paraId="31213F25" w14:textId="77777777" w:rsidR="003009FF" w:rsidRPr="00345D3E" w:rsidRDefault="003009FF" w:rsidP="006A12EA">
            <w:pPr>
              <w:spacing w:after="120"/>
              <w:ind w:right="130"/>
              <w:rPr>
                <w:rFonts w:asciiTheme="minorHAnsi" w:hAnsiTheme="minorHAnsi" w:cstheme="minorHAnsi"/>
                <w:color w:val="4F81BD" w:themeColor="accent1"/>
                <w:sz w:val="21"/>
                <w:szCs w:val="21"/>
              </w:rPr>
            </w:pPr>
            <w:r>
              <w:rPr>
                <w:rFonts w:asciiTheme="minorHAnsi" w:hAnsiTheme="minorHAnsi" w:cs="Arial"/>
                <w:color w:val="4F81BD" w:themeColor="accent1"/>
                <w:sz w:val="20"/>
                <w:szCs w:val="20"/>
              </w:rPr>
              <w:t xml:space="preserve">7 427,10 </w:t>
            </w:r>
            <w:r w:rsidRPr="00345D3E">
              <w:rPr>
                <w:rFonts w:asciiTheme="minorHAnsi" w:hAnsiTheme="minorHAnsi" w:cs="Arial"/>
                <w:color w:val="4F81BD" w:themeColor="accent1"/>
                <w:sz w:val="20"/>
                <w:szCs w:val="20"/>
              </w:rPr>
              <w:t xml:space="preserve"> Kč</w:t>
            </w:r>
          </w:p>
        </w:tc>
        <w:tc>
          <w:tcPr>
            <w:tcW w:w="1828" w:type="dxa"/>
          </w:tcPr>
          <w:p w14:paraId="63802FB4" w14:textId="77777777" w:rsidR="003009FF" w:rsidRDefault="003009FF" w:rsidP="006A12EA">
            <w:pPr>
              <w:spacing w:after="120"/>
              <w:ind w:right="130"/>
              <w:rPr>
                <w:rFonts w:asciiTheme="minorHAnsi" w:hAnsiTheme="minorHAnsi" w:cs="Arial"/>
                <w:color w:val="4F81BD" w:themeColor="accent1"/>
                <w:sz w:val="20"/>
                <w:szCs w:val="20"/>
              </w:rPr>
            </w:pPr>
            <w:r w:rsidRPr="00E211E6">
              <w:rPr>
                <w:rFonts w:asciiTheme="minorHAnsi" w:hAnsiTheme="minorHAnsi" w:cstheme="minorHAnsi"/>
                <w:color w:val="4F81BD" w:themeColor="accent1"/>
                <w:sz w:val="21"/>
                <w:szCs w:val="21"/>
              </w:rPr>
              <w:t>Průměr za celé sledování</w:t>
            </w:r>
          </w:p>
        </w:tc>
        <w:tc>
          <w:tcPr>
            <w:tcW w:w="1828" w:type="dxa"/>
          </w:tcPr>
          <w:p w14:paraId="47B2EE3F" w14:textId="77777777" w:rsidR="003009FF" w:rsidRDefault="003009FF" w:rsidP="006A12EA">
            <w:pPr>
              <w:spacing w:after="120"/>
              <w:ind w:right="130"/>
              <w:rPr>
                <w:rFonts w:asciiTheme="minorHAnsi" w:hAnsiTheme="minorHAnsi" w:cs="Arial"/>
                <w:color w:val="4F81BD" w:themeColor="accent1"/>
                <w:sz w:val="20"/>
                <w:szCs w:val="20"/>
              </w:rPr>
            </w:pPr>
            <w:r>
              <w:rPr>
                <w:rFonts w:asciiTheme="minorHAnsi" w:hAnsiTheme="minorHAnsi" w:cs="Arial"/>
                <w:color w:val="4F81BD" w:themeColor="accent1"/>
                <w:sz w:val="20"/>
                <w:szCs w:val="20"/>
              </w:rPr>
              <w:t xml:space="preserve">6 033, 30 </w:t>
            </w:r>
            <w:r w:rsidRPr="00345D3E">
              <w:rPr>
                <w:rFonts w:asciiTheme="minorHAnsi" w:hAnsiTheme="minorHAnsi" w:cs="Arial"/>
                <w:color w:val="4F81BD" w:themeColor="accent1"/>
                <w:sz w:val="20"/>
                <w:szCs w:val="20"/>
              </w:rPr>
              <w:t xml:space="preserve"> Kč</w:t>
            </w:r>
          </w:p>
        </w:tc>
      </w:tr>
    </w:tbl>
    <w:p w14:paraId="0C50AF96" w14:textId="30D1307A" w:rsidR="003009FF" w:rsidRDefault="003009FF" w:rsidP="004D2ED3">
      <w:pPr>
        <w:spacing w:after="120"/>
        <w:ind w:right="40"/>
        <w:jc w:val="both"/>
        <w:rPr>
          <w:rFonts w:asciiTheme="minorHAnsi" w:hAnsiTheme="minorHAnsi" w:cstheme="minorHAnsi"/>
          <w:bCs/>
          <w:sz w:val="21"/>
          <w:szCs w:val="21"/>
        </w:rPr>
      </w:pPr>
    </w:p>
    <w:p w14:paraId="7AEAB906" w14:textId="77777777" w:rsidR="0058659C" w:rsidRPr="0058659C" w:rsidRDefault="0058659C" w:rsidP="0058659C">
      <w:pPr>
        <w:widowControl/>
        <w:autoSpaceDE/>
        <w:autoSpaceDN/>
        <w:spacing w:before="100" w:beforeAutospacing="1" w:after="100" w:afterAutospacing="1"/>
        <w:rPr>
          <w:rFonts w:asciiTheme="minorHAnsi" w:eastAsia="Times New Roman" w:hAnsiTheme="minorHAnsi" w:cstheme="minorHAnsi"/>
          <w:sz w:val="21"/>
          <w:szCs w:val="21"/>
          <w:lang w:bidi="ar-SA"/>
        </w:rPr>
      </w:pPr>
      <w:r w:rsidRPr="0058659C">
        <w:rPr>
          <w:rFonts w:asciiTheme="minorHAnsi" w:eastAsia="Times New Roman" w:hAnsiTheme="minorHAnsi" w:cstheme="minorHAnsi"/>
          <w:b/>
          <w:bCs/>
          <w:sz w:val="21"/>
          <w:szCs w:val="21"/>
          <w:lang w:bidi="ar-SA"/>
        </w:rPr>
        <w:t>Změny v povinném ručení: Co od října platí?</w:t>
      </w:r>
    </w:p>
    <w:p w14:paraId="19C920EE" w14:textId="77777777" w:rsidR="0058659C" w:rsidRPr="0058659C" w:rsidRDefault="0058659C" w:rsidP="0058659C">
      <w:pPr>
        <w:widowControl/>
        <w:autoSpaceDE/>
        <w:autoSpaceDN/>
        <w:spacing w:before="100" w:beforeAutospacing="1" w:after="100" w:afterAutospacing="1"/>
        <w:rPr>
          <w:rFonts w:asciiTheme="minorHAnsi" w:eastAsia="Times New Roman" w:hAnsiTheme="minorHAnsi" w:cstheme="minorHAnsi"/>
          <w:sz w:val="21"/>
          <w:szCs w:val="21"/>
          <w:lang w:bidi="ar-SA"/>
        </w:rPr>
      </w:pPr>
      <w:r w:rsidRPr="0058659C">
        <w:rPr>
          <w:rFonts w:asciiTheme="minorHAnsi" w:eastAsia="Times New Roman" w:hAnsiTheme="minorHAnsi" w:cstheme="minorHAnsi"/>
          <w:sz w:val="21"/>
          <w:szCs w:val="21"/>
          <w:lang w:bidi="ar-SA"/>
        </w:rPr>
        <w:t>Od 1. října 2024 platí několik zásadních změn v povinném ručení, které přinášejí více pohodlí a modernizace pro řidiče.</w:t>
      </w:r>
    </w:p>
    <w:p w14:paraId="540106C7" w14:textId="77777777" w:rsidR="0058659C" w:rsidRPr="0058659C" w:rsidRDefault="0058659C" w:rsidP="0058659C">
      <w:pPr>
        <w:widowControl/>
        <w:numPr>
          <w:ilvl w:val="0"/>
          <w:numId w:val="37"/>
        </w:numPr>
        <w:autoSpaceDE/>
        <w:autoSpaceDN/>
        <w:spacing w:before="100" w:beforeAutospacing="1" w:after="100" w:afterAutospacing="1"/>
        <w:rPr>
          <w:rFonts w:asciiTheme="minorHAnsi" w:eastAsia="Times New Roman" w:hAnsiTheme="minorHAnsi" w:cstheme="minorHAnsi"/>
          <w:sz w:val="21"/>
          <w:szCs w:val="21"/>
          <w:lang w:bidi="ar-SA"/>
        </w:rPr>
      </w:pPr>
      <w:r w:rsidRPr="0058659C">
        <w:rPr>
          <w:rFonts w:asciiTheme="minorHAnsi" w:eastAsia="Times New Roman" w:hAnsiTheme="minorHAnsi" w:cstheme="minorHAnsi"/>
          <w:b/>
          <w:bCs/>
          <w:sz w:val="21"/>
          <w:szCs w:val="21"/>
          <w:lang w:bidi="ar-SA"/>
        </w:rPr>
        <w:t>Zrušení povinnosti vozit zelenou kartu v ČR</w:t>
      </w:r>
      <w:r w:rsidRPr="0058659C">
        <w:rPr>
          <w:rFonts w:asciiTheme="minorHAnsi" w:eastAsia="Times New Roman" w:hAnsiTheme="minorHAnsi" w:cstheme="minorHAnsi"/>
          <w:sz w:val="21"/>
          <w:szCs w:val="21"/>
          <w:lang w:bidi="ar-SA"/>
        </w:rPr>
        <w:br/>
        <w:t>Řidiči už při jízdě v České republice nemusí mít u sebe zelenou kartu. Pro cesty do zahraničí ale karta nadále zůstává povinná, a to buď v tištěné, nebo elektronické podobě.</w:t>
      </w:r>
    </w:p>
    <w:p w14:paraId="466DE299" w14:textId="36540180" w:rsidR="0058659C" w:rsidRPr="0058659C" w:rsidRDefault="0058659C" w:rsidP="0058659C">
      <w:pPr>
        <w:widowControl/>
        <w:numPr>
          <w:ilvl w:val="0"/>
          <w:numId w:val="37"/>
        </w:numPr>
        <w:autoSpaceDE/>
        <w:autoSpaceDN/>
        <w:spacing w:before="100" w:beforeAutospacing="1" w:after="100" w:afterAutospacing="1"/>
        <w:rPr>
          <w:rFonts w:asciiTheme="minorHAnsi" w:eastAsia="Times New Roman" w:hAnsiTheme="minorHAnsi" w:cstheme="minorHAnsi"/>
          <w:sz w:val="21"/>
          <w:szCs w:val="21"/>
          <w:lang w:bidi="ar-SA"/>
        </w:rPr>
      </w:pPr>
      <w:r w:rsidRPr="0058659C">
        <w:rPr>
          <w:rFonts w:asciiTheme="minorHAnsi" w:eastAsia="Times New Roman" w:hAnsiTheme="minorHAnsi" w:cstheme="minorHAnsi"/>
          <w:b/>
          <w:bCs/>
          <w:sz w:val="21"/>
          <w:szCs w:val="21"/>
          <w:lang w:bidi="ar-SA"/>
        </w:rPr>
        <w:t>Plovoucí a fixní počátek platnosti pojištění</w:t>
      </w:r>
      <w:r w:rsidRPr="0058659C">
        <w:rPr>
          <w:rFonts w:asciiTheme="minorHAnsi" w:eastAsia="Times New Roman" w:hAnsiTheme="minorHAnsi" w:cstheme="minorHAnsi"/>
          <w:sz w:val="21"/>
          <w:szCs w:val="21"/>
          <w:lang w:bidi="ar-SA"/>
        </w:rPr>
        <w:br/>
        <w:t>Nově mají řidiči na výběr mezi dvěma variantami. Plovoucí počátek stanoví platnost pojištění od data připsání platby, což poskytuje flexibilitu. Fixní počátek vyžaduje zaplacení do pevně stanoveného data, jinak bude smlouva zrušena.</w:t>
      </w:r>
    </w:p>
    <w:p w14:paraId="009AED6A" w14:textId="77777777" w:rsidR="0058659C" w:rsidRPr="0058659C" w:rsidRDefault="0058659C" w:rsidP="0058659C">
      <w:pPr>
        <w:widowControl/>
        <w:numPr>
          <w:ilvl w:val="0"/>
          <w:numId w:val="37"/>
        </w:numPr>
        <w:autoSpaceDE/>
        <w:autoSpaceDN/>
        <w:spacing w:before="100" w:beforeAutospacing="1" w:after="100" w:afterAutospacing="1"/>
        <w:rPr>
          <w:rFonts w:asciiTheme="minorHAnsi" w:eastAsia="Times New Roman" w:hAnsiTheme="minorHAnsi" w:cstheme="minorHAnsi"/>
          <w:sz w:val="21"/>
          <w:szCs w:val="21"/>
          <w:lang w:bidi="ar-SA"/>
        </w:rPr>
      </w:pPr>
      <w:r w:rsidRPr="0058659C">
        <w:rPr>
          <w:rFonts w:asciiTheme="minorHAnsi" w:eastAsia="Times New Roman" w:hAnsiTheme="minorHAnsi" w:cstheme="minorHAnsi"/>
          <w:b/>
          <w:bCs/>
          <w:sz w:val="21"/>
          <w:szCs w:val="21"/>
          <w:lang w:bidi="ar-SA"/>
        </w:rPr>
        <w:lastRenderedPageBreak/>
        <w:t>Rychlejší platby přes platební brány</w:t>
      </w:r>
      <w:r w:rsidRPr="0058659C">
        <w:rPr>
          <w:rFonts w:asciiTheme="minorHAnsi" w:eastAsia="Times New Roman" w:hAnsiTheme="minorHAnsi" w:cstheme="minorHAnsi"/>
          <w:sz w:val="21"/>
          <w:szCs w:val="21"/>
          <w:lang w:bidi="ar-SA"/>
        </w:rPr>
        <w:br/>
        <w:t>Pojišťovny nyní nabízejí možnost platit pojistné přes platební brány. Tento způsob zrychluje aktivaci pojištění a okamžitě zajišťuje platnost smlouvy.</w:t>
      </w:r>
    </w:p>
    <w:p w14:paraId="4A36FC17" w14:textId="77777777" w:rsidR="00A577B7" w:rsidRDefault="0058659C" w:rsidP="00A577B7">
      <w:pPr>
        <w:widowControl/>
        <w:numPr>
          <w:ilvl w:val="0"/>
          <w:numId w:val="37"/>
        </w:numPr>
        <w:autoSpaceDE/>
        <w:autoSpaceDN/>
        <w:spacing w:before="100" w:beforeAutospacing="1" w:after="100" w:afterAutospacing="1"/>
        <w:rPr>
          <w:rFonts w:asciiTheme="minorHAnsi" w:eastAsia="Times New Roman" w:hAnsiTheme="minorHAnsi" w:cstheme="minorHAnsi"/>
          <w:sz w:val="21"/>
          <w:szCs w:val="21"/>
          <w:lang w:bidi="ar-SA"/>
        </w:rPr>
      </w:pPr>
      <w:r w:rsidRPr="0058659C">
        <w:rPr>
          <w:rFonts w:asciiTheme="minorHAnsi" w:eastAsia="Times New Roman" w:hAnsiTheme="minorHAnsi" w:cstheme="minorHAnsi"/>
          <w:b/>
          <w:bCs/>
          <w:sz w:val="21"/>
          <w:szCs w:val="21"/>
          <w:lang w:bidi="ar-SA"/>
        </w:rPr>
        <w:t>Rozšíření online služeb</w:t>
      </w:r>
      <w:r w:rsidRPr="0058659C">
        <w:rPr>
          <w:rFonts w:asciiTheme="minorHAnsi" w:eastAsia="Times New Roman" w:hAnsiTheme="minorHAnsi" w:cstheme="minorHAnsi"/>
          <w:sz w:val="21"/>
          <w:szCs w:val="21"/>
          <w:lang w:bidi="ar-SA"/>
        </w:rPr>
        <w:br/>
        <w:t>Klienti nyní mohou vyřizovat většinu úkonů online – od sjednání pojištění, přes elektronický podpis, až po platby. Veškeré změny pojištění jsou automaticky hlášeny České kanceláři pojistitelů.</w:t>
      </w:r>
      <w:bookmarkStart w:id="0" w:name="_GoBack"/>
      <w:bookmarkEnd w:id="0"/>
    </w:p>
    <w:p w14:paraId="58653311" w14:textId="26BCF156" w:rsidR="001C0941" w:rsidRPr="00A577B7" w:rsidRDefault="0058659C" w:rsidP="00A577B7">
      <w:pPr>
        <w:widowControl/>
        <w:autoSpaceDE/>
        <w:autoSpaceDN/>
        <w:spacing w:before="100" w:beforeAutospacing="1" w:after="100" w:afterAutospacing="1"/>
        <w:rPr>
          <w:rFonts w:asciiTheme="minorHAnsi" w:eastAsia="Times New Roman" w:hAnsiTheme="minorHAnsi" w:cstheme="minorHAnsi"/>
          <w:sz w:val="21"/>
          <w:szCs w:val="21"/>
          <w:lang w:bidi="ar-SA"/>
        </w:rPr>
      </w:pPr>
      <w:r w:rsidRPr="00A577B7">
        <w:rPr>
          <w:rFonts w:asciiTheme="minorHAnsi" w:eastAsia="Times New Roman" w:hAnsiTheme="minorHAnsi" w:cstheme="minorHAnsi"/>
          <w:sz w:val="21"/>
          <w:szCs w:val="21"/>
          <w:lang w:bidi="ar-SA"/>
        </w:rPr>
        <w:br/>
      </w:r>
      <w:r w:rsidR="00A577B7" w:rsidRPr="00197411">
        <w:rPr>
          <w:rFonts w:asciiTheme="minorHAnsi" w:eastAsia="Times New Roman" w:hAnsiTheme="minorHAnsi" w:cstheme="minorHAnsi"/>
          <w:i/>
          <w:sz w:val="21"/>
          <w:szCs w:val="21"/>
          <w:lang w:bidi="ar-SA"/>
        </w:rPr>
        <w:t>„</w:t>
      </w:r>
      <w:r w:rsidRPr="00197411">
        <w:rPr>
          <w:rFonts w:asciiTheme="minorHAnsi" w:eastAsia="Times New Roman" w:hAnsiTheme="minorHAnsi" w:cstheme="minorHAnsi"/>
          <w:i/>
          <w:sz w:val="21"/>
          <w:szCs w:val="21"/>
          <w:lang w:bidi="ar-SA"/>
        </w:rPr>
        <w:t>I přes tyto novinky je důležité hlídat včasné placení pojistného, zejména u plovoucího počátku. Pokud platba neproběhne včas, může dojít k tomu, že budete několik dní bez poj</w:t>
      </w:r>
      <w:r w:rsidR="00A577B7" w:rsidRPr="00197411">
        <w:rPr>
          <w:rFonts w:asciiTheme="minorHAnsi" w:eastAsia="Times New Roman" w:hAnsiTheme="minorHAnsi" w:cstheme="minorHAnsi"/>
          <w:i/>
          <w:sz w:val="21"/>
          <w:szCs w:val="21"/>
          <w:lang w:bidi="ar-SA"/>
        </w:rPr>
        <w:t>ištění, což může vést k pokutám,“</w:t>
      </w:r>
      <w:r w:rsidR="00A577B7">
        <w:rPr>
          <w:rFonts w:asciiTheme="minorHAnsi" w:eastAsia="Times New Roman" w:hAnsiTheme="minorHAnsi" w:cstheme="minorHAnsi"/>
          <w:sz w:val="21"/>
          <w:szCs w:val="21"/>
          <w:lang w:bidi="ar-SA"/>
        </w:rPr>
        <w:t xml:space="preserve"> uzavírá </w:t>
      </w:r>
      <w:r w:rsidR="00A577B7" w:rsidRPr="00A577B7">
        <w:rPr>
          <w:rFonts w:asciiTheme="minorHAnsi" w:eastAsia="Times New Roman" w:hAnsiTheme="minorHAnsi" w:cstheme="minorHAnsi"/>
          <w:b/>
          <w:sz w:val="21"/>
          <w:szCs w:val="21"/>
          <w:lang w:bidi="ar-SA"/>
        </w:rPr>
        <w:t>Jiří Váchal.</w:t>
      </w:r>
    </w:p>
    <w:p w14:paraId="4E7F8CBF" w14:textId="77777777" w:rsidR="00B20F7B" w:rsidRPr="00AD79CC" w:rsidRDefault="00B20F7B" w:rsidP="00EE591F">
      <w:pPr>
        <w:pBdr>
          <w:top w:val="single" w:sz="4" w:space="1" w:color="auto"/>
        </w:pBdr>
        <w:spacing w:before="120"/>
        <w:rPr>
          <w:rFonts w:asciiTheme="minorHAnsi" w:hAnsiTheme="minorHAnsi" w:cstheme="minorHAnsi"/>
          <w:color w:val="000000" w:themeColor="text1"/>
          <w:sz w:val="21"/>
          <w:szCs w:val="21"/>
        </w:rPr>
      </w:pP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byl poprvé spuštěn v srpnu roku 2019. Od svého počátku sleduje vývoj nákladů na povinné ručení pro řidiče bez historie, ať už se jedná o nového řidiče, nebo o řidiče, který donedávna užíval služební vozidlo. Broker Consulting </w:t>
      </w: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je počítán odlišnou metodikou, než jako používá ČKP. Pro vizualizaci je zvolena značka vozu Škoda Octavia 1,6 TDI, 85 kW. </w:t>
      </w:r>
      <w:proofErr w:type="spellStart"/>
      <w:r w:rsidRPr="00AD79CC">
        <w:rPr>
          <w:rFonts w:asciiTheme="minorHAnsi" w:hAnsiTheme="minorHAnsi" w:cstheme="minorHAnsi"/>
          <w:color w:val="000000" w:themeColor="text1"/>
          <w:sz w:val="21"/>
          <w:szCs w:val="21"/>
        </w:rPr>
        <w:t>POVIndex</w:t>
      </w:r>
      <w:proofErr w:type="spellEnd"/>
      <w:r w:rsidRPr="00AD79CC">
        <w:rPr>
          <w:rFonts w:asciiTheme="minorHAnsi" w:hAnsiTheme="minorHAnsi" w:cstheme="minorHAnsi"/>
          <w:color w:val="000000" w:themeColor="text1"/>
          <w:sz w:val="21"/>
          <w:szCs w:val="21"/>
        </w:rPr>
        <w:t xml:space="preserve"> zastupuje běžné vozidlo podobné kubatury a výkonu ve vyšších hodnotách plnění, kdy první hodnota udává limit pojistného plnění pro případ škody na zdraví a druhá částka limit pro škody na majetku a ušlém zisku. Index je složen z těchto limitů povinného ručení: 36 % 100mil/100mil, 55 % 150mil/150mil a 9 % 200mil/200mil. V dlouhodobém horizontu lze díky </w:t>
      </w:r>
      <w:proofErr w:type="spellStart"/>
      <w:r w:rsidRPr="00AD79CC">
        <w:rPr>
          <w:rFonts w:asciiTheme="minorHAnsi" w:hAnsiTheme="minorHAnsi" w:cstheme="minorHAnsi"/>
          <w:color w:val="000000" w:themeColor="text1"/>
          <w:sz w:val="21"/>
          <w:szCs w:val="21"/>
        </w:rPr>
        <w:t>POVIndexu</w:t>
      </w:r>
      <w:proofErr w:type="spellEnd"/>
      <w:r w:rsidRPr="00AD79CC">
        <w:rPr>
          <w:rFonts w:asciiTheme="minorHAnsi" w:hAnsiTheme="minorHAnsi" w:cstheme="minorHAnsi"/>
          <w:color w:val="000000" w:themeColor="text1"/>
          <w:sz w:val="21"/>
          <w:szCs w:val="21"/>
        </w:rPr>
        <w:t xml:space="preserve"> sledovat, zda pojišťovny základní sazby u typického vozu spíše zdražují, nebo zlevňují.</w:t>
      </w:r>
    </w:p>
    <w:p w14:paraId="056704B7" w14:textId="10689440" w:rsidR="00B20F7B" w:rsidRDefault="00B20F7B" w:rsidP="00B20F7B">
      <w:pPr>
        <w:pStyle w:val="Zkladntext"/>
        <w:spacing w:before="240" w:line="237" w:lineRule="auto"/>
        <w:rPr>
          <w:rFonts w:asciiTheme="minorHAnsi" w:hAnsiTheme="minorHAnsi" w:cstheme="minorHAnsi"/>
          <w:sz w:val="21"/>
          <w:szCs w:val="21"/>
        </w:rPr>
      </w:pPr>
      <w:r w:rsidRPr="00AD79CC">
        <w:rPr>
          <w:rFonts w:asciiTheme="minorHAnsi" w:hAnsiTheme="minorHAnsi" w:cstheme="minorHAnsi"/>
          <w:b/>
          <w:sz w:val="21"/>
          <w:szCs w:val="21"/>
        </w:rPr>
        <w:t xml:space="preserve">Broker Consulting </w:t>
      </w:r>
      <w:proofErr w:type="spellStart"/>
      <w:r w:rsidRPr="00AD79CC">
        <w:rPr>
          <w:rFonts w:asciiTheme="minorHAnsi" w:hAnsiTheme="minorHAnsi" w:cstheme="minorHAnsi"/>
          <w:b/>
          <w:sz w:val="21"/>
          <w:szCs w:val="21"/>
        </w:rPr>
        <w:t>POVIndex</w:t>
      </w:r>
      <w:proofErr w:type="spellEnd"/>
      <w:r w:rsidRPr="00AD79CC">
        <w:rPr>
          <w:rFonts w:asciiTheme="minorHAnsi" w:hAnsiTheme="minorHAnsi" w:cstheme="minorHAnsi"/>
          <w:sz w:val="21"/>
          <w:szCs w:val="21"/>
        </w:rPr>
        <w:t xml:space="preserve"> je založen na odlišné metodice výpočtu, než jakou používá ČKP. Jeho hodnota nevychází z průměru hodnot celé řady veličin, ale z menšího množství parametrů. </w:t>
      </w:r>
      <w:proofErr w:type="spellStart"/>
      <w:r w:rsidRPr="00AD79CC">
        <w:rPr>
          <w:rFonts w:asciiTheme="minorHAnsi" w:hAnsiTheme="minorHAnsi" w:cstheme="minorHAnsi"/>
          <w:sz w:val="21"/>
          <w:szCs w:val="21"/>
        </w:rPr>
        <w:t>POVIndex</w:t>
      </w:r>
      <w:proofErr w:type="spellEnd"/>
      <w:r w:rsidRPr="00AD79CC">
        <w:rPr>
          <w:rFonts w:asciiTheme="minorHAnsi" w:hAnsiTheme="minorHAnsi" w:cstheme="minorHAnsi"/>
          <w:sz w:val="21"/>
          <w:szCs w:val="21"/>
        </w:rPr>
        <w:t xml:space="preserve"> ukazuje průměrnou cenu za typické povinné ručení pro nový vůz Škoda Octavia 1,6 TDI, 85 kW. Typ vozu byl vybrán proto, že je typickým zástupcem vozů, které používají české domácnosti. Pojištění zahrnutá do </w:t>
      </w:r>
      <w:proofErr w:type="spellStart"/>
      <w:r w:rsidRPr="00AD79CC">
        <w:rPr>
          <w:rFonts w:asciiTheme="minorHAnsi" w:hAnsiTheme="minorHAnsi" w:cstheme="minorHAnsi"/>
          <w:sz w:val="21"/>
          <w:szCs w:val="21"/>
        </w:rPr>
        <w:t>POVIndexu</w:t>
      </w:r>
      <w:proofErr w:type="spellEnd"/>
      <w:r w:rsidRPr="00AD79CC">
        <w:rPr>
          <w:rFonts w:asciiTheme="minorHAnsi" w:hAnsiTheme="minorHAnsi" w:cstheme="minorHAnsi"/>
          <w:sz w:val="21"/>
          <w:szCs w:val="21"/>
        </w:rPr>
        <w:t xml:space="preserve"> obsahují nejběžnější možné krytí. Pojištění dostupná na trhu ale nemají úplně identický rozsah krytí. Vždy je potřeba posuzovat nejenom cenu, ale také rozsah benefitů (zejména asistenčních služeb) ve vztahu k potřebám řidiče (Jak moc jezdí? Jaké vzdálenosti? Jak si představuje servis od pojišťovny v případě nehody?). Rozdíly v pojištěních jsou například v limitech pro opravu na místě, v limitech pro vzdálenost hrazeného odtahu, případně v možnostech náhradního vozidla. </w:t>
      </w:r>
    </w:p>
    <w:p w14:paraId="0572A7E3" w14:textId="6C510BF2" w:rsidR="00356FFC" w:rsidRPr="00AD79CC" w:rsidRDefault="00356FFC" w:rsidP="00004F71">
      <w:pPr>
        <w:pStyle w:val="Zkladntext"/>
        <w:pBdr>
          <w:bottom w:val="single" w:sz="4" w:space="1" w:color="auto"/>
        </w:pBdr>
        <w:spacing w:line="237" w:lineRule="auto"/>
        <w:rPr>
          <w:rFonts w:ascii="Arial" w:hAnsi="Arial" w:cs="Arial"/>
          <w:b/>
          <w:sz w:val="21"/>
          <w:szCs w:val="21"/>
        </w:rPr>
      </w:pPr>
    </w:p>
    <w:p w14:paraId="549F0D26" w14:textId="1A70BC59" w:rsidR="000E21D2" w:rsidRPr="00AD79CC" w:rsidRDefault="00763554" w:rsidP="00AD2933">
      <w:pPr>
        <w:rPr>
          <w:rFonts w:asciiTheme="minorHAnsi" w:hAnsiTheme="minorHAnsi" w:cstheme="minorHAnsi"/>
          <w:i/>
          <w:color w:val="1D1D1B"/>
          <w:w w:val="105"/>
          <w:sz w:val="21"/>
          <w:szCs w:val="21"/>
        </w:rPr>
      </w:pPr>
      <w:r w:rsidRPr="00AD79CC">
        <w:rPr>
          <w:rFonts w:asciiTheme="minorHAnsi" w:hAnsiTheme="minorHAnsi" w:cstheme="minorHAnsi"/>
          <w:b/>
          <w:sz w:val="21"/>
          <w:szCs w:val="21"/>
        </w:rPr>
        <w:t>Poznámka pro média:</w:t>
      </w:r>
      <w:r w:rsidRPr="00AD79CC">
        <w:rPr>
          <w:rFonts w:asciiTheme="minorHAnsi" w:hAnsiTheme="minorHAnsi" w:cstheme="minorHAnsi"/>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Indexy</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je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možné</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volně</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spacing w:val="2"/>
          <w:w w:val="105"/>
          <w:sz w:val="21"/>
          <w:szCs w:val="21"/>
        </w:rPr>
        <w:t>publikovat</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pouze</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s</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označením</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„Broker</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w w:val="105"/>
          <w:sz w:val="21"/>
          <w:szCs w:val="21"/>
        </w:rPr>
        <w:t>Consulting</w:t>
      </w:r>
      <w:r w:rsidRPr="00AD79CC">
        <w:rPr>
          <w:rFonts w:asciiTheme="minorHAnsi" w:hAnsiTheme="minorHAnsi" w:cstheme="minorHAnsi"/>
          <w:color w:val="1D1D1B"/>
          <w:spacing w:val="-8"/>
          <w:w w:val="105"/>
          <w:sz w:val="21"/>
          <w:szCs w:val="21"/>
        </w:rPr>
        <w:t xml:space="preserve"> </w:t>
      </w:r>
      <w:r w:rsidRPr="00AD79CC">
        <w:rPr>
          <w:rFonts w:asciiTheme="minorHAnsi" w:hAnsiTheme="minorHAnsi" w:cstheme="minorHAnsi"/>
          <w:color w:val="1D1D1B"/>
          <w:w w:val="105"/>
          <w:sz w:val="21"/>
          <w:szCs w:val="21"/>
        </w:rPr>
        <w:t>Index“</w:t>
      </w:r>
      <w:r w:rsidRPr="00AD79CC">
        <w:rPr>
          <w:rFonts w:asciiTheme="minorHAnsi" w:hAnsiTheme="minorHAnsi" w:cstheme="minorHAnsi"/>
          <w:color w:val="1D1D1B"/>
          <w:spacing w:val="-9"/>
          <w:w w:val="105"/>
          <w:sz w:val="21"/>
          <w:szCs w:val="21"/>
        </w:rPr>
        <w:t xml:space="preserve"> </w:t>
      </w:r>
      <w:r w:rsidRPr="00AD79CC">
        <w:rPr>
          <w:rFonts w:asciiTheme="minorHAnsi" w:hAnsiTheme="minorHAnsi" w:cstheme="minorHAnsi"/>
          <w:color w:val="1D1D1B"/>
          <w:spacing w:val="-3"/>
          <w:w w:val="105"/>
          <w:sz w:val="21"/>
          <w:szCs w:val="21"/>
        </w:rPr>
        <w:t>(</w:t>
      </w:r>
      <w:r w:rsidRPr="00AD79CC">
        <w:rPr>
          <w:rFonts w:asciiTheme="minorHAnsi" w:hAnsiTheme="minorHAnsi" w:cstheme="minorHAnsi"/>
          <w:i/>
          <w:color w:val="1D1D1B"/>
          <w:spacing w:val="-3"/>
          <w:w w:val="105"/>
          <w:sz w:val="21"/>
          <w:szCs w:val="21"/>
        </w:rPr>
        <w:t>např.</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Broker</w:t>
      </w:r>
      <w:r w:rsidRPr="00AD79CC">
        <w:rPr>
          <w:rFonts w:asciiTheme="minorHAnsi" w:hAnsiTheme="minorHAnsi" w:cstheme="minorHAnsi"/>
          <w:i/>
          <w:color w:val="1D1D1B"/>
          <w:spacing w:val="-9"/>
          <w:w w:val="105"/>
          <w:sz w:val="21"/>
          <w:szCs w:val="21"/>
        </w:rPr>
        <w:t xml:space="preserve"> </w:t>
      </w:r>
      <w:r w:rsidRPr="00AD79CC">
        <w:rPr>
          <w:rFonts w:asciiTheme="minorHAnsi" w:hAnsiTheme="minorHAnsi" w:cstheme="minorHAnsi"/>
          <w:i/>
          <w:color w:val="1D1D1B"/>
          <w:w w:val="105"/>
          <w:sz w:val="21"/>
          <w:szCs w:val="21"/>
        </w:rPr>
        <w:t>Consulting</w:t>
      </w:r>
      <w:r w:rsidRPr="00AD79CC">
        <w:rPr>
          <w:rFonts w:asciiTheme="minorHAnsi" w:hAnsiTheme="minorHAnsi" w:cstheme="minorHAnsi"/>
          <w:i/>
          <w:color w:val="1D1D1B"/>
          <w:spacing w:val="-8"/>
          <w:w w:val="105"/>
          <w:sz w:val="21"/>
          <w:szCs w:val="21"/>
        </w:rPr>
        <w:t xml:space="preserve"> </w:t>
      </w:r>
      <w:r w:rsidRPr="00AD79CC">
        <w:rPr>
          <w:rFonts w:asciiTheme="minorHAnsi" w:hAnsiTheme="minorHAnsi" w:cstheme="minorHAnsi"/>
          <w:i/>
          <w:color w:val="1D1D1B"/>
          <w:w w:val="105"/>
          <w:sz w:val="21"/>
          <w:szCs w:val="21"/>
        </w:rPr>
        <w:t xml:space="preserve">Index hypotečních úvěrů). Více informací najdete též na webu </w:t>
      </w:r>
      <w:r w:rsidRPr="00AD79CC">
        <w:rPr>
          <w:rStyle w:val="Hypertextovodkaz"/>
          <w:rFonts w:asciiTheme="minorHAnsi" w:hAnsiTheme="minorHAnsi" w:cstheme="minorHAnsi"/>
          <w:i/>
          <w:w w:val="105"/>
          <w:sz w:val="21"/>
          <w:szCs w:val="21"/>
        </w:rPr>
        <w:t>https://www.bcas.cz/onas/pro-media/</w:t>
      </w:r>
      <w:r w:rsidRPr="00AD79CC">
        <w:rPr>
          <w:rFonts w:asciiTheme="minorHAnsi" w:hAnsiTheme="minorHAnsi" w:cstheme="minorHAnsi"/>
          <w:i/>
          <w:color w:val="1D1D1B"/>
          <w:w w:val="105"/>
          <w:sz w:val="21"/>
          <w:szCs w:val="21"/>
        </w:rPr>
        <w:t xml:space="preserve">. </w:t>
      </w:r>
    </w:p>
    <w:p w14:paraId="71F65714" w14:textId="2F88C0D2" w:rsidR="00B24DBE" w:rsidRPr="00AD79CC" w:rsidRDefault="00B24DBE" w:rsidP="00AD2933">
      <w:pPr>
        <w:rPr>
          <w:rFonts w:asciiTheme="minorHAnsi" w:hAnsiTheme="minorHAnsi" w:cstheme="minorHAnsi"/>
          <w:i/>
          <w:color w:val="1D1D1B"/>
          <w:w w:val="105"/>
          <w:sz w:val="21"/>
          <w:szCs w:val="21"/>
        </w:rPr>
      </w:pPr>
    </w:p>
    <w:p w14:paraId="6C52618D" w14:textId="63EB8F69" w:rsidR="00B24DBE" w:rsidRPr="00AD79CC" w:rsidRDefault="00B24DBE" w:rsidP="00AD2933">
      <w:pPr>
        <w:rPr>
          <w:rStyle w:val="Hypertextovodkaz"/>
          <w:rFonts w:asciiTheme="minorHAnsi" w:hAnsiTheme="minorHAnsi" w:cstheme="minorHAnsi"/>
          <w:w w:val="105"/>
          <w:sz w:val="21"/>
          <w:szCs w:val="21"/>
        </w:rPr>
      </w:pPr>
      <w:r w:rsidRPr="00AD79CC">
        <w:rPr>
          <w:rFonts w:asciiTheme="minorHAnsi" w:hAnsiTheme="minorHAnsi" w:cstheme="minorHAnsi"/>
          <w:b/>
          <w:color w:val="FF0000"/>
          <w:w w:val="105"/>
          <w:sz w:val="21"/>
          <w:szCs w:val="21"/>
        </w:rPr>
        <w:t>Broker Consulting Indexy je nyní možné sledovat v interaktivní formě na webu</w:t>
      </w:r>
      <w:r w:rsidRPr="00AD79CC">
        <w:rPr>
          <w:rFonts w:asciiTheme="minorHAnsi" w:hAnsiTheme="minorHAnsi" w:cstheme="minorHAnsi"/>
          <w:color w:val="1D1D1B"/>
          <w:w w:val="105"/>
          <w:sz w:val="21"/>
          <w:szCs w:val="21"/>
        </w:rPr>
        <w:t xml:space="preserve">. Zde lze zároveň exportovat zdrojová data ke grafům. Vice dostupné na odkaze: </w:t>
      </w:r>
      <w:r w:rsidR="00BB27FC" w:rsidRPr="00AD79CC">
        <w:rPr>
          <w:rFonts w:asciiTheme="minorHAnsi" w:hAnsiTheme="minorHAnsi" w:cstheme="minorHAnsi"/>
          <w:b/>
          <w:i/>
          <w:w w:val="105"/>
          <w:sz w:val="21"/>
          <w:szCs w:val="21"/>
        </w:rPr>
        <w:fldChar w:fldCharType="begin"/>
      </w:r>
      <w:r w:rsidR="00BB27FC" w:rsidRPr="00AD79CC">
        <w:rPr>
          <w:rFonts w:asciiTheme="minorHAnsi" w:hAnsiTheme="minorHAnsi" w:cstheme="minorHAnsi"/>
          <w:b/>
          <w:i/>
          <w:w w:val="105"/>
          <w:sz w:val="21"/>
          <w:szCs w:val="21"/>
        </w:rPr>
        <w:instrText xml:space="preserve"> HYPERLINK "https://www.bcas.cz/o-nas/broker-consulting-povindex/" </w:instrText>
      </w:r>
      <w:r w:rsidR="00BB27FC" w:rsidRPr="00AD79CC">
        <w:rPr>
          <w:rFonts w:asciiTheme="minorHAnsi" w:hAnsiTheme="minorHAnsi" w:cstheme="minorHAnsi"/>
          <w:b/>
          <w:i/>
          <w:w w:val="105"/>
          <w:sz w:val="21"/>
          <w:szCs w:val="21"/>
        </w:rPr>
        <w:fldChar w:fldCharType="separate"/>
      </w:r>
      <w:r w:rsidRPr="00AD79CC">
        <w:rPr>
          <w:rStyle w:val="Hypertextovodkaz"/>
          <w:rFonts w:asciiTheme="minorHAnsi" w:hAnsiTheme="minorHAnsi" w:cstheme="minorHAnsi"/>
          <w:b/>
          <w:i/>
          <w:w w:val="105"/>
          <w:sz w:val="21"/>
          <w:szCs w:val="21"/>
        </w:rPr>
        <w:t>https://www.bcas.cz/o-nas/broker-consulting-povindex/.</w:t>
      </w:r>
    </w:p>
    <w:p w14:paraId="43CFEAAA" w14:textId="552835E9" w:rsidR="000E21D2" w:rsidRPr="00AD79CC" w:rsidRDefault="00BB27FC" w:rsidP="00DE7CE1">
      <w:pPr>
        <w:pStyle w:val="Bezmezer"/>
        <w:rPr>
          <w:rFonts w:eastAsia="F015TEELig" w:cstheme="minorHAnsi"/>
          <w:b/>
          <w:sz w:val="21"/>
          <w:szCs w:val="21"/>
        </w:rPr>
      </w:pPr>
      <w:r w:rsidRPr="00AD79CC">
        <w:rPr>
          <w:rFonts w:eastAsia="F015TEELig" w:cstheme="minorHAnsi"/>
          <w:b/>
          <w:i/>
          <w:w w:val="105"/>
          <w:sz w:val="21"/>
          <w:szCs w:val="21"/>
          <w:lang w:bidi="cs-CZ"/>
        </w:rPr>
        <w:fldChar w:fldCharType="end"/>
      </w:r>
    </w:p>
    <w:p w14:paraId="7966D3DF" w14:textId="74C850C7" w:rsidR="00DE7CE1" w:rsidRPr="00AD79CC" w:rsidRDefault="00866220" w:rsidP="00DE7CE1">
      <w:pPr>
        <w:pStyle w:val="Bezmezer"/>
        <w:rPr>
          <w:rFonts w:eastAsia="F015TEELig" w:cstheme="minorHAnsi"/>
          <w:b/>
          <w:sz w:val="21"/>
          <w:szCs w:val="21"/>
        </w:rPr>
      </w:pPr>
      <w:r w:rsidRPr="00AD79CC">
        <w:rPr>
          <w:rFonts w:eastAsia="F015TEELig" w:cstheme="minorHAnsi"/>
          <w:b/>
          <w:sz w:val="21"/>
          <w:szCs w:val="21"/>
        </w:rPr>
        <w:t>Kontakt pro média:</w:t>
      </w:r>
    </w:p>
    <w:p w14:paraId="2ACFC1DB" w14:textId="37A10837" w:rsidR="00DE7CE1" w:rsidRPr="00AD79CC" w:rsidRDefault="00AD3D91" w:rsidP="00DE7CE1">
      <w:pPr>
        <w:pStyle w:val="Bezmezer"/>
        <w:rPr>
          <w:rFonts w:eastAsia="F015TEELig" w:cstheme="minorHAnsi"/>
          <w:sz w:val="21"/>
          <w:szCs w:val="21"/>
        </w:rPr>
      </w:pPr>
      <w:r>
        <w:rPr>
          <w:rFonts w:eastAsia="F015TEELig" w:cstheme="minorHAnsi"/>
          <w:sz w:val="21"/>
          <w:szCs w:val="21"/>
        </w:rPr>
        <w:t>Lenka Kuželová</w:t>
      </w:r>
    </w:p>
    <w:p w14:paraId="3373094C" w14:textId="6E64C468" w:rsidR="00866220" w:rsidRPr="00AD79CC" w:rsidRDefault="00866220" w:rsidP="00DE7CE1">
      <w:pPr>
        <w:pStyle w:val="Bezmezer"/>
        <w:rPr>
          <w:rFonts w:eastAsia="F015TEELig" w:cstheme="minorHAnsi"/>
          <w:sz w:val="21"/>
          <w:szCs w:val="21"/>
        </w:rPr>
      </w:pPr>
      <w:r w:rsidRPr="00AD79CC">
        <w:rPr>
          <w:rFonts w:eastAsia="F015TEELig" w:cstheme="minorHAnsi"/>
          <w:sz w:val="21"/>
          <w:szCs w:val="21"/>
        </w:rPr>
        <w:t>Specialistka PR a externí komunikace</w:t>
      </w:r>
    </w:p>
    <w:p w14:paraId="6FC0F9F5" w14:textId="72746B7C" w:rsidR="004C7BB5" w:rsidRPr="00AD79CC" w:rsidRDefault="00AD3D91" w:rsidP="00A1017F">
      <w:pPr>
        <w:pStyle w:val="Bezmezer"/>
        <w:rPr>
          <w:rFonts w:eastAsia="F015TEELig" w:cstheme="minorHAnsi"/>
          <w:sz w:val="21"/>
          <w:szCs w:val="21"/>
        </w:rPr>
      </w:pPr>
      <w:r>
        <w:rPr>
          <w:rFonts w:eastAsia="F015TEELig" w:cstheme="minorHAnsi"/>
          <w:sz w:val="21"/>
          <w:szCs w:val="21"/>
        </w:rPr>
        <w:t>Mobil: +420 731 929 990</w:t>
      </w:r>
      <w:r w:rsidR="005B3E4A" w:rsidRPr="00AD79CC">
        <w:rPr>
          <w:rFonts w:eastAsia="F015TEELig" w:cstheme="minorHAnsi"/>
          <w:sz w:val="21"/>
          <w:szCs w:val="21"/>
        </w:rPr>
        <w:t>, e</w:t>
      </w:r>
      <w:r w:rsidR="00866220" w:rsidRPr="00AD79CC">
        <w:rPr>
          <w:rFonts w:eastAsia="F015TEELig" w:cstheme="minorHAnsi"/>
          <w:sz w:val="21"/>
          <w:szCs w:val="21"/>
        </w:rPr>
        <w:t>-mail:</w:t>
      </w:r>
      <w:r w:rsidR="00866220" w:rsidRPr="00AD79CC">
        <w:rPr>
          <w:rFonts w:eastAsia="Calibri" w:cstheme="minorHAnsi"/>
          <w:noProof/>
          <w:sz w:val="21"/>
          <w:szCs w:val="21"/>
        </w:rPr>
        <w:t xml:space="preserve"> </w:t>
      </w:r>
      <w:hyperlink r:id="rId18"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sectPr w:rsidR="004C7BB5" w:rsidRPr="00AD79CC" w:rsidSect="006B54C7">
      <w:headerReference w:type="default" r:id="rId19"/>
      <w:footerReference w:type="default" r:id="rId20"/>
      <w:headerReference w:type="first" r:id="rId21"/>
      <w:footerReference w:type="first" r:id="rId22"/>
      <w:type w:val="continuous"/>
      <w:pgSz w:w="11910" w:h="16840"/>
      <w:pgMar w:top="1985" w:right="711" w:bottom="2410" w:left="720"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7CFE2" w14:textId="77777777" w:rsidR="003C7C52" w:rsidRDefault="003C7C52">
      <w:r>
        <w:separator/>
      </w:r>
    </w:p>
  </w:endnote>
  <w:endnote w:type="continuationSeparator" w:id="0">
    <w:p w14:paraId="06DDA07D" w14:textId="77777777" w:rsidR="003C7C52" w:rsidRDefault="003C7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Arial">
    <w:panose1 w:val="020B0604020202020204"/>
    <w:charset w:val="EE"/>
    <w:family w:val="swiss"/>
    <w:pitch w:val="variable"/>
    <w:sig w:usb0="E0002EFF" w:usb1="C000785B" w:usb2="00000009" w:usb3="00000000" w:csb0="000001FF" w:csb1="00000000"/>
  </w:font>
  <w:font w:name="F015TEEMed">
    <w:altName w:val="Times New Roman"/>
    <w:charset w:val="00"/>
    <w:family w:val="auto"/>
    <w:pitch w:val="variable"/>
    <w:sig w:usb0="00000001" w:usb1="00000000" w:usb2="00000000" w:usb3="00000000" w:csb0="00000083"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67749"/>
      <w:docPartObj>
        <w:docPartGallery w:val="Page Numbers (Bottom of Page)"/>
        <w:docPartUnique/>
      </w:docPartObj>
    </w:sdtPr>
    <w:sdtEndPr/>
    <w:sdtContent>
      <w:p w14:paraId="3298633F" w14:textId="4CEA6F17" w:rsidR="006B54C7" w:rsidRPr="006B54C7" w:rsidRDefault="006B54C7">
        <w:pPr>
          <w:pStyle w:val="Zpat"/>
          <w:jc w:val="center"/>
          <w:rPr>
            <w:rFonts w:asciiTheme="minorHAnsi" w:hAnsiTheme="minorHAnsi" w:cstheme="minorHAnsi"/>
            <w:sz w:val="20"/>
            <w:szCs w:val="20"/>
          </w:rPr>
        </w:pPr>
        <w:r w:rsidRPr="006B54C7">
          <w:rPr>
            <w:rFonts w:asciiTheme="minorHAnsi" w:hAnsiTheme="minorHAnsi" w:cstheme="minorHAnsi"/>
            <w:sz w:val="20"/>
            <w:szCs w:val="20"/>
          </w:rPr>
          <w:fldChar w:fldCharType="begin"/>
        </w:r>
        <w:r w:rsidRPr="006B54C7">
          <w:rPr>
            <w:rFonts w:asciiTheme="minorHAnsi" w:hAnsiTheme="minorHAnsi" w:cstheme="minorHAnsi"/>
            <w:sz w:val="20"/>
            <w:szCs w:val="20"/>
          </w:rPr>
          <w:instrText>PAGE   \* MERGEFORMAT</w:instrText>
        </w:r>
        <w:r w:rsidRPr="006B54C7">
          <w:rPr>
            <w:rFonts w:asciiTheme="minorHAnsi" w:hAnsiTheme="minorHAnsi" w:cstheme="minorHAnsi"/>
            <w:sz w:val="20"/>
            <w:szCs w:val="20"/>
          </w:rPr>
          <w:fldChar w:fldCharType="separate"/>
        </w:r>
        <w:r w:rsidR="00197411">
          <w:rPr>
            <w:rFonts w:asciiTheme="minorHAnsi" w:hAnsiTheme="minorHAnsi" w:cstheme="minorHAnsi"/>
            <w:noProof/>
            <w:sz w:val="20"/>
            <w:szCs w:val="20"/>
          </w:rPr>
          <w:t>3</w:t>
        </w:r>
        <w:r w:rsidRPr="006B54C7">
          <w:rPr>
            <w:rFonts w:asciiTheme="minorHAnsi" w:hAnsiTheme="minorHAnsi" w:cstheme="minorHAnsi"/>
            <w:sz w:val="20"/>
            <w:szCs w:val="20"/>
          </w:rPr>
          <w:fldChar w:fldCharType="end"/>
        </w:r>
        <w:r w:rsidR="0016561D">
          <w:rPr>
            <w:rFonts w:asciiTheme="minorHAnsi" w:hAnsiTheme="minorHAnsi" w:cstheme="minorHAnsi"/>
            <w:sz w:val="20"/>
            <w:szCs w:val="20"/>
          </w:rPr>
          <w:t>/4</w:t>
        </w:r>
      </w:p>
      <w:p w14:paraId="5AF2E761" w14:textId="77777777" w:rsidR="006B54C7" w:rsidRDefault="006B54C7">
        <w:pPr>
          <w:pStyle w:val="Zpat"/>
          <w:jc w:val="center"/>
        </w:pPr>
      </w:p>
      <w:p w14:paraId="21AECC00" w14:textId="52E0DABD" w:rsidR="006B54C7" w:rsidRDefault="003C7C52">
        <w:pPr>
          <w:pStyle w:val="Zpat"/>
          <w:jc w:val="center"/>
        </w:pPr>
      </w:p>
    </w:sdtContent>
  </w:sdt>
  <w:p w14:paraId="43F5299E" w14:textId="77777777" w:rsidR="00D31127" w:rsidRDefault="00D31127">
    <w:pPr>
      <w:pStyle w:val="Zkladn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541CC" w14:textId="77777777" w:rsidR="009F59EE" w:rsidRDefault="009F59EE">
    <w:pPr>
      <w:pStyle w:val="Zpat"/>
    </w:pPr>
  </w:p>
  <w:p w14:paraId="03AA08BA"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82373" w14:textId="77777777" w:rsidR="003C7C52" w:rsidRDefault="003C7C52">
      <w:r>
        <w:separator/>
      </w:r>
    </w:p>
  </w:footnote>
  <w:footnote w:type="continuationSeparator" w:id="0">
    <w:p w14:paraId="3D290093" w14:textId="77777777" w:rsidR="003C7C52" w:rsidRDefault="003C7C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027D"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61649FBC" wp14:editId="6C50DABE">
          <wp:simplePos x="0" y="0"/>
          <wp:positionH relativeFrom="margin">
            <wp:align>right</wp:align>
          </wp:positionH>
          <wp:positionV relativeFrom="paragraph">
            <wp:posOffset>6985</wp:posOffset>
          </wp:positionV>
          <wp:extent cx="601425" cy="648000"/>
          <wp:effectExtent l="0" t="0" r="8255" b="0"/>
          <wp:wrapNone/>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0E0527E" w14:textId="77777777" w:rsidR="00B65A3B" w:rsidRPr="00C8584A" w:rsidRDefault="00B65A3B" w:rsidP="00B65A3B">
    <w:pPr>
      <w:pStyle w:val="Nadpis2"/>
      <w:ind w:left="1440" w:firstLine="720"/>
      <w:rPr>
        <w:rFonts w:asciiTheme="minorHAnsi" w:hAnsiTheme="minorHAnsi" w:cstheme="minorHAnsi"/>
      </w:rPr>
    </w:pPr>
    <w:r w:rsidRPr="00C8584A">
      <w:rPr>
        <w:rFonts w:asciiTheme="minorHAnsi" w:hAnsiTheme="minorHAnsi" w:cstheme="minorHAnsi"/>
        <w:noProof/>
        <w:lang w:bidi="ar-SA"/>
      </w:rPr>
      <mc:AlternateContent>
        <mc:Choice Requires="wps">
          <w:drawing>
            <wp:anchor distT="0" distB="0" distL="114300" distR="114300" simplePos="0" relativeHeight="251650048" behindDoc="0" locked="0" layoutInCell="1" allowOverlap="1" wp14:anchorId="74E496FE" wp14:editId="008184BD">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43DDB233"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C8584A">
      <w:rPr>
        <w:rFonts w:asciiTheme="minorHAnsi" w:hAnsiTheme="minorHAnsi" w:cstheme="minorHAnsi"/>
        <w:noProof/>
        <w:lang w:bidi="ar-SA"/>
      </w:rPr>
      <w:drawing>
        <wp:anchor distT="0" distB="0" distL="0" distR="0" simplePos="0" relativeHeight="251649024" behindDoc="0" locked="0" layoutInCell="1" allowOverlap="1" wp14:anchorId="03CE00E2" wp14:editId="110496C0">
          <wp:simplePos x="0" y="0"/>
          <wp:positionH relativeFrom="margin">
            <wp:align>left</wp:align>
          </wp:positionH>
          <wp:positionV relativeFrom="paragraph">
            <wp:posOffset>63500</wp:posOffset>
          </wp:positionV>
          <wp:extent cx="958324" cy="360000"/>
          <wp:effectExtent l="0" t="0" r="0" b="254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C8584A">
      <w:rPr>
        <w:rFonts w:asciiTheme="minorHAnsi" w:hAnsiTheme="minorHAnsi" w:cstheme="minorHAnsi"/>
        <w:color w:val="1D1D1B"/>
      </w:rPr>
      <w:t>BROKER CONSULTING</w:t>
    </w:r>
  </w:p>
  <w:p w14:paraId="5006E230" w14:textId="00520F85" w:rsidR="00C8584A" w:rsidRPr="00AD79CC" w:rsidRDefault="00AF0BE0" w:rsidP="00AD79CC">
    <w:pPr>
      <w:spacing w:before="85"/>
      <w:ind w:left="1440" w:firstLine="720"/>
      <w:rPr>
        <w:rFonts w:asciiTheme="minorHAnsi" w:hAnsiTheme="minorHAnsi" w:cstheme="minorHAnsi"/>
        <w:sz w:val="28"/>
        <w:szCs w:val="28"/>
      </w:rPr>
    </w:pPr>
    <w:r w:rsidRPr="00C8584A">
      <w:rPr>
        <w:rFonts w:asciiTheme="minorHAnsi" w:hAnsiTheme="minorHAnsi" w:cstheme="minorHAnsi"/>
        <w:color w:val="E52713"/>
        <w:sz w:val="28"/>
        <w:szCs w:val="28"/>
      </w:rPr>
      <w:t>POV</w:t>
    </w:r>
    <w:r w:rsidR="00B65A3B" w:rsidRPr="00C8584A">
      <w:rPr>
        <w:rFonts w:asciiTheme="minorHAnsi" w:hAnsiTheme="minorHAnsi" w:cstheme="minorHAnsi"/>
        <w:color w:val="E52713"/>
        <w:sz w:val="28"/>
        <w:szCs w:val="28"/>
      </w:rPr>
      <w:t xml:space="preserve">INDEX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5CD40"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2385C356" wp14:editId="5DA37715">
          <wp:simplePos x="0" y="0"/>
          <wp:positionH relativeFrom="margin">
            <wp:align>right</wp:align>
          </wp:positionH>
          <wp:positionV relativeFrom="paragraph">
            <wp:posOffset>6985</wp:posOffset>
          </wp:positionV>
          <wp:extent cx="601425" cy="648000"/>
          <wp:effectExtent l="0" t="0" r="8255" b="0"/>
          <wp:wrapNone/>
          <wp:docPr id="1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95FE0F4"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631C4D59" wp14:editId="4FD03EAD">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6B003738"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0301498B" wp14:editId="636F130A">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E4595CE" w14:textId="7127AE9A" w:rsidR="00D80B6D" w:rsidRPr="009F59EE" w:rsidRDefault="00CC7C89" w:rsidP="009F59EE">
    <w:pPr>
      <w:spacing w:before="85"/>
      <w:ind w:left="1440" w:firstLine="720"/>
      <w:rPr>
        <w:rFonts w:ascii="Arial" w:hAnsi="Arial" w:cs="Arial"/>
        <w:sz w:val="28"/>
        <w:szCs w:val="28"/>
      </w:rPr>
    </w:pPr>
    <w:r>
      <w:rPr>
        <w:rFonts w:ascii="Arial" w:hAnsi="Arial" w:cs="Arial"/>
        <w:color w:val="E52713"/>
        <w:sz w:val="28"/>
        <w:szCs w:val="28"/>
      </w:rPr>
      <w:t>POV</w:t>
    </w:r>
    <w:r w:rsidR="009F59EE" w:rsidRPr="00B65A3B">
      <w:rPr>
        <w:rFonts w:ascii="Arial" w:hAnsi="Arial" w:cs="Arial"/>
        <w:color w:val="E52713"/>
        <w:sz w:val="28"/>
        <w:szCs w:val="28"/>
      </w:rPr>
      <w:t xml:space="preserve">INDEX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DAF"/>
    <w:multiLevelType w:val="hybridMultilevel"/>
    <w:tmpl w:val="0DA01C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B3AB9"/>
    <w:multiLevelType w:val="multilevel"/>
    <w:tmpl w:val="14125A68"/>
    <w:lvl w:ilvl="0">
      <w:start w:val="1"/>
      <w:numFmt w:val="bullet"/>
      <w:lvlText w:val=""/>
      <w:lvlJc w:val="left"/>
      <w:pPr>
        <w:tabs>
          <w:tab w:val="num" w:pos="960"/>
        </w:tabs>
        <w:ind w:left="960" w:hanging="360"/>
      </w:pPr>
      <w:rPr>
        <w:rFonts w:ascii="Symbol" w:hAnsi="Symbol" w:hint="default"/>
        <w:sz w:val="20"/>
      </w:rPr>
    </w:lvl>
    <w:lvl w:ilvl="1" w:tentative="1">
      <w:start w:val="1"/>
      <w:numFmt w:val="bullet"/>
      <w:lvlText w:val="o"/>
      <w:lvlJc w:val="left"/>
      <w:pPr>
        <w:tabs>
          <w:tab w:val="num" w:pos="1680"/>
        </w:tabs>
        <w:ind w:left="1680" w:hanging="360"/>
      </w:pPr>
      <w:rPr>
        <w:rFonts w:ascii="Courier New" w:hAnsi="Courier New" w:hint="default"/>
        <w:sz w:val="20"/>
      </w:rPr>
    </w:lvl>
    <w:lvl w:ilvl="2" w:tentative="1">
      <w:start w:val="1"/>
      <w:numFmt w:val="bullet"/>
      <w:lvlText w:val=""/>
      <w:lvlJc w:val="left"/>
      <w:pPr>
        <w:tabs>
          <w:tab w:val="num" w:pos="2400"/>
        </w:tabs>
        <w:ind w:left="2400" w:hanging="360"/>
      </w:pPr>
      <w:rPr>
        <w:rFonts w:ascii="Wingdings" w:hAnsi="Wingdings" w:hint="default"/>
        <w:sz w:val="20"/>
      </w:rPr>
    </w:lvl>
    <w:lvl w:ilvl="3" w:tentative="1">
      <w:start w:val="1"/>
      <w:numFmt w:val="bullet"/>
      <w:lvlText w:val=""/>
      <w:lvlJc w:val="left"/>
      <w:pPr>
        <w:tabs>
          <w:tab w:val="num" w:pos="3120"/>
        </w:tabs>
        <w:ind w:left="3120" w:hanging="360"/>
      </w:pPr>
      <w:rPr>
        <w:rFonts w:ascii="Wingdings" w:hAnsi="Wingdings" w:hint="default"/>
        <w:sz w:val="20"/>
      </w:rPr>
    </w:lvl>
    <w:lvl w:ilvl="4" w:tentative="1">
      <w:start w:val="1"/>
      <w:numFmt w:val="bullet"/>
      <w:lvlText w:val=""/>
      <w:lvlJc w:val="left"/>
      <w:pPr>
        <w:tabs>
          <w:tab w:val="num" w:pos="3840"/>
        </w:tabs>
        <w:ind w:left="3840" w:hanging="360"/>
      </w:pPr>
      <w:rPr>
        <w:rFonts w:ascii="Wingdings" w:hAnsi="Wingdings" w:hint="default"/>
        <w:sz w:val="20"/>
      </w:rPr>
    </w:lvl>
    <w:lvl w:ilvl="5" w:tentative="1">
      <w:start w:val="1"/>
      <w:numFmt w:val="bullet"/>
      <w:lvlText w:val=""/>
      <w:lvlJc w:val="left"/>
      <w:pPr>
        <w:tabs>
          <w:tab w:val="num" w:pos="4560"/>
        </w:tabs>
        <w:ind w:left="4560" w:hanging="360"/>
      </w:pPr>
      <w:rPr>
        <w:rFonts w:ascii="Wingdings" w:hAnsi="Wingdings" w:hint="default"/>
        <w:sz w:val="20"/>
      </w:rPr>
    </w:lvl>
    <w:lvl w:ilvl="6" w:tentative="1">
      <w:start w:val="1"/>
      <w:numFmt w:val="bullet"/>
      <w:lvlText w:val=""/>
      <w:lvlJc w:val="left"/>
      <w:pPr>
        <w:tabs>
          <w:tab w:val="num" w:pos="5280"/>
        </w:tabs>
        <w:ind w:left="5280" w:hanging="360"/>
      </w:pPr>
      <w:rPr>
        <w:rFonts w:ascii="Wingdings" w:hAnsi="Wingdings" w:hint="default"/>
        <w:sz w:val="20"/>
      </w:rPr>
    </w:lvl>
    <w:lvl w:ilvl="7" w:tentative="1">
      <w:start w:val="1"/>
      <w:numFmt w:val="bullet"/>
      <w:lvlText w:val=""/>
      <w:lvlJc w:val="left"/>
      <w:pPr>
        <w:tabs>
          <w:tab w:val="num" w:pos="6000"/>
        </w:tabs>
        <w:ind w:left="6000" w:hanging="360"/>
      </w:pPr>
      <w:rPr>
        <w:rFonts w:ascii="Wingdings" w:hAnsi="Wingdings" w:hint="default"/>
        <w:sz w:val="20"/>
      </w:rPr>
    </w:lvl>
    <w:lvl w:ilvl="8" w:tentative="1">
      <w:start w:val="1"/>
      <w:numFmt w:val="bullet"/>
      <w:lvlText w:val=""/>
      <w:lvlJc w:val="left"/>
      <w:pPr>
        <w:tabs>
          <w:tab w:val="num" w:pos="6720"/>
        </w:tabs>
        <w:ind w:left="6720" w:hanging="360"/>
      </w:pPr>
      <w:rPr>
        <w:rFonts w:ascii="Wingdings" w:hAnsi="Wingdings" w:hint="default"/>
        <w:sz w:val="20"/>
      </w:rPr>
    </w:lvl>
  </w:abstractNum>
  <w:abstractNum w:abstractNumId="2" w15:restartNumberingAfterBreak="0">
    <w:nsid w:val="0515290C"/>
    <w:multiLevelType w:val="hybridMultilevel"/>
    <w:tmpl w:val="DAD23E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7951D7B"/>
    <w:multiLevelType w:val="hybridMultilevel"/>
    <w:tmpl w:val="7DA240D8"/>
    <w:lvl w:ilvl="0" w:tplc="04050001">
      <w:start w:val="1"/>
      <w:numFmt w:val="bullet"/>
      <w:lvlText w:val=""/>
      <w:lvlJc w:val="left"/>
      <w:pPr>
        <w:ind w:left="1185" w:hanging="211"/>
      </w:pPr>
      <w:rPr>
        <w:rFonts w:ascii="Symbol" w:hAnsi="Symbol" w:hint="default"/>
        <w:color w:val="CD1719"/>
        <w:w w:val="100"/>
        <w:sz w:val="22"/>
        <w:szCs w:val="22"/>
        <w:lang w:val="cs-CZ" w:eastAsia="cs-CZ" w:bidi="cs-CZ"/>
      </w:rPr>
    </w:lvl>
    <w:lvl w:ilvl="1" w:tplc="1DF000FE">
      <w:numFmt w:val="bullet"/>
      <w:lvlText w:val="•"/>
      <w:lvlJc w:val="left"/>
      <w:pPr>
        <w:ind w:left="1657" w:hanging="211"/>
      </w:pPr>
      <w:rPr>
        <w:rFonts w:hint="default"/>
        <w:lang w:val="cs-CZ" w:eastAsia="cs-CZ" w:bidi="cs-CZ"/>
      </w:rPr>
    </w:lvl>
    <w:lvl w:ilvl="2" w:tplc="80FCB91A">
      <w:numFmt w:val="bullet"/>
      <w:lvlText w:val="•"/>
      <w:lvlJc w:val="left"/>
      <w:pPr>
        <w:ind w:left="2130" w:hanging="211"/>
      </w:pPr>
      <w:rPr>
        <w:rFonts w:hint="default"/>
        <w:lang w:val="cs-CZ" w:eastAsia="cs-CZ" w:bidi="cs-CZ"/>
      </w:rPr>
    </w:lvl>
    <w:lvl w:ilvl="3" w:tplc="95182F9E">
      <w:numFmt w:val="bullet"/>
      <w:lvlText w:val="•"/>
      <w:lvlJc w:val="left"/>
      <w:pPr>
        <w:ind w:left="2604" w:hanging="211"/>
      </w:pPr>
      <w:rPr>
        <w:rFonts w:hint="default"/>
        <w:lang w:val="cs-CZ" w:eastAsia="cs-CZ" w:bidi="cs-CZ"/>
      </w:rPr>
    </w:lvl>
    <w:lvl w:ilvl="4" w:tplc="46A6BAA6">
      <w:numFmt w:val="bullet"/>
      <w:lvlText w:val="•"/>
      <w:lvlJc w:val="left"/>
      <w:pPr>
        <w:ind w:left="3077" w:hanging="211"/>
      </w:pPr>
      <w:rPr>
        <w:rFonts w:hint="default"/>
        <w:lang w:val="cs-CZ" w:eastAsia="cs-CZ" w:bidi="cs-CZ"/>
      </w:rPr>
    </w:lvl>
    <w:lvl w:ilvl="5" w:tplc="EDF4598C">
      <w:numFmt w:val="bullet"/>
      <w:lvlText w:val="•"/>
      <w:lvlJc w:val="left"/>
      <w:pPr>
        <w:ind w:left="3551" w:hanging="211"/>
      </w:pPr>
      <w:rPr>
        <w:rFonts w:hint="default"/>
        <w:lang w:val="cs-CZ" w:eastAsia="cs-CZ" w:bidi="cs-CZ"/>
      </w:rPr>
    </w:lvl>
    <w:lvl w:ilvl="6" w:tplc="EAA42A0A">
      <w:numFmt w:val="bullet"/>
      <w:lvlText w:val="•"/>
      <w:lvlJc w:val="left"/>
      <w:pPr>
        <w:ind w:left="4024" w:hanging="211"/>
      </w:pPr>
      <w:rPr>
        <w:rFonts w:hint="default"/>
        <w:lang w:val="cs-CZ" w:eastAsia="cs-CZ" w:bidi="cs-CZ"/>
      </w:rPr>
    </w:lvl>
    <w:lvl w:ilvl="7" w:tplc="24E25A2C">
      <w:numFmt w:val="bullet"/>
      <w:lvlText w:val="•"/>
      <w:lvlJc w:val="left"/>
      <w:pPr>
        <w:ind w:left="4498" w:hanging="211"/>
      </w:pPr>
      <w:rPr>
        <w:rFonts w:hint="default"/>
        <w:lang w:val="cs-CZ" w:eastAsia="cs-CZ" w:bidi="cs-CZ"/>
      </w:rPr>
    </w:lvl>
    <w:lvl w:ilvl="8" w:tplc="A382597A">
      <w:numFmt w:val="bullet"/>
      <w:lvlText w:val="•"/>
      <w:lvlJc w:val="left"/>
      <w:pPr>
        <w:ind w:left="4971" w:hanging="211"/>
      </w:pPr>
      <w:rPr>
        <w:rFonts w:hint="default"/>
        <w:lang w:val="cs-CZ" w:eastAsia="cs-CZ" w:bidi="cs-CZ"/>
      </w:rPr>
    </w:lvl>
  </w:abstractNum>
  <w:abstractNum w:abstractNumId="4" w15:restartNumberingAfterBreak="0">
    <w:nsid w:val="0A754CF1"/>
    <w:multiLevelType w:val="hybridMultilevel"/>
    <w:tmpl w:val="F09E621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232321E"/>
    <w:multiLevelType w:val="multilevel"/>
    <w:tmpl w:val="C12A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C61002"/>
    <w:multiLevelType w:val="hybridMultilevel"/>
    <w:tmpl w:val="0C325E7E"/>
    <w:lvl w:ilvl="0" w:tplc="16065E3E">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1C521A"/>
    <w:multiLevelType w:val="multilevel"/>
    <w:tmpl w:val="CA4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10251"/>
    <w:multiLevelType w:val="multilevel"/>
    <w:tmpl w:val="0542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B1DC4"/>
    <w:multiLevelType w:val="hybridMultilevel"/>
    <w:tmpl w:val="1A1055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70C3309"/>
    <w:multiLevelType w:val="multilevel"/>
    <w:tmpl w:val="22489C7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B3661C2"/>
    <w:multiLevelType w:val="multilevel"/>
    <w:tmpl w:val="1158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B434A"/>
    <w:multiLevelType w:val="hybridMultilevel"/>
    <w:tmpl w:val="85F23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3614D07"/>
    <w:multiLevelType w:val="multilevel"/>
    <w:tmpl w:val="A1A4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DA22E2"/>
    <w:multiLevelType w:val="multilevel"/>
    <w:tmpl w:val="C0369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77184"/>
    <w:multiLevelType w:val="multilevel"/>
    <w:tmpl w:val="3B58E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7" w15:restartNumberingAfterBreak="0">
    <w:nsid w:val="3CC174A7"/>
    <w:multiLevelType w:val="hybridMultilevel"/>
    <w:tmpl w:val="1354049C"/>
    <w:lvl w:ilvl="0" w:tplc="0810A4BA">
      <w:numFmt w:val="bullet"/>
      <w:lvlText w:val="-"/>
      <w:lvlJc w:val="left"/>
      <w:pPr>
        <w:ind w:left="464" w:hanging="360"/>
      </w:pPr>
      <w:rPr>
        <w:rFonts w:ascii="Arial" w:eastAsia="F015TEEMed" w:hAnsi="Arial" w:cs="Arial" w:hint="default"/>
      </w:rPr>
    </w:lvl>
    <w:lvl w:ilvl="1" w:tplc="04050003" w:tentative="1">
      <w:start w:val="1"/>
      <w:numFmt w:val="bullet"/>
      <w:lvlText w:val="o"/>
      <w:lvlJc w:val="left"/>
      <w:pPr>
        <w:ind w:left="1184" w:hanging="360"/>
      </w:pPr>
      <w:rPr>
        <w:rFonts w:ascii="Courier New" w:hAnsi="Courier New" w:cs="Courier New" w:hint="default"/>
      </w:rPr>
    </w:lvl>
    <w:lvl w:ilvl="2" w:tplc="04050005" w:tentative="1">
      <w:start w:val="1"/>
      <w:numFmt w:val="bullet"/>
      <w:lvlText w:val=""/>
      <w:lvlJc w:val="left"/>
      <w:pPr>
        <w:ind w:left="1904" w:hanging="360"/>
      </w:pPr>
      <w:rPr>
        <w:rFonts w:ascii="Wingdings" w:hAnsi="Wingdings" w:hint="default"/>
      </w:rPr>
    </w:lvl>
    <w:lvl w:ilvl="3" w:tplc="04050001" w:tentative="1">
      <w:start w:val="1"/>
      <w:numFmt w:val="bullet"/>
      <w:lvlText w:val=""/>
      <w:lvlJc w:val="left"/>
      <w:pPr>
        <w:ind w:left="2624" w:hanging="360"/>
      </w:pPr>
      <w:rPr>
        <w:rFonts w:ascii="Symbol" w:hAnsi="Symbol" w:hint="default"/>
      </w:rPr>
    </w:lvl>
    <w:lvl w:ilvl="4" w:tplc="04050003" w:tentative="1">
      <w:start w:val="1"/>
      <w:numFmt w:val="bullet"/>
      <w:lvlText w:val="o"/>
      <w:lvlJc w:val="left"/>
      <w:pPr>
        <w:ind w:left="3344" w:hanging="360"/>
      </w:pPr>
      <w:rPr>
        <w:rFonts w:ascii="Courier New" w:hAnsi="Courier New" w:cs="Courier New" w:hint="default"/>
      </w:rPr>
    </w:lvl>
    <w:lvl w:ilvl="5" w:tplc="04050005" w:tentative="1">
      <w:start w:val="1"/>
      <w:numFmt w:val="bullet"/>
      <w:lvlText w:val=""/>
      <w:lvlJc w:val="left"/>
      <w:pPr>
        <w:ind w:left="4064" w:hanging="360"/>
      </w:pPr>
      <w:rPr>
        <w:rFonts w:ascii="Wingdings" w:hAnsi="Wingdings" w:hint="default"/>
      </w:rPr>
    </w:lvl>
    <w:lvl w:ilvl="6" w:tplc="04050001" w:tentative="1">
      <w:start w:val="1"/>
      <w:numFmt w:val="bullet"/>
      <w:lvlText w:val=""/>
      <w:lvlJc w:val="left"/>
      <w:pPr>
        <w:ind w:left="4784" w:hanging="360"/>
      </w:pPr>
      <w:rPr>
        <w:rFonts w:ascii="Symbol" w:hAnsi="Symbol" w:hint="default"/>
      </w:rPr>
    </w:lvl>
    <w:lvl w:ilvl="7" w:tplc="04050003" w:tentative="1">
      <w:start w:val="1"/>
      <w:numFmt w:val="bullet"/>
      <w:lvlText w:val="o"/>
      <w:lvlJc w:val="left"/>
      <w:pPr>
        <w:ind w:left="5504" w:hanging="360"/>
      </w:pPr>
      <w:rPr>
        <w:rFonts w:ascii="Courier New" w:hAnsi="Courier New" w:cs="Courier New" w:hint="default"/>
      </w:rPr>
    </w:lvl>
    <w:lvl w:ilvl="8" w:tplc="04050005" w:tentative="1">
      <w:start w:val="1"/>
      <w:numFmt w:val="bullet"/>
      <w:lvlText w:val=""/>
      <w:lvlJc w:val="left"/>
      <w:pPr>
        <w:ind w:left="6224" w:hanging="360"/>
      </w:pPr>
      <w:rPr>
        <w:rFonts w:ascii="Wingdings" w:hAnsi="Wingdings" w:hint="default"/>
      </w:rPr>
    </w:lvl>
  </w:abstractNum>
  <w:abstractNum w:abstractNumId="18" w15:restartNumberingAfterBreak="0">
    <w:nsid w:val="3D662D9D"/>
    <w:multiLevelType w:val="multilevel"/>
    <w:tmpl w:val="2A4E4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4D5F26"/>
    <w:multiLevelType w:val="hybridMultilevel"/>
    <w:tmpl w:val="4874EE9E"/>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FCD5F30"/>
    <w:multiLevelType w:val="hybridMultilevel"/>
    <w:tmpl w:val="DA08EB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8EA0144"/>
    <w:multiLevelType w:val="multilevel"/>
    <w:tmpl w:val="5ABA1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3335BB"/>
    <w:multiLevelType w:val="hybridMultilevel"/>
    <w:tmpl w:val="2D84B016"/>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1F18A9"/>
    <w:multiLevelType w:val="hybridMultilevel"/>
    <w:tmpl w:val="7C4A94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EE273E1"/>
    <w:multiLevelType w:val="multilevel"/>
    <w:tmpl w:val="939A0AD0"/>
    <w:lvl w:ilvl="0">
      <w:start w:val="1"/>
      <w:numFmt w:val="decimal"/>
      <w:lvlText w:val="%1."/>
      <w:lvlJc w:val="left"/>
      <w:pPr>
        <w:tabs>
          <w:tab w:val="num" w:pos="360"/>
        </w:tabs>
        <w:ind w:left="36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51A20969"/>
    <w:multiLevelType w:val="hybridMultilevel"/>
    <w:tmpl w:val="79645C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43C408F"/>
    <w:multiLevelType w:val="multilevel"/>
    <w:tmpl w:val="F490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A1A42"/>
    <w:multiLevelType w:val="hybridMultilevel"/>
    <w:tmpl w:val="1CF8DB5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89F10B7"/>
    <w:multiLevelType w:val="multilevel"/>
    <w:tmpl w:val="D86A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F6AE4"/>
    <w:multiLevelType w:val="multilevel"/>
    <w:tmpl w:val="55C25D2C"/>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440" w:hanging="720"/>
      </w:p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9B94970"/>
    <w:multiLevelType w:val="multilevel"/>
    <w:tmpl w:val="396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83161"/>
    <w:multiLevelType w:val="hybridMultilevel"/>
    <w:tmpl w:val="003EA9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33A4CC9"/>
    <w:multiLevelType w:val="hybridMultilevel"/>
    <w:tmpl w:val="E83CD1B2"/>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4716B7F"/>
    <w:multiLevelType w:val="hybridMultilevel"/>
    <w:tmpl w:val="80BC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AFD7F81"/>
    <w:multiLevelType w:val="multilevel"/>
    <w:tmpl w:val="820C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C22BAC"/>
    <w:multiLevelType w:val="hybridMultilevel"/>
    <w:tmpl w:val="4CE0AA9A"/>
    <w:lvl w:ilvl="0" w:tplc="CD26B23C">
      <w:start w:val="6"/>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6"/>
  </w:num>
  <w:num w:numId="4">
    <w:abstractNumId w:val="7"/>
  </w:num>
  <w:num w:numId="5">
    <w:abstractNumId w:val="1"/>
  </w:num>
  <w:num w:numId="6">
    <w:abstractNumId w:val="28"/>
  </w:num>
  <w:num w:numId="7">
    <w:abstractNumId w:val="15"/>
  </w:num>
  <w:num w:numId="8">
    <w:abstractNumId w:val="14"/>
  </w:num>
  <w:num w:numId="9">
    <w:abstractNumId w:val="11"/>
  </w:num>
  <w:num w:numId="10">
    <w:abstractNumId w:val="13"/>
  </w:num>
  <w:num w:numId="11">
    <w:abstractNumId w:val="8"/>
  </w:num>
  <w:num w:numId="12">
    <w:abstractNumId w:val="5"/>
  </w:num>
  <w:num w:numId="13">
    <w:abstractNumId w:val="21"/>
  </w:num>
  <w:num w:numId="14">
    <w:abstractNumId w:val="34"/>
  </w:num>
  <w:num w:numId="15">
    <w:abstractNumId w:val="2"/>
  </w:num>
  <w:num w:numId="16">
    <w:abstractNumId w:val="17"/>
  </w:num>
  <w:num w:numId="17">
    <w:abstractNumId w:val="6"/>
  </w:num>
  <w:num w:numId="18">
    <w:abstractNumId w:val="12"/>
  </w:num>
  <w:num w:numId="19">
    <w:abstractNumId w:val="25"/>
  </w:num>
  <w:num w:numId="20">
    <w:abstractNumId w:val="30"/>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3"/>
      <w:lvl w:ilvl="0">
        <w:start w:val="3"/>
        <w:numFmt w:val="decimal"/>
        <w:lvlText w:val="%1."/>
        <w:lvlJc w:val="left"/>
        <w:pPr>
          <w:ind w:left="0" w:firstLine="0"/>
        </w:pPr>
        <w:rPr>
          <w:b/>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29"/>
    <w:lvlOverride w:ilvl="0"/>
    <w:lvlOverride w:ilvl="1">
      <w:startOverride w:val="4"/>
    </w:lvlOverride>
    <w:lvlOverride w:ilvl="2"/>
    <w:lvlOverride w:ilvl="3"/>
    <w:lvlOverride w:ilvl="4"/>
    <w:lvlOverride w:ilvl="5"/>
    <w:lvlOverride w:ilvl="6"/>
    <w:lvlOverride w:ilvl="7"/>
    <w:lvlOverride w:ilvl="8"/>
  </w:num>
  <w:num w:numId="24">
    <w:abstractNumId w:val="27"/>
  </w:num>
  <w:num w:numId="25">
    <w:abstractNumId w:val="20"/>
  </w:num>
  <w:num w:numId="26">
    <w:abstractNumId w:val="23"/>
  </w:num>
  <w:num w:numId="27">
    <w:abstractNumId w:val="0"/>
  </w:num>
  <w:num w:numId="28">
    <w:abstractNumId w:val="31"/>
  </w:num>
  <w:num w:numId="29">
    <w:abstractNumId w:val="27"/>
  </w:num>
  <w:num w:numId="30">
    <w:abstractNumId w:val="33"/>
  </w:num>
  <w:num w:numId="31">
    <w:abstractNumId w:val="4"/>
  </w:num>
  <w:num w:numId="32">
    <w:abstractNumId w:val="19"/>
  </w:num>
  <w:num w:numId="33">
    <w:abstractNumId w:val="32"/>
  </w:num>
  <w:num w:numId="34">
    <w:abstractNumId w:val="35"/>
  </w:num>
  <w:num w:numId="35">
    <w:abstractNumId w:val="22"/>
  </w:num>
  <w:num w:numId="36">
    <w:abstractNumId w:val="9"/>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4F71"/>
    <w:rsid w:val="000050D4"/>
    <w:rsid w:val="000052D9"/>
    <w:rsid w:val="00005EF0"/>
    <w:rsid w:val="00005FCB"/>
    <w:rsid w:val="00010812"/>
    <w:rsid w:val="000118E9"/>
    <w:rsid w:val="00011BB8"/>
    <w:rsid w:val="00012E2F"/>
    <w:rsid w:val="00014A3B"/>
    <w:rsid w:val="000153FB"/>
    <w:rsid w:val="00015694"/>
    <w:rsid w:val="00016100"/>
    <w:rsid w:val="0002531C"/>
    <w:rsid w:val="00025983"/>
    <w:rsid w:val="000262FD"/>
    <w:rsid w:val="00026F23"/>
    <w:rsid w:val="00030BBF"/>
    <w:rsid w:val="00031C6E"/>
    <w:rsid w:val="00032AD6"/>
    <w:rsid w:val="00032D94"/>
    <w:rsid w:val="000374D7"/>
    <w:rsid w:val="0004010D"/>
    <w:rsid w:val="00041008"/>
    <w:rsid w:val="0004359F"/>
    <w:rsid w:val="0004360D"/>
    <w:rsid w:val="000504BA"/>
    <w:rsid w:val="0005423A"/>
    <w:rsid w:val="00055470"/>
    <w:rsid w:val="0005574A"/>
    <w:rsid w:val="0005628C"/>
    <w:rsid w:val="00056BB7"/>
    <w:rsid w:val="00056ECA"/>
    <w:rsid w:val="000607B6"/>
    <w:rsid w:val="00062E18"/>
    <w:rsid w:val="00066A72"/>
    <w:rsid w:val="00067BA6"/>
    <w:rsid w:val="000705A5"/>
    <w:rsid w:val="00070D3C"/>
    <w:rsid w:val="00071274"/>
    <w:rsid w:val="0007198D"/>
    <w:rsid w:val="0007340D"/>
    <w:rsid w:val="00073462"/>
    <w:rsid w:val="00076845"/>
    <w:rsid w:val="00076C44"/>
    <w:rsid w:val="00077CC7"/>
    <w:rsid w:val="00082C13"/>
    <w:rsid w:val="0008347F"/>
    <w:rsid w:val="00083E38"/>
    <w:rsid w:val="00085EEC"/>
    <w:rsid w:val="0008656E"/>
    <w:rsid w:val="000866C0"/>
    <w:rsid w:val="00086F8F"/>
    <w:rsid w:val="00087124"/>
    <w:rsid w:val="00087ACF"/>
    <w:rsid w:val="00087D87"/>
    <w:rsid w:val="00090C9C"/>
    <w:rsid w:val="00090F2A"/>
    <w:rsid w:val="00091509"/>
    <w:rsid w:val="00094F77"/>
    <w:rsid w:val="00096AE4"/>
    <w:rsid w:val="000A06EA"/>
    <w:rsid w:val="000A170E"/>
    <w:rsid w:val="000A3637"/>
    <w:rsid w:val="000A51D0"/>
    <w:rsid w:val="000A6FB0"/>
    <w:rsid w:val="000A74DD"/>
    <w:rsid w:val="000A77CE"/>
    <w:rsid w:val="000B6053"/>
    <w:rsid w:val="000C1AB4"/>
    <w:rsid w:val="000C1BE2"/>
    <w:rsid w:val="000C32B0"/>
    <w:rsid w:val="000C351D"/>
    <w:rsid w:val="000C38CB"/>
    <w:rsid w:val="000C3C4C"/>
    <w:rsid w:val="000C4DDE"/>
    <w:rsid w:val="000C53D6"/>
    <w:rsid w:val="000C5490"/>
    <w:rsid w:val="000C5B38"/>
    <w:rsid w:val="000C7119"/>
    <w:rsid w:val="000C74BD"/>
    <w:rsid w:val="000C7FAE"/>
    <w:rsid w:val="000D11FB"/>
    <w:rsid w:val="000D133F"/>
    <w:rsid w:val="000D1503"/>
    <w:rsid w:val="000D2044"/>
    <w:rsid w:val="000D2DDE"/>
    <w:rsid w:val="000D333C"/>
    <w:rsid w:val="000D6870"/>
    <w:rsid w:val="000E21D2"/>
    <w:rsid w:val="000E286C"/>
    <w:rsid w:val="000E36C6"/>
    <w:rsid w:val="000E4DDD"/>
    <w:rsid w:val="000E7086"/>
    <w:rsid w:val="000F040D"/>
    <w:rsid w:val="000F1935"/>
    <w:rsid w:val="000F47AE"/>
    <w:rsid w:val="000F56EF"/>
    <w:rsid w:val="000F6249"/>
    <w:rsid w:val="000F7DEE"/>
    <w:rsid w:val="00100869"/>
    <w:rsid w:val="00100CE7"/>
    <w:rsid w:val="00103ED8"/>
    <w:rsid w:val="0010426A"/>
    <w:rsid w:val="00104FCB"/>
    <w:rsid w:val="00106651"/>
    <w:rsid w:val="00107E00"/>
    <w:rsid w:val="00107E36"/>
    <w:rsid w:val="00112F65"/>
    <w:rsid w:val="00114392"/>
    <w:rsid w:val="00114D2B"/>
    <w:rsid w:val="00114D66"/>
    <w:rsid w:val="00114E09"/>
    <w:rsid w:val="00115CF8"/>
    <w:rsid w:val="00116173"/>
    <w:rsid w:val="00116A29"/>
    <w:rsid w:val="00117806"/>
    <w:rsid w:val="00117988"/>
    <w:rsid w:val="0012132F"/>
    <w:rsid w:val="0012713E"/>
    <w:rsid w:val="0013044E"/>
    <w:rsid w:val="00131F7B"/>
    <w:rsid w:val="00133BFD"/>
    <w:rsid w:val="0013512D"/>
    <w:rsid w:val="00136D21"/>
    <w:rsid w:val="00137003"/>
    <w:rsid w:val="001377A4"/>
    <w:rsid w:val="00137E3C"/>
    <w:rsid w:val="00140DA4"/>
    <w:rsid w:val="00141303"/>
    <w:rsid w:val="001434CE"/>
    <w:rsid w:val="0014388A"/>
    <w:rsid w:val="001449CB"/>
    <w:rsid w:val="00146956"/>
    <w:rsid w:val="00147427"/>
    <w:rsid w:val="00147995"/>
    <w:rsid w:val="00150500"/>
    <w:rsid w:val="00151FD6"/>
    <w:rsid w:val="00152185"/>
    <w:rsid w:val="00152EDC"/>
    <w:rsid w:val="00153161"/>
    <w:rsid w:val="00155667"/>
    <w:rsid w:val="00160060"/>
    <w:rsid w:val="001603AF"/>
    <w:rsid w:val="00164219"/>
    <w:rsid w:val="00165614"/>
    <w:rsid w:val="0016561D"/>
    <w:rsid w:val="001665AA"/>
    <w:rsid w:val="0017117C"/>
    <w:rsid w:val="001722EA"/>
    <w:rsid w:val="001727F8"/>
    <w:rsid w:val="00173C9F"/>
    <w:rsid w:val="00174065"/>
    <w:rsid w:val="00174394"/>
    <w:rsid w:val="00176EF9"/>
    <w:rsid w:val="0017797E"/>
    <w:rsid w:val="00177E6B"/>
    <w:rsid w:val="0018139F"/>
    <w:rsid w:val="00181E9B"/>
    <w:rsid w:val="00182AED"/>
    <w:rsid w:val="00183213"/>
    <w:rsid w:val="001844F8"/>
    <w:rsid w:val="0018541B"/>
    <w:rsid w:val="00186E95"/>
    <w:rsid w:val="00190C04"/>
    <w:rsid w:val="00190E10"/>
    <w:rsid w:val="00193B5D"/>
    <w:rsid w:val="001944E9"/>
    <w:rsid w:val="00194628"/>
    <w:rsid w:val="00194A47"/>
    <w:rsid w:val="00197408"/>
    <w:rsid w:val="00197411"/>
    <w:rsid w:val="00197AF4"/>
    <w:rsid w:val="00197DE5"/>
    <w:rsid w:val="001A210B"/>
    <w:rsid w:val="001A269A"/>
    <w:rsid w:val="001A4DDB"/>
    <w:rsid w:val="001A54DD"/>
    <w:rsid w:val="001B195D"/>
    <w:rsid w:val="001B1C05"/>
    <w:rsid w:val="001B444A"/>
    <w:rsid w:val="001B4EE4"/>
    <w:rsid w:val="001B5A35"/>
    <w:rsid w:val="001B5D34"/>
    <w:rsid w:val="001B79AC"/>
    <w:rsid w:val="001B7B44"/>
    <w:rsid w:val="001C0941"/>
    <w:rsid w:val="001C4A67"/>
    <w:rsid w:val="001C4C44"/>
    <w:rsid w:val="001D2EF2"/>
    <w:rsid w:val="001D3C90"/>
    <w:rsid w:val="001E1593"/>
    <w:rsid w:val="001E265F"/>
    <w:rsid w:val="001E2B55"/>
    <w:rsid w:val="001E2DCC"/>
    <w:rsid w:val="001E3E63"/>
    <w:rsid w:val="001E4C14"/>
    <w:rsid w:val="001E4D1C"/>
    <w:rsid w:val="001E68DE"/>
    <w:rsid w:val="001F108C"/>
    <w:rsid w:val="001F27AC"/>
    <w:rsid w:val="001F4AE1"/>
    <w:rsid w:val="001F7F2E"/>
    <w:rsid w:val="00200F89"/>
    <w:rsid w:val="002018E9"/>
    <w:rsid w:val="0020191F"/>
    <w:rsid w:val="00202BE8"/>
    <w:rsid w:val="002108A4"/>
    <w:rsid w:val="00211C5C"/>
    <w:rsid w:val="002137BD"/>
    <w:rsid w:val="00214949"/>
    <w:rsid w:val="00214E98"/>
    <w:rsid w:val="00215EF1"/>
    <w:rsid w:val="00215FFE"/>
    <w:rsid w:val="00216985"/>
    <w:rsid w:val="002174D5"/>
    <w:rsid w:val="002234A8"/>
    <w:rsid w:val="0022642E"/>
    <w:rsid w:val="00233262"/>
    <w:rsid w:val="002333DA"/>
    <w:rsid w:val="0023472C"/>
    <w:rsid w:val="00235828"/>
    <w:rsid w:val="002365F3"/>
    <w:rsid w:val="00236B96"/>
    <w:rsid w:val="00236DF8"/>
    <w:rsid w:val="00237068"/>
    <w:rsid w:val="00237B09"/>
    <w:rsid w:val="00237D4E"/>
    <w:rsid w:val="00240ABC"/>
    <w:rsid w:val="00240BAE"/>
    <w:rsid w:val="00240BD7"/>
    <w:rsid w:val="00241313"/>
    <w:rsid w:val="002414C7"/>
    <w:rsid w:val="0024150C"/>
    <w:rsid w:val="00242251"/>
    <w:rsid w:val="002506AD"/>
    <w:rsid w:val="00251CC1"/>
    <w:rsid w:val="0025264B"/>
    <w:rsid w:val="00253417"/>
    <w:rsid w:val="0025408A"/>
    <w:rsid w:val="00254F1F"/>
    <w:rsid w:val="002555B1"/>
    <w:rsid w:val="00255D9F"/>
    <w:rsid w:val="00255E96"/>
    <w:rsid w:val="00255FAB"/>
    <w:rsid w:val="00256498"/>
    <w:rsid w:val="0026064A"/>
    <w:rsid w:val="002609B2"/>
    <w:rsid w:val="00261C33"/>
    <w:rsid w:val="00261EE7"/>
    <w:rsid w:val="002636B1"/>
    <w:rsid w:val="00266249"/>
    <w:rsid w:val="002665EC"/>
    <w:rsid w:val="00267A14"/>
    <w:rsid w:val="00267AB1"/>
    <w:rsid w:val="00267F28"/>
    <w:rsid w:val="00270DB3"/>
    <w:rsid w:val="00275325"/>
    <w:rsid w:val="00277E70"/>
    <w:rsid w:val="002805D4"/>
    <w:rsid w:val="0028080D"/>
    <w:rsid w:val="002812A1"/>
    <w:rsid w:val="00281378"/>
    <w:rsid w:val="0028211A"/>
    <w:rsid w:val="002912BF"/>
    <w:rsid w:val="002928FF"/>
    <w:rsid w:val="00293046"/>
    <w:rsid w:val="0029552F"/>
    <w:rsid w:val="00295CB7"/>
    <w:rsid w:val="00295DB6"/>
    <w:rsid w:val="0029614B"/>
    <w:rsid w:val="00296C74"/>
    <w:rsid w:val="002A0C59"/>
    <w:rsid w:val="002A2FB9"/>
    <w:rsid w:val="002A7348"/>
    <w:rsid w:val="002A7AE9"/>
    <w:rsid w:val="002A7D3D"/>
    <w:rsid w:val="002A7DB8"/>
    <w:rsid w:val="002B053B"/>
    <w:rsid w:val="002B3EE0"/>
    <w:rsid w:val="002B5B4B"/>
    <w:rsid w:val="002B6A48"/>
    <w:rsid w:val="002C0392"/>
    <w:rsid w:val="002C201F"/>
    <w:rsid w:val="002C2283"/>
    <w:rsid w:val="002C635D"/>
    <w:rsid w:val="002D4E88"/>
    <w:rsid w:val="002D5492"/>
    <w:rsid w:val="002E2785"/>
    <w:rsid w:val="002E27C5"/>
    <w:rsid w:val="002E2F8E"/>
    <w:rsid w:val="002F0335"/>
    <w:rsid w:val="002F0C79"/>
    <w:rsid w:val="002F2D65"/>
    <w:rsid w:val="002F5A42"/>
    <w:rsid w:val="002F5A56"/>
    <w:rsid w:val="002F6814"/>
    <w:rsid w:val="002F68D1"/>
    <w:rsid w:val="003009FF"/>
    <w:rsid w:val="00301660"/>
    <w:rsid w:val="00302322"/>
    <w:rsid w:val="00302AE6"/>
    <w:rsid w:val="00303223"/>
    <w:rsid w:val="00303BCE"/>
    <w:rsid w:val="00303C85"/>
    <w:rsid w:val="0030477F"/>
    <w:rsid w:val="00305EA9"/>
    <w:rsid w:val="00307CEB"/>
    <w:rsid w:val="00307D0F"/>
    <w:rsid w:val="00312311"/>
    <w:rsid w:val="003128F8"/>
    <w:rsid w:val="003203FF"/>
    <w:rsid w:val="00321026"/>
    <w:rsid w:val="0032274C"/>
    <w:rsid w:val="00322757"/>
    <w:rsid w:val="00322BE1"/>
    <w:rsid w:val="00325CD8"/>
    <w:rsid w:val="00326268"/>
    <w:rsid w:val="00330918"/>
    <w:rsid w:val="0033104C"/>
    <w:rsid w:val="00334CD1"/>
    <w:rsid w:val="003404F4"/>
    <w:rsid w:val="00341A59"/>
    <w:rsid w:val="003428A4"/>
    <w:rsid w:val="003434AD"/>
    <w:rsid w:val="003450E1"/>
    <w:rsid w:val="00345D3E"/>
    <w:rsid w:val="003473B3"/>
    <w:rsid w:val="00347557"/>
    <w:rsid w:val="003504FD"/>
    <w:rsid w:val="00352433"/>
    <w:rsid w:val="0035286E"/>
    <w:rsid w:val="00352D61"/>
    <w:rsid w:val="00354DBF"/>
    <w:rsid w:val="00356FFC"/>
    <w:rsid w:val="00361C2E"/>
    <w:rsid w:val="00362251"/>
    <w:rsid w:val="00362A5B"/>
    <w:rsid w:val="00363124"/>
    <w:rsid w:val="00374B71"/>
    <w:rsid w:val="00375451"/>
    <w:rsid w:val="00375CF7"/>
    <w:rsid w:val="00381F5F"/>
    <w:rsid w:val="003830B5"/>
    <w:rsid w:val="00384B32"/>
    <w:rsid w:val="003863F0"/>
    <w:rsid w:val="00390304"/>
    <w:rsid w:val="0039102F"/>
    <w:rsid w:val="0039395A"/>
    <w:rsid w:val="00395524"/>
    <w:rsid w:val="00397D4B"/>
    <w:rsid w:val="003A4180"/>
    <w:rsid w:val="003A55CE"/>
    <w:rsid w:val="003A76E8"/>
    <w:rsid w:val="003A7C59"/>
    <w:rsid w:val="003A7C9A"/>
    <w:rsid w:val="003B08AC"/>
    <w:rsid w:val="003B2C75"/>
    <w:rsid w:val="003B4B9E"/>
    <w:rsid w:val="003B54D9"/>
    <w:rsid w:val="003B612F"/>
    <w:rsid w:val="003B7BFE"/>
    <w:rsid w:val="003C0030"/>
    <w:rsid w:val="003C1497"/>
    <w:rsid w:val="003C4D4B"/>
    <w:rsid w:val="003C7C52"/>
    <w:rsid w:val="003D03A6"/>
    <w:rsid w:val="003D07A2"/>
    <w:rsid w:val="003D2590"/>
    <w:rsid w:val="003D2711"/>
    <w:rsid w:val="003D2CAC"/>
    <w:rsid w:val="003D2EF0"/>
    <w:rsid w:val="003D386F"/>
    <w:rsid w:val="003D405C"/>
    <w:rsid w:val="003D43DB"/>
    <w:rsid w:val="003D4C73"/>
    <w:rsid w:val="003D556B"/>
    <w:rsid w:val="003D653E"/>
    <w:rsid w:val="003E2280"/>
    <w:rsid w:val="003E2ADC"/>
    <w:rsid w:val="003E5948"/>
    <w:rsid w:val="003E601E"/>
    <w:rsid w:val="003F0EA3"/>
    <w:rsid w:val="003F1184"/>
    <w:rsid w:val="003F38E5"/>
    <w:rsid w:val="003F5DCD"/>
    <w:rsid w:val="003F73C3"/>
    <w:rsid w:val="00400126"/>
    <w:rsid w:val="00400F75"/>
    <w:rsid w:val="00401210"/>
    <w:rsid w:val="00402AC6"/>
    <w:rsid w:val="00404CDA"/>
    <w:rsid w:val="00406B06"/>
    <w:rsid w:val="00410BF5"/>
    <w:rsid w:val="0041222E"/>
    <w:rsid w:val="0041224F"/>
    <w:rsid w:val="00412C89"/>
    <w:rsid w:val="004130A2"/>
    <w:rsid w:val="00413446"/>
    <w:rsid w:val="0041452A"/>
    <w:rsid w:val="004151E6"/>
    <w:rsid w:val="00415290"/>
    <w:rsid w:val="00415BA7"/>
    <w:rsid w:val="00416F40"/>
    <w:rsid w:val="00417A8F"/>
    <w:rsid w:val="00417E36"/>
    <w:rsid w:val="00421722"/>
    <w:rsid w:val="0042260E"/>
    <w:rsid w:val="00422B4E"/>
    <w:rsid w:val="0042312B"/>
    <w:rsid w:val="004237DE"/>
    <w:rsid w:val="00423B16"/>
    <w:rsid w:val="00423F48"/>
    <w:rsid w:val="00425824"/>
    <w:rsid w:val="00425C72"/>
    <w:rsid w:val="0042625B"/>
    <w:rsid w:val="0043207C"/>
    <w:rsid w:val="0043263D"/>
    <w:rsid w:val="004336FA"/>
    <w:rsid w:val="004349B6"/>
    <w:rsid w:val="00436FD5"/>
    <w:rsid w:val="00437639"/>
    <w:rsid w:val="004407C2"/>
    <w:rsid w:val="004413A6"/>
    <w:rsid w:val="004418DE"/>
    <w:rsid w:val="00441D22"/>
    <w:rsid w:val="00444BB9"/>
    <w:rsid w:val="00445D0A"/>
    <w:rsid w:val="00447E56"/>
    <w:rsid w:val="00447F18"/>
    <w:rsid w:val="004504BC"/>
    <w:rsid w:val="00453482"/>
    <w:rsid w:val="00453762"/>
    <w:rsid w:val="00453CFE"/>
    <w:rsid w:val="004560F3"/>
    <w:rsid w:val="00457E45"/>
    <w:rsid w:val="0046325B"/>
    <w:rsid w:val="00463570"/>
    <w:rsid w:val="00467207"/>
    <w:rsid w:val="0047109D"/>
    <w:rsid w:val="00472B53"/>
    <w:rsid w:val="00474E92"/>
    <w:rsid w:val="0047564E"/>
    <w:rsid w:val="00476C23"/>
    <w:rsid w:val="004776FD"/>
    <w:rsid w:val="004809C7"/>
    <w:rsid w:val="00483A48"/>
    <w:rsid w:val="00487579"/>
    <w:rsid w:val="0048779A"/>
    <w:rsid w:val="00493430"/>
    <w:rsid w:val="004951BF"/>
    <w:rsid w:val="00495519"/>
    <w:rsid w:val="00495C15"/>
    <w:rsid w:val="00496EFA"/>
    <w:rsid w:val="004978E9"/>
    <w:rsid w:val="004A1F27"/>
    <w:rsid w:val="004A245D"/>
    <w:rsid w:val="004A2D42"/>
    <w:rsid w:val="004A2E7A"/>
    <w:rsid w:val="004A3A91"/>
    <w:rsid w:val="004A557B"/>
    <w:rsid w:val="004A6343"/>
    <w:rsid w:val="004A7461"/>
    <w:rsid w:val="004A7F47"/>
    <w:rsid w:val="004B2B01"/>
    <w:rsid w:val="004B352A"/>
    <w:rsid w:val="004B4992"/>
    <w:rsid w:val="004B4B34"/>
    <w:rsid w:val="004B6687"/>
    <w:rsid w:val="004B73DC"/>
    <w:rsid w:val="004C3C0D"/>
    <w:rsid w:val="004C4033"/>
    <w:rsid w:val="004C5298"/>
    <w:rsid w:val="004C5C61"/>
    <w:rsid w:val="004C6594"/>
    <w:rsid w:val="004C7507"/>
    <w:rsid w:val="004C798D"/>
    <w:rsid w:val="004C7BB5"/>
    <w:rsid w:val="004D2ED3"/>
    <w:rsid w:val="004D4111"/>
    <w:rsid w:val="004D52BD"/>
    <w:rsid w:val="004D69FB"/>
    <w:rsid w:val="004E1108"/>
    <w:rsid w:val="004E207F"/>
    <w:rsid w:val="004E3877"/>
    <w:rsid w:val="004E4203"/>
    <w:rsid w:val="004E42A8"/>
    <w:rsid w:val="004E44A2"/>
    <w:rsid w:val="004E6864"/>
    <w:rsid w:val="004E7863"/>
    <w:rsid w:val="004F07BC"/>
    <w:rsid w:val="004F0D7B"/>
    <w:rsid w:val="004F0DC0"/>
    <w:rsid w:val="004F1CA3"/>
    <w:rsid w:val="004F2548"/>
    <w:rsid w:val="004F43C7"/>
    <w:rsid w:val="004F5CC5"/>
    <w:rsid w:val="004F6067"/>
    <w:rsid w:val="004F63FD"/>
    <w:rsid w:val="00500534"/>
    <w:rsid w:val="0050130C"/>
    <w:rsid w:val="005039B0"/>
    <w:rsid w:val="00504953"/>
    <w:rsid w:val="005058FE"/>
    <w:rsid w:val="00507696"/>
    <w:rsid w:val="005154F9"/>
    <w:rsid w:val="00515C68"/>
    <w:rsid w:val="00517EF2"/>
    <w:rsid w:val="00520EA0"/>
    <w:rsid w:val="00522E25"/>
    <w:rsid w:val="00523BD9"/>
    <w:rsid w:val="00524E33"/>
    <w:rsid w:val="005253B2"/>
    <w:rsid w:val="0052644E"/>
    <w:rsid w:val="0052748B"/>
    <w:rsid w:val="005336E7"/>
    <w:rsid w:val="005337B6"/>
    <w:rsid w:val="00540A5E"/>
    <w:rsid w:val="00543BFB"/>
    <w:rsid w:val="00543F98"/>
    <w:rsid w:val="00544F68"/>
    <w:rsid w:val="00545CF4"/>
    <w:rsid w:val="00547816"/>
    <w:rsid w:val="00552CC5"/>
    <w:rsid w:val="005541A6"/>
    <w:rsid w:val="005546DD"/>
    <w:rsid w:val="00555E73"/>
    <w:rsid w:val="005613E9"/>
    <w:rsid w:val="00561757"/>
    <w:rsid w:val="00561997"/>
    <w:rsid w:val="00562CA8"/>
    <w:rsid w:val="00562DBA"/>
    <w:rsid w:val="00564B35"/>
    <w:rsid w:val="00567402"/>
    <w:rsid w:val="00570D87"/>
    <w:rsid w:val="005733BD"/>
    <w:rsid w:val="0057359A"/>
    <w:rsid w:val="00576552"/>
    <w:rsid w:val="005773EE"/>
    <w:rsid w:val="00580B4C"/>
    <w:rsid w:val="00580D50"/>
    <w:rsid w:val="00582562"/>
    <w:rsid w:val="00582565"/>
    <w:rsid w:val="005837F8"/>
    <w:rsid w:val="005853C3"/>
    <w:rsid w:val="0058601E"/>
    <w:rsid w:val="0058659C"/>
    <w:rsid w:val="00587549"/>
    <w:rsid w:val="00587B4C"/>
    <w:rsid w:val="0059081F"/>
    <w:rsid w:val="00592002"/>
    <w:rsid w:val="00592071"/>
    <w:rsid w:val="00595E44"/>
    <w:rsid w:val="00596E22"/>
    <w:rsid w:val="005973B7"/>
    <w:rsid w:val="00597E85"/>
    <w:rsid w:val="005A08D2"/>
    <w:rsid w:val="005A46D5"/>
    <w:rsid w:val="005A5F89"/>
    <w:rsid w:val="005A61D5"/>
    <w:rsid w:val="005A6E1C"/>
    <w:rsid w:val="005A75AE"/>
    <w:rsid w:val="005B015E"/>
    <w:rsid w:val="005B13F7"/>
    <w:rsid w:val="005B32C5"/>
    <w:rsid w:val="005B34C0"/>
    <w:rsid w:val="005B35D6"/>
    <w:rsid w:val="005B360B"/>
    <w:rsid w:val="005B3DDD"/>
    <w:rsid w:val="005B3E4A"/>
    <w:rsid w:val="005C3043"/>
    <w:rsid w:val="005C42D9"/>
    <w:rsid w:val="005C5A6E"/>
    <w:rsid w:val="005D11F0"/>
    <w:rsid w:val="005D3281"/>
    <w:rsid w:val="005D3BDE"/>
    <w:rsid w:val="005D41E6"/>
    <w:rsid w:val="005D4C94"/>
    <w:rsid w:val="005D5B42"/>
    <w:rsid w:val="005D74FB"/>
    <w:rsid w:val="005D7DFF"/>
    <w:rsid w:val="005E1F28"/>
    <w:rsid w:val="005E443E"/>
    <w:rsid w:val="005E4600"/>
    <w:rsid w:val="005E4C96"/>
    <w:rsid w:val="005E60F6"/>
    <w:rsid w:val="005F102C"/>
    <w:rsid w:val="005F2232"/>
    <w:rsid w:val="005F2CF3"/>
    <w:rsid w:val="005F31C1"/>
    <w:rsid w:val="00601F8F"/>
    <w:rsid w:val="006033BD"/>
    <w:rsid w:val="006056A4"/>
    <w:rsid w:val="00605C99"/>
    <w:rsid w:val="00605FAF"/>
    <w:rsid w:val="00606B19"/>
    <w:rsid w:val="00606FBC"/>
    <w:rsid w:val="006070F0"/>
    <w:rsid w:val="00612B3B"/>
    <w:rsid w:val="006156DC"/>
    <w:rsid w:val="00623B26"/>
    <w:rsid w:val="00624C21"/>
    <w:rsid w:val="00625503"/>
    <w:rsid w:val="00630C55"/>
    <w:rsid w:val="0063340F"/>
    <w:rsid w:val="00633924"/>
    <w:rsid w:val="00633DC6"/>
    <w:rsid w:val="006340BB"/>
    <w:rsid w:val="00636B42"/>
    <w:rsid w:val="00637399"/>
    <w:rsid w:val="00640494"/>
    <w:rsid w:val="00646D74"/>
    <w:rsid w:val="00650902"/>
    <w:rsid w:val="0065153C"/>
    <w:rsid w:val="00651D03"/>
    <w:rsid w:val="006534D3"/>
    <w:rsid w:val="0065506F"/>
    <w:rsid w:val="006618CF"/>
    <w:rsid w:val="00661F01"/>
    <w:rsid w:val="006620C8"/>
    <w:rsid w:val="006652BA"/>
    <w:rsid w:val="00667000"/>
    <w:rsid w:val="006676D9"/>
    <w:rsid w:val="00672555"/>
    <w:rsid w:val="00673898"/>
    <w:rsid w:val="00674094"/>
    <w:rsid w:val="0067482F"/>
    <w:rsid w:val="00675503"/>
    <w:rsid w:val="00681690"/>
    <w:rsid w:val="00681C83"/>
    <w:rsid w:val="00682B2C"/>
    <w:rsid w:val="006849F6"/>
    <w:rsid w:val="00684B75"/>
    <w:rsid w:val="00684BC2"/>
    <w:rsid w:val="00684D30"/>
    <w:rsid w:val="006856FF"/>
    <w:rsid w:val="006863D8"/>
    <w:rsid w:val="00686B26"/>
    <w:rsid w:val="0068796B"/>
    <w:rsid w:val="006900AC"/>
    <w:rsid w:val="00690AD8"/>
    <w:rsid w:val="00695734"/>
    <w:rsid w:val="00695EEC"/>
    <w:rsid w:val="006972BF"/>
    <w:rsid w:val="006A20B3"/>
    <w:rsid w:val="006A32FE"/>
    <w:rsid w:val="006A4A86"/>
    <w:rsid w:val="006A52E2"/>
    <w:rsid w:val="006B0FE8"/>
    <w:rsid w:val="006B1609"/>
    <w:rsid w:val="006B2ABD"/>
    <w:rsid w:val="006B3946"/>
    <w:rsid w:val="006B54C7"/>
    <w:rsid w:val="006B7033"/>
    <w:rsid w:val="006B7FBE"/>
    <w:rsid w:val="006C0B7C"/>
    <w:rsid w:val="006C2E50"/>
    <w:rsid w:val="006C48DE"/>
    <w:rsid w:val="006C53A7"/>
    <w:rsid w:val="006C6246"/>
    <w:rsid w:val="006C6B6B"/>
    <w:rsid w:val="006C7AE7"/>
    <w:rsid w:val="006D1469"/>
    <w:rsid w:val="006D5A9A"/>
    <w:rsid w:val="006D5FD8"/>
    <w:rsid w:val="006E01C2"/>
    <w:rsid w:val="006E15E4"/>
    <w:rsid w:val="006E1F02"/>
    <w:rsid w:val="006E3397"/>
    <w:rsid w:val="006F11BD"/>
    <w:rsid w:val="006F3882"/>
    <w:rsid w:val="006F4BEB"/>
    <w:rsid w:val="006F5AEF"/>
    <w:rsid w:val="006F6676"/>
    <w:rsid w:val="007001E0"/>
    <w:rsid w:val="00704089"/>
    <w:rsid w:val="007123C2"/>
    <w:rsid w:val="0071316F"/>
    <w:rsid w:val="007136E6"/>
    <w:rsid w:val="0072021D"/>
    <w:rsid w:val="00720E37"/>
    <w:rsid w:val="00720F68"/>
    <w:rsid w:val="00720FC0"/>
    <w:rsid w:val="0072349E"/>
    <w:rsid w:val="007238DB"/>
    <w:rsid w:val="00724536"/>
    <w:rsid w:val="007253E3"/>
    <w:rsid w:val="007255CD"/>
    <w:rsid w:val="007315C3"/>
    <w:rsid w:val="007318BA"/>
    <w:rsid w:val="007334EA"/>
    <w:rsid w:val="00733DB0"/>
    <w:rsid w:val="00735F36"/>
    <w:rsid w:val="00736B2F"/>
    <w:rsid w:val="00737025"/>
    <w:rsid w:val="00737A54"/>
    <w:rsid w:val="00737FB2"/>
    <w:rsid w:val="00741E4A"/>
    <w:rsid w:val="007437EE"/>
    <w:rsid w:val="00744F5A"/>
    <w:rsid w:val="007455AD"/>
    <w:rsid w:val="00746D7A"/>
    <w:rsid w:val="00746E66"/>
    <w:rsid w:val="00747F40"/>
    <w:rsid w:val="0075063F"/>
    <w:rsid w:val="007605C8"/>
    <w:rsid w:val="00763554"/>
    <w:rsid w:val="00764614"/>
    <w:rsid w:val="0076526B"/>
    <w:rsid w:val="007652AE"/>
    <w:rsid w:val="007677BE"/>
    <w:rsid w:val="00767FF2"/>
    <w:rsid w:val="007707AA"/>
    <w:rsid w:val="0077224E"/>
    <w:rsid w:val="00773CE7"/>
    <w:rsid w:val="00781039"/>
    <w:rsid w:val="007825E8"/>
    <w:rsid w:val="00790246"/>
    <w:rsid w:val="00791031"/>
    <w:rsid w:val="0079157C"/>
    <w:rsid w:val="00792A34"/>
    <w:rsid w:val="00793C25"/>
    <w:rsid w:val="007A1136"/>
    <w:rsid w:val="007A5C4C"/>
    <w:rsid w:val="007B0579"/>
    <w:rsid w:val="007B3A99"/>
    <w:rsid w:val="007B41A6"/>
    <w:rsid w:val="007B6AD8"/>
    <w:rsid w:val="007B6D97"/>
    <w:rsid w:val="007B7906"/>
    <w:rsid w:val="007C4432"/>
    <w:rsid w:val="007C680E"/>
    <w:rsid w:val="007D14DF"/>
    <w:rsid w:val="007D22BA"/>
    <w:rsid w:val="007D3AB9"/>
    <w:rsid w:val="007D3C35"/>
    <w:rsid w:val="007D42A1"/>
    <w:rsid w:val="007D441F"/>
    <w:rsid w:val="007D4868"/>
    <w:rsid w:val="007D4A60"/>
    <w:rsid w:val="007D53BF"/>
    <w:rsid w:val="007D7BA6"/>
    <w:rsid w:val="007E0AC1"/>
    <w:rsid w:val="007E30B0"/>
    <w:rsid w:val="007E37C0"/>
    <w:rsid w:val="007E5598"/>
    <w:rsid w:val="007E6279"/>
    <w:rsid w:val="007E6E94"/>
    <w:rsid w:val="007F2249"/>
    <w:rsid w:val="007F28B9"/>
    <w:rsid w:val="007F6C2A"/>
    <w:rsid w:val="008001D1"/>
    <w:rsid w:val="008008D4"/>
    <w:rsid w:val="00801262"/>
    <w:rsid w:val="00801E4C"/>
    <w:rsid w:val="008020D3"/>
    <w:rsid w:val="00802C52"/>
    <w:rsid w:val="008043AE"/>
    <w:rsid w:val="00804869"/>
    <w:rsid w:val="00804908"/>
    <w:rsid w:val="0080704C"/>
    <w:rsid w:val="00807BBD"/>
    <w:rsid w:val="00811289"/>
    <w:rsid w:val="00811A5D"/>
    <w:rsid w:val="008120DB"/>
    <w:rsid w:val="00813665"/>
    <w:rsid w:val="00814698"/>
    <w:rsid w:val="0081479B"/>
    <w:rsid w:val="00815ECC"/>
    <w:rsid w:val="00823D56"/>
    <w:rsid w:val="008247C3"/>
    <w:rsid w:val="00825B44"/>
    <w:rsid w:val="00825DEB"/>
    <w:rsid w:val="0083062A"/>
    <w:rsid w:val="00831D49"/>
    <w:rsid w:val="0083210B"/>
    <w:rsid w:val="008325D0"/>
    <w:rsid w:val="0083386C"/>
    <w:rsid w:val="0083450E"/>
    <w:rsid w:val="008355CE"/>
    <w:rsid w:val="00835736"/>
    <w:rsid w:val="00836DF0"/>
    <w:rsid w:val="00837AF9"/>
    <w:rsid w:val="0084046D"/>
    <w:rsid w:val="008464E5"/>
    <w:rsid w:val="00850F9B"/>
    <w:rsid w:val="008511B1"/>
    <w:rsid w:val="00853260"/>
    <w:rsid w:val="00854470"/>
    <w:rsid w:val="00857D72"/>
    <w:rsid w:val="00861B39"/>
    <w:rsid w:val="00864D3B"/>
    <w:rsid w:val="00866220"/>
    <w:rsid w:val="008672D5"/>
    <w:rsid w:val="00870A8D"/>
    <w:rsid w:val="00871D8A"/>
    <w:rsid w:val="00873067"/>
    <w:rsid w:val="0087448C"/>
    <w:rsid w:val="00874C32"/>
    <w:rsid w:val="00874E79"/>
    <w:rsid w:val="00876BBB"/>
    <w:rsid w:val="00876E01"/>
    <w:rsid w:val="00880D87"/>
    <w:rsid w:val="00881B29"/>
    <w:rsid w:val="00882EAC"/>
    <w:rsid w:val="008838E4"/>
    <w:rsid w:val="0088428C"/>
    <w:rsid w:val="00884340"/>
    <w:rsid w:val="00886394"/>
    <w:rsid w:val="00886981"/>
    <w:rsid w:val="00887004"/>
    <w:rsid w:val="00891305"/>
    <w:rsid w:val="00892BA9"/>
    <w:rsid w:val="008968E9"/>
    <w:rsid w:val="008A04D3"/>
    <w:rsid w:val="008A3D7F"/>
    <w:rsid w:val="008A3E3B"/>
    <w:rsid w:val="008A4334"/>
    <w:rsid w:val="008A4374"/>
    <w:rsid w:val="008A5443"/>
    <w:rsid w:val="008B0E70"/>
    <w:rsid w:val="008B3C30"/>
    <w:rsid w:val="008B4E4B"/>
    <w:rsid w:val="008B5577"/>
    <w:rsid w:val="008C2161"/>
    <w:rsid w:val="008C3AC7"/>
    <w:rsid w:val="008C47FA"/>
    <w:rsid w:val="008C5342"/>
    <w:rsid w:val="008C55F1"/>
    <w:rsid w:val="008C692E"/>
    <w:rsid w:val="008C7230"/>
    <w:rsid w:val="008C7A52"/>
    <w:rsid w:val="008D0D1C"/>
    <w:rsid w:val="008D26B6"/>
    <w:rsid w:val="008D26CF"/>
    <w:rsid w:val="008D368D"/>
    <w:rsid w:val="008D4344"/>
    <w:rsid w:val="008D4839"/>
    <w:rsid w:val="008E0C1C"/>
    <w:rsid w:val="008E45B5"/>
    <w:rsid w:val="008E4A71"/>
    <w:rsid w:val="008E5FF5"/>
    <w:rsid w:val="008F0075"/>
    <w:rsid w:val="008F00F6"/>
    <w:rsid w:val="008F2D3E"/>
    <w:rsid w:val="008F30F4"/>
    <w:rsid w:val="008F5738"/>
    <w:rsid w:val="008F5F43"/>
    <w:rsid w:val="008F7F4E"/>
    <w:rsid w:val="009036A0"/>
    <w:rsid w:val="00903F62"/>
    <w:rsid w:val="00904B90"/>
    <w:rsid w:val="00906147"/>
    <w:rsid w:val="00907B68"/>
    <w:rsid w:val="009111C1"/>
    <w:rsid w:val="0091193E"/>
    <w:rsid w:val="009130AC"/>
    <w:rsid w:val="0091561E"/>
    <w:rsid w:val="00915ADA"/>
    <w:rsid w:val="00917467"/>
    <w:rsid w:val="00922831"/>
    <w:rsid w:val="00922872"/>
    <w:rsid w:val="00924030"/>
    <w:rsid w:val="00926ED6"/>
    <w:rsid w:val="0092700A"/>
    <w:rsid w:val="0093538A"/>
    <w:rsid w:val="009362DC"/>
    <w:rsid w:val="009365EB"/>
    <w:rsid w:val="00936E2B"/>
    <w:rsid w:val="00936F1B"/>
    <w:rsid w:val="00937D6D"/>
    <w:rsid w:val="00937EF5"/>
    <w:rsid w:val="00940EA3"/>
    <w:rsid w:val="00942785"/>
    <w:rsid w:val="00943C72"/>
    <w:rsid w:val="00947A3E"/>
    <w:rsid w:val="00947E0F"/>
    <w:rsid w:val="00950337"/>
    <w:rsid w:val="009509CC"/>
    <w:rsid w:val="00951DB8"/>
    <w:rsid w:val="0095216F"/>
    <w:rsid w:val="0095680F"/>
    <w:rsid w:val="00956932"/>
    <w:rsid w:val="00956A25"/>
    <w:rsid w:val="009573FF"/>
    <w:rsid w:val="00957E00"/>
    <w:rsid w:val="00960235"/>
    <w:rsid w:val="009607E3"/>
    <w:rsid w:val="00960C2D"/>
    <w:rsid w:val="009612EF"/>
    <w:rsid w:val="00961316"/>
    <w:rsid w:val="00962976"/>
    <w:rsid w:val="00962D05"/>
    <w:rsid w:val="00963043"/>
    <w:rsid w:val="009634C8"/>
    <w:rsid w:val="0096488C"/>
    <w:rsid w:val="00964DB6"/>
    <w:rsid w:val="00965007"/>
    <w:rsid w:val="0096518D"/>
    <w:rsid w:val="0096547A"/>
    <w:rsid w:val="00965A46"/>
    <w:rsid w:val="00967EDE"/>
    <w:rsid w:val="009706CE"/>
    <w:rsid w:val="00974A2D"/>
    <w:rsid w:val="009762EA"/>
    <w:rsid w:val="0097633B"/>
    <w:rsid w:val="00976A70"/>
    <w:rsid w:val="00977B31"/>
    <w:rsid w:val="0098018F"/>
    <w:rsid w:val="00982060"/>
    <w:rsid w:val="00982774"/>
    <w:rsid w:val="00982991"/>
    <w:rsid w:val="00983C40"/>
    <w:rsid w:val="00984D4F"/>
    <w:rsid w:val="00986C46"/>
    <w:rsid w:val="009911D2"/>
    <w:rsid w:val="009925A1"/>
    <w:rsid w:val="00996A46"/>
    <w:rsid w:val="00996ED3"/>
    <w:rsid w:val="009A1543"/>
    <w:rsid w:val="009A315A"/>
    <w:rsid w:val="009A36FD"/>
    <w:rsid w:val="009A3C36"/>
    <w:rsid w:val="009A40CA"/>
    <w:rsid w:val="009A5538"/>
    <w:rsid w:val="009A6BB3"/>
    <w:rsid w:val="009B4FF9"/>
    <w:rsid w:val="009C0793"/>
    <w:rsid w:val="009C0ECA"/>
    <w:rsid w:val="009C138D"/>
    <w:rsid w:val="009C1B84"/>
    <w:rsid w:val="009C365B"/>
    <w:rsid w:val="009C535B"/>
    <w:rsid w:val="009C5C65"/>
    <w:rsid w:val="009C7478"/>
    <w:rsid w:val="009D23D9"/>
    <w:rsid w:val="009D2988"/>
    <w:rsid w:val="009D3BDF"/>
    <w:rsid w:val="009D4160"/>
    <w:rsid w:val="009D556F"/>
    <w:rsid w:val="009D66DF"/>
    <w:rsid w:val="009D6FFC"/>
    <w:rsid w:val="009E3060"/>
    <w:rsid w:val="009E317D"/>
    <w:rsid w:val="009E4188"/>
    <w:rsid w:val="009E6ADA"/>
    <w:rsid w:val="009E6D78"/>
    <w:rsid w:val="009F0FAC"/>
    <w:rsid w:val="009F2CB2"/>
    <w:rsid w:val="009F42D5"/>
    <w:rsid w:val="009F59EE"/>
    <w:rsid w:val="00A0034A"/>
    <w:rsid w:val="00A00614"/>
    <w:rsid w:val="00A03F16"/>
    <w:rsid w:val="00A0626C"/>
    <w:rsid w:val="00A06687"/>
    <w:rsid w:val="00A0680F"/>
    <w:rsid w:val="00A071AB"/>
    <w:rsid w:val="00A07B57"/>
    <w:rsid w:val="00A1017F"/>
    <w:rsid w:val="00A11002"/>
    <w:rsid w:val="00A12D97"/>
    <w:rsid w:val="00A145E2"/>
    <w:rsid w:val="00A15C5F"/>
    <w:rsid w:val="00A1706A"/>
    <w:rsid w:val="00A17595"/>
    <w:rsid w:val="00A2129E"/>
    <w:rsid w:val="00A2161C"/>
    <w:rsid w:val="00A21AB7"/>
    <w:rsid w:val="00A22380"/>
    <w:rsid w:val="00A267CE"/>
    <w:rsid w:val="00A27F10"/>
    <w:rsid w:val="00A3119E"/>
    <w:rsid w:val="00A3163A"/>
    <w:rsid w:val="00A31814"/>
    <w:rsid w:val="00A326E5"/>
    <w:rsid w:val="00A34404"/>
    <w:rsid w:val="00A345F7"/>
    <w:rsid w:val="00A351F4"/>
    <w:rsid w:val="00A35204"/>
    <w:rsid w:val="00A35900"/>
    <w:rsid w:val="00A36D79"/>
    <w:rsid w:val="00A371A8"/>
    <w:rsid w:val="00A401A3"/>
    <w:rsid w:val="00A4441D"/>
    <w:rsid w:val="00A477F8"/>
    <w:rsid w:val="00A51DB8"/>
    <w:rsid w:val="00A526C9"/>
    <w:rsid w:val="00A52E40"/>
    <w:rsid w:val="00A553F8"/>
    <w:rsid w:val="00A577B7"/>
    <w:rsid w:val="00A644DF"/>
    <w:rsid w:val="00A661EE"/>
    <w:rsid w:val="00A672EA"/>
    <w:rsid w:val="00A67865"/>
    <w:rsid w:val="00A706DB"/>
    <w:rsid w:val="00A729A8"/>
    <w:rsid w:val="00A72FF0"/>
    <w:rsid w:val="00A741C7"/>
    <w:rsid w:val="00A75581"/>
    <w:rsid w:val="00A80A8B"/>
    <w:rsid w:val="00A82D27"/>
    <w:rsid w:val="00A83718"/>
    <w:rsid w:val="00A84D63"/>
    <w:rsid w:val="00A85069"/>
    <w:rsid w:val="00A86EF2"/>
    <w:rsid w:val="00A902B4"/>
    <w:rsid w:val="00A93669"/>
    <w:rsid w:val="00A94298"/>
    <w:rsid w:val="00A969E4"/>
    <w:rsid w:val="00A973F9"/>
    <w:rsid w:val="00AA0C1B"/>
    <w:rsid w:val="00AA104C"/>
    <w:rsid w:val="00AA13C3"/>
    <w:rsid w:val="00AA1D7A"/>
    <w:rsid w:val="00AA1EF9"/>
    <w:rsid w:val="00AA264F"/>
    <w:rsid w:val="00AA3C5C"/>
    <w:rsid w:val="00AA58B4"/>
    <w:rsid w:val="00AB150A"/>
    <w:rsid w:val="00AB3B2A"/>
    <w:rsid w:val="00AB5C28"/>
    <w:rsid w:val="00AC0B97"/>
    <w:rsid w:val="00AC0F4F"/>
    <w:rsid w:val="00AC14FC"/>
    <w:rsid w:val="00AC1B87"/>
    <w:rsid w:val="00AC1E03"/>
    <w:rsid w:val="00AC3155"/>
    <w:rsid w:val="00AC4CEE"/>
    <w:rsid w:val="00AD0B09"/>
    <w:rsid w:val="00AD2933"/>
    <w:rsid w:val="00AD3089"/>
    <w:rsid w:val="00AD3D91"/>
    <w:rsid w:val="00AD79CC"/>
    <w:rsid w:val="00AE0FD1"/>
    <w:rsid w:val="00AE4CC4"/>
    <w:rsid w:val="00AE662F"/>
    <w:rsid w:val="00AE7AFA"/>
    <w:rsid w:val="00AF080F"/>
    <w:rsid w:val="00AF0BE0"/>
    <w:rsid w:val="00AF2B4D"/>
    <w:rsid w:val="00AF2D1B"/>
    <w:rsid w:val="00AF5FA6"/>
    <w:rsid w:val="00B00B35"/>
    <w:rsid w:val="00B012F6"/>
    <w:rsid w:val="00B03608"/>
    <w:rsid w:val="00B04D58"/>
    <w:rsid w:val="00B0598D"/>
    <w:rsid w:val="00B05BB0"/>
    <w:rsid w:val="00B066DB"/>
    <w:rsid w:val="00B07063"/>
    <w:rsid w:val="00B0741A"/>
    <w:rsid w:val="00B106CE"/>
    <w:rsid w:val="00B13DF1"/>
    <w:rsid w:val="00B14797"/>
    <w:rsid w:val="00B1561F"/>
    <w:rsid w:val="00B15FD4"/>
    <w:rsid w:val="00B169AF"/>
    <w:rsid w:val="00B16D05"/>
    <w:rsid w:val="00B177AF"/>
    <w:rsid w:val="00B17AD8"/>
    <w:rsid w:val="00B20F7B"/>
    <w:rsid w:val="00B21A92"/>
    <w:rsid w:val="00B21D7F"/>
    <w:rsid w:val="00B2288F"/>
    <w:rsid w:val="00B23454"/>
    <w:rsid w:val="00B244B9"/>
    <w:rsid w:val="00B24AB2"/>
    <w:rsid w:val="00B24DBE"/>
    <w:rsid w:val="00B26C1E"/>
    <w:rsid w:val="00B270E8"/>
    <w:rsid w:val="00B2738B"/>
    <w:rsid w:val="00B278D2"/>
    <w:rsid w:val="00B30195"/>
    <w:rsid w:val="00B3074F"/>
    <w:rsid w:val="00B3103A"/>
    <w:rsid w:val="00B31509"/>
    <w:rsid w:val="00B327AE"/>
    <w:rsid w:val="00B3354F"/>
    <w:rsid w:val="00B34562"/>
    <w:rsid w:val="00B34675"/>
    <w:rsid w:val="00B41012"/>
    <w:rsid w:val="00B41035"/>
    <w:rsid w:val="00B45ED0"/>
    <w:rsid w:val="00B45F71"/>
    <w:rsid w:val="00B46015"/>
    <w:rsid w:val="00B475E1"/>
    <w:rsid w:val="00B47902"/>
    <w:rsid w:val="00B47AFD"/>
    <w:rsid w:val="00B51F3C"/>
    <w:rsid w:val="00B5230B"/>
    <w:rsid w:val="00B52B36"/>
    <w:rsid w:val="00B537F1"/>
    <w:rsid w:val="00B5592F"/>
    <w:rsid w:val="00B55F72"/>
    <w:rsid w:val="00B564A6"/>
    <w:rsid w:val="00B626AC"/>
    <w:rsid w:val="00B64945"/>
    <w:rsid w:val="00B6512E"/>
    <w:rsid w:val="00B65A3B"/>
    <w:rsid w:val="00B676E6"/>
    <w:rsid w:val="00B67D59"/>
    <w:rsid w:val="00B708C9"/>
    <w:rsid w:val="00B70A80"/>
    <w:rsid w:val="00B7116F"/>
    <w:rsid w:val="00B712F8"/>
    <w:rsid w:val="00B714D3"/>
    <w:rsid w:val="00B7285B"/>
    <w:rsid w:val="00B74D65"/>
    <w:rsid w:val="00B76BBE"/>
    <w:rsid w:val="00B76DDA"/>
    <w:rsid w:val="00B777C3"/>
    <w:rsid w:val="00B77830"/>
    <w:rsid w:val="00B80003"/>
    <w:rsid w:val="00B81F38"/>
    <w:rsid w:val="00B82BA4"/>
    <w:rsid w:val="00B84690"/>
    <w:rsid w:val="00B86D21"/>
    <w:rsid w:val="00B87C15"/>
    <w:rsid w:val="00B91B61"/>
    <w:rsid w:val="00B92DE5"/>
    <w:rsid w:val="00B95EBA"/>
    <w:rsid w:val="00BA29AE"/>
    <w:rsid w:val="00BA4EE1"/>
    <w:rsid w:val="00BA6059"/>
    <w:rsid w:val="00BA6DBC"/>
    <w:rsid w:val="00BA6DD7"/>
    <w:rsid w:val="00BA7E4C"/>
    <w:rsid w:val="00BB0801"/>
    <w:rsid w:val="00BB1BAE"/>
    <w:rsid w:val="00BB27FC"/>
    <w:rsid w:val="00BB35B3"/>
    <w:rsid w:val="00BB5F03"/>
    <w:rsid w:val="00BC10FE"/>
    <w:rsid w:val="00BC1BA1"/>
    <w:rsid w:val="00BC30D1"/>
    <w:rsid w:val="00BC3CB6"/>
    <w:rsid w:val="00BC43C3"/>
    <w:rsid w:val="00BC6C6E"/>
    <w:rsid w:val="00BC7898"/>
    <w:rsid w:val="00BD0305"/>
    <w:rsid w:val="00BD18EA"/>
    <w:rsid w:val="00BD25BD"/>
    <w:rsid w:val="00BD26AB"/>
    <w:rsid w:val="00BD4FB4"/>
    <w:rsid w:val="00BD56CC"/>
    <w:rsid w:val="00BD5B45"/>
    <w:rsid w:val="00BD6A7F"/>
    <w:rsid w:val="00BD7095"/>
    <w:rsid w:val="00BE0B0E"/>
    <w:rsid w:val="00BE127F"/>
    <w:rsid w:val="00BE34DD"/>
    <w:rsid w:val="00BE7D75"/>
    <w:rsid w:val="00BF02EE"/>
    <w:rsid w:val="00BF0F80"/>
    <w:rsid w:val="00BF1CB0"/>
    <w:rsid w:val="00BF3B93"/>
    <w:rsid w:val="00BF3C3D"/>
    <w:rsid w:val="00BF4FA6"/>
    <w:rsid w:val="00BF5DE1"/>
    <w:rsid w:val="00BF69D4"/>
    <w:rsid w:val="00C00860"/>
    <w:rsid w:val="00C0488B"/>
    <w:rsid w:val="00C05509"/>
    <w:rsid w:val="00C1291C"/>
    <w:rsid w:val="00C129F0"/>
    <w:rsid w:val="00C12B80"/>
    <w:rsid w:val="00C1553C"/>
    <w:rsid w:val="00C16738"/>
    <w:rsid w:val="00C16A07"/>
    <w:rsid w:val="00C213F3"/>
    <w:rsid w:val="00C2196C"/>
    <w:rsid w:val="00C25196"/>
    <w:rsid w:val="00C25A49"/>
    <w:rsid w:val="00C30103"/>
    <w:rsid w:val="00C30556"/>
    <w:rsid w:val="00C306CA"/>
    <w:rsid w:val="00C30F7A"/>
    <w:rsid w:val="00C322B6"/>
    <w:rsid w:val="00C35BFC"/>
    <w:rsid w:val="00C36244"/>
    <w:rsid w:val="00C362AF"/>
    <w:rsid w:val="00C36818"/>
    <w:rsid w:val="00C36AC8"/>
    <w:rsid w:val="00C36E73"/>
    <w:rsid w:val="00C40157"/>
    <w:rsid w:val="00C41064"/>
    <w:rsid w:val="00C42096"/>
    <w:rsid w:val="00C43FC3"/>
    <w:rsid w:val="00C44D59"/>
    <w:rsid w:val="00C45232"/>
    <w:rsid w:val="00C4735A"/>
    <w:rsid w:val="00C47882"/>
    <w:rsid w:val="00C503A0"/>
    <w:rsid w:val="00C505D4"/>
    <w:rsid w:val="00C50A39"/>
    <w:rsid w:val="00C51E90"/>
    <w:rsid w:val="00C53ECE"/>
    <w:rsid w:val="00C55E4E"/>
    <w:rsid w:val="00C5726E"/>
    <w:rsid w:val="00C6048F"/>
    <w:rsid w:val="00C607F2"/>
    <w:rsid w:val="00C61777"/>
    <w:rsid w:val="00C620A0"/>
    <w:rsid w:val="00C63428"/>
    <w:rsid w:val="00C639A8"/>
    <w:rsid w:val="00C63AF6"/>
    <w:rsid w:val="00C63DF0"/>
    <w:rsid w:val="00C63E32"/>
    <w:rsid w:val="00C641D2"/>
    <w:rsid w:val="00C64B40"/>
    <w:rsid w:val="00C650DB"/>
    <w:rsid w:val="00C653C3"/>
    <w:rsid w:val="00C7180F"/>
    <w:rsid w:val="00C72C9B"/>
    <w:rsid w:val="00C73FC6"/>
    <w:rsid w:val="00C741D3"/>
    <w:rsid w:val="00C7462C"/>
    <w:rsid w:val="00C74B21"/>
    <w:rsid w:val="00C805AC"/>
    <w:rsid w:val="00C85300"/>
    <w:rsid w:val="00C8584A"/>
    <w:rsid w:val="00C85AB7"/>
    <w:rsid w:val="00C86CE3"/>
    <w:rsid w:val="00C86EBC"/>
    <w:rsid w:val="00C87E22"/>
    <w:rsid w:val="00C91F7F"/>
    <w:rsid w:val="00C96C4F"/>
    <w:rsid w:val="00CA3F3D"/>
    <w:rsid w:val="00CA3FE4"/>
    <w:rsid w:val="00CA5323"/>
    <w:rsid w:val="00CA5FC8"/>
    <w:rsid w:val="00CB1985"/>
    <w:rsid w:val="00CB40F4"/>
    <w:rsid w:val="00CB50DD"/>
    <w:rsid w:val="00CB7416"/>
    <w:rsid w:val="00CC04E3"/>
    <w:rsid w:val="00CC32D9"/>
    <w:rsid w:val="00CC453F"/>
    <w:rsid w:val="00CC45E5"/>
    <w:rsid w:val="00CC5BEB"/>
    <w:rsid w:val="00CC60A9"/>
    <w:rsid w:val="00CC7C89"/>
    <w:rsid w:val="00CD1C31"/>
    <w:rsid w:val="00CD2522"/>
    <w:rsid w:val="00CD31F0"/>
    <w:rsid w:val="00CD3324"/>
    <w:rsid w:val="00CD3C1E"/>
    <w:rsid w:val="00CD4B4B"/>
    <w:rsid w:val="00CD6EEC"/>
    <w:rsid w:val="00CE2578"/>
    <w:rsid w:val="00CE3577"/>
    <w:rsid w:val="00CF10DA"/>
    <w:rsid w:val="00CF2718"/>
    <w:rsid w:val="00CF3762"/>
    <w:rsid w:val="00CF7691"/>
    <w:rsid w:val="00D01461"/>
    <w:rsid w:val="00D01832"/>
    <w:rsid w:val="00D04122"/>
    <w:rsid w:val="00D047B7"/>
    <w:rsid w:val="00D11870"/>
    <w:rsid w:val="00D132FF"/>
    <w:rsid w:val="00D15557"/>
    <w:rsid w:val="00D15686"/>
    <w:rsid w:val="00D16F9E"/>
    <w:rsid w:val="00D21B27"/>
    <w:rsid w:val="00D21E06"/>
    <w:rsid w:val="00D223BF"/>
    <w:rsid w:val="00D223FC"/>
    <w:rsid w:val="00D2253B"/>
    <w:rsid w:val="00D22A67"/>
    <w:rsid w:val="00D245D2"/>
    <w:rsid w:val="00D25B0B"/>
    <w:rsid w:val="00D31127"/>
    <w:rsid w:val="00D31386"/>
    <w:rsid w:val="00D31FA8"/>
    <w:rsid w:val="00D3396D"/>
    <w:rsid w:val="00D3397B"/>
    <w:rsid w:val="00D3569B"/>
    <w:rsid w:val="00D35A90"/>
    <w:rsid w:val="00D36065"/>
    <w:rsid w:val="00D36130"/>
    <w:rsid w:val="00D40D11"/>
    <w:rsid w:val="00D423AD"/>
    <w:rsid w:val="00D46528"/>
    <w:rsid w:val="00D46587"/>
    <w:rsid w:val="00D46E13"/>
    <w:rsid w:val="00D4733D"/>
    <w:rsid w:val="00D53085"/>
    <w:rsid w:val="00D532C1"/>
    <w:rsid w:val="00D57146"/>
    <w:rsid w:val="00D618AD"/>
    <w:rsid w:val="00D63DD3"/>
    <w:rsid w:val="00D6464D"/>
    <w:rsid w:val="00D65088"/>
    <w:rsid w:val="00D72895"/>
    <w:rsid w:val="00D73D3F"/>
    <w:rsid w:val="00D76F6E"/>
    <w:rsid w:val="00D777C9"/>
    <w:rsid w:val="00D77E6E"/>
    <w:rsid w:val="00D80B6D"/>
    <w:rsid w:val="00D82E2D"/>
    <w:rsid w:val="00D8513A"/>
    <w:rsid w:val="00D87CCE"/>
    <w:rsid w:val="00D9306C"/>
    <w:rsid w:val="00DA087D"/>
    <w:rsid w:val="00DA10BE"/>
    <w:rsid w:val="00DA1662"/>
    <w:rsid w:val="00DA327C"/>
    <w:rsid w:val="00DA576C"/>
    <w:rsid w:val="00DA68D5"/>
    <w:rsid w:val="00DA6D6A"/>
    <w:rsid w:val="00DA7689"/>
    <w:rsid w:val="00DA78FC"/>
    <w:rsid w:val="00DB270B"/>
    <w:rsid w:val="00DB365A"/>
    <w:rsid w:val="00DB4335"/>
    <w:rsid w:val="00DB7664"/>
    <w:rsid w:val="00DC1FA8"/>
    <w:rsid w:val="00DC2A4B"/>
    <w:rsid w:val="00DC4212"/>
    <w:rsid w:val="00DC6476"/>
    <w:rsid w:val="00DC6AB6"/>
    <w:rsid w:val="00DD1EC1"/>
    <w:rsid w:val="00DD5E05"/>
    <w:rsid w:val="00DE17B0"/>
    <w:rsid w:val="00DE36DE"/>
    <w:rsid w:val="00DE448F"/>
    <w:rsid w:val="00DE4919"/>
    <w:rsid w:val="00DE75F4"/>
    <w:rsid w:val="00DE7686"/>
    <w:rsid w:val="00DE7CE1"/>
    <w:rsid w:val="00DF006F"/>
    <w:rsid w:val="00DF1F56"/>
    <w:rsid w:val="00DF2428"/>
    <w:rsid w:val="00DF296C"/>
    <w:rsid w:val="00DF2A53"/>
    <w:rsid w:val="00DF388B"/>
    <w:rsid w:val="00DF5CAA"/>
    <w:rsid w:val="00DF5E95"/>
    <w:rsid w:val="00DF606A"/>
    <w:rsid w:val="00E02125"/>
    <w:rsid w:val="00E0358E"/>
    <w:rsid w:val="00E04F24"/>
    <w:rsid w:val="00E04F7B"/>
    <w:rsid w:val="00E05E82"/>
    <w:rsid w:val="00E06CEA"/>
    <w:rsid w:val="00E11435"/>
    <w:rsid w:val="00E121F2"/>
    <w:rsid w:val="00E166F1"/>
    <w:rsid w:val="00E16928"/>
    <w:rsid w:val="00E16FE8"/>
    <w:rsid w:val="00E17539"/>
    <w:rsid w:val="00E211E6"/>
    <w:rsid w:val="00E23F1D"/>
    <w:rsid w:val="00E24FED"/>
    <w:rsid w:val="00E25085"/>
    <w:rsid w:val="00E2543E"/>
    <w:rsid w:val="00E2591F"/>
    <w:rsid w:val="00E30148"/>
    <w:rsid w:val="00E343B0"/>
    <w:rsid w:val="00E35A9F"/>
    <w:rsid w:val="00E364A9"/>
    <w:rsid w:val="00E36E36"/>
    <w:rsid w:val="00E400AA"/>
    <w:rsid w:val="00E40BF0"/>
    <w:rsid w:val="00E41EE8"/>
    <w:rsid w:val="00E42149"/>
    <w:rsid w:val="00E4768E"/>
    <w:rsid w:val="00E47BA7"/>
    <w:rsid w:val="00E515C8"/>
    <w:rsid w:val="00E53945"/>
    <w:rsid w:val="00E55682"/>
    <w:rsid w:val="00E5639B"/>
    <w:rsid w:val="00E57D1A"/>
    <w:rsid w:val="00E608E3"/>
    <w:rsid w:val="00E60E78"/>
    <w:rsid w:val="00E63C9B"/>
    <w:rsid w:val="00E669EF"/>
    <w:rsid w:val="00E67800"/>
    <w:rsid w:val="00E70E9A"/>
    <w:rsid w:val="00E71B7C"/>
    <w:rsid w:val="00E71C1E"/>
    <w:rsid w:val="00E71D31"/>
    <w:rsid w:val="00E72BA8"/>
    <w:rsid w:val="00E74BB2"/>
    <w:rsid w:val="00E804FF"/>
    <w:rsid w:val="00E81785"/>
    <w:rsid w:val="00E83CCD"/>
    <w:rsid w:val="00E847E6"/>
    <w:rsid w:val="00E84909"/>
    <w:rsid w:val="00E856C2"/>
    <w:rsid w:val="00E90FB8"/>
    <w:rsid w:val="00E938B3"/>
    <w:rsid w:val="00E945C4"/>
    <w:rsid w:val="00E9495C"/>
    <w:rsid w:val="00E94B01"/>
    <w:rsid w:val="00EA29EC"/>
    <w:rsid w:val="00EA3186"/>
    <w:rsid w:val="00EA3C99"/>
    <w:rsid w:val="00EA47AD"/>
    <w:rsid w:val="00EA64D4"/>
    <w:rsid w:val="00EB06C5"/>
    <w:rsid w:val="00EB1535"/>
    <w:rsid w:val="00EB26B3"/>
    <w:rsid w:val="00EB4375"/>
    <w:rsid w:val="00EB4A89"/>
    <w:rsid w:val="00EB5B94"/>
    <w:rsid w:val="00EB657F"/>
    <w:rsid w:val="00EC046B"/>
    <w:rsid w:val="00EC75DD"/>
    <w:rsid w:val="00EC7691"/>
    <w:rsid w:val="00ED0FE5"/>
    <w:rsid w:val="00ED2A49"/>
    <w:rsid w:val="00ED4C36"/>
    <w:rsid w:val="00EE318A"/>
    <w:rsid w:val="00EE4761"/>
    <w:rsid w:val="00EE520F"/>
    <w:rsid w:val="00EE591F"/>
    <w:rsid w:val="00EE6C6D"/>
    <w:rsid w:val="00EE7BDD"/>
    <w:rsid w:val="00EF1568"/>
    <w:rsid w:val="00EF56AC"/>
    <w:rsid w:val="00EF5EE0"/>
    <w:rsid w:val="00EF62F8"/>
    <w:rsid w:val="00F0275F"/>
    <w:rsid w:val="00F040CA"/>
    <w:rsid w:val="00F04FF5"/>
    <w:rsid w:val="00F06420"/>
    <w:rsid w:val="00F06513"/>
    <w:rsid w:val="00F06844"/>
    <w:rsid w:val="00F0734C"/>
    <w:rsid w:val="00F10CFA"/>
    <w:rsid w:val="00F1214E"/>
    <w:rsid w:val="00F12CDD"/>
    <w:rsid w:val="00F16128"/>
    <w:rsid w:val="00F161D2"/>
    <w:rsid w:val="00F20841"/>
    <w:rsid w:val="00F20896"/>
    <w:rsid w:val="00F2446D"/>
    <w:rsid w:val="00F245FA"/>
    <w:rsid w:val="00F257ED"/>
    <w:rsid w:val="00F27366"/>
    <w:rsid w:val="00F30542"/>
    <w:rsid w:val="00F30BB8"/>
    <w:rsid w:val="00F33E63"/>
    <w:rsid w:val="00F366A6"/>
    <w:rsid w:val="00F37E08"/>
    <w:rsid w:val="00F41968"/>
    <w:rsid w:val="00F428EF"/>
    <w:rsid w:val="00F44539"/>
    <w:rsid w:val="00F44AEB"/>
    <w:rsid w:val="00F45620"/>
    <w:rsid w:val="00F45E5F"/>
    <w:rsid w:val="00F4632A"/>
    <w:rsid w:val="00F47081"/>
    <w:rsid w:val="00F52462"/>
    <w:rsid w:val="00F53850"/>
    <w:rsid w:val="00F542F8"/>
    <w:rsid w:val="00F61061"/>
    <w:rsid w:val="00F63179"/>
    <w:rsid w:val="00F63E7A"/>
    <w:rsid w:val="00F64A9E"/>
    <w:rsid w:val="00F6505F"/>
    <w:rsid w:val="00F655E3"/>
    <w:rsid w:val="00F65A7D"/>
    <w:rsid w:val="00F65D72"/>
    <w:rsid w:val="00F739AD"/>
    <w:rsid w:val="00F76B0E"/>
    <w:rsid w:val="00F7782E"/>
    <w:rsid w:val="00F77BD8"/>
    <w:rsid w:val="00F801C0"/>
    <w:rsid w:val="00F8482C"/>
    <w:rsid w:val="00F84DCA"/>
    <w:rsid w:val="00F87F11"/>
    <w:rsid w:val="00F93799"/>
    <w:rsid w:val="00F94B22"/>
    <w:rsid w:val="00F95B39"/>
    <w:rsid w:val="00F968E3"/>
    <w:rsid w:val="00F97A8C"/>
    <w:rsid w:val="00FA0F28"/>
    <w:rsid w:val="00FA1AF3"/>
    <w:rsid w:val="00FA255B"/>
    <w:rsid w:val="00FA4A11"/>
    <w:rsid w:val="00FA6757"/>
    <w:rsid w:val="00FA6E14"/>
    <w:rsid w:val="00FB22D4"/>
    <w:rsid w:val="00FB551F"/>
    <w:rsid w:val="00FB6C4F"/>
    <w:rsid w:val="00FB7593"/>
    <w:rsid w:val="00FC1254"/>
    <w:rsid w:val="00FC33AA"/>
    <w:rsid w:val="00FC5217"/>
    <w:rsid w:val="00FC5EE8"/>
    <w:rsid w:val="00FD08A6"/>
    <w:rsid w:val="00FD20D1"/>
    <w:rsid w:val="00FD37BD"/>
    <w:rsid w:val="00FD5578"/>
    <w:rsid w:val="00FE189D"/>
    <w:rsid w:val="00FE28BC"/>
    <w:rsid w:val="00FE3A27"/>
    <w:rsid w:val="00FE6591"/>
    <w:rsid w:val="00FE6DB7"/>
    <w:rsid w:val="00FE7E9A"/>
    <w:rsid w:val="00FF29F0"/>
    <w:rsid w:val="00FF3A4B"/>
    <w:rsid w:val="00FF4E85"/>
    <w:rsid w:val="00FF5DCC"/>
    <w:rsid w:val="00FF75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920B6"/>
  <w15:docId w15:val="{9527DFC0-C2EA-4679-B81A-02DF3229A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paragraph" w:styleId="Nadpis4">
    <w:name w:val="heading 4"/>
    <w:basedOn w:val="Normln"/>
    <w:next w:val="Normln"/>
    <w:link w:val="Nadpis4Char"/>
    <w:uiPriority w:val="9"/>
    <w:semiHidden/>
    <w:unhideWhenUsed/>
    <w:qFormat/>
    <w:rsid w:val="00FE6DB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13512D"/>
    <w:rPr>
      <w:sz w:val="16"/>
      <w:szCs w:val="16"/>
    </w:rPr>
  </w:style>
  <w:style w:type="paragraph" w:styleId="Textkomente">
    <w:name w:val="annotation text"/>
    <w:basedOn w:val="Normln"/>
    <w:link w:val="TextkomenteChar"/>
    <w:uiPriority w:val="99"/>
    <w:semiHidden/>
    <w:unhideWhenUsed/>
    <w:rsid w:val="0013512D"/>
    <w:rPr>
      <w:sz w:val="20"/>
      <w:szCs w:val="20"/>
    </w:rPr>
  </w:style>
  <w:style w:type="character" w:customStyle="1" w:styleId="TextkomenteChar">
    <w:name w:val="Text komentáře Char"/>
    <w:basedOn w:val="Standardnpsmoodstavce"/>
    <w:link w:val="Textkomente"/>
    <w:uiPriority w:val="99"/>
    <w:semiHidden/>
    <w:rsid w:val="0013512D"/>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3512D"/>
    <w:rPr>
      <w:b/>
      <w:bCs/>
    </w:rPr>
  </w:style>
  <w:style w:type="character" w:customStyle="1" w:styleId="PedmtkomenteChar">
    <w:name w:val="Předmět komentáře Char"/>
    <w:basedOn w:val="TextkomenteChar"/>
    <w:link w:val="Pedmtkomente"/>
    <w:uiPriority w:val="99"/>
    <w:semiHidden/>
    <w:rsid w:val="0013512D"/>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13512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512D"/>
    <w:rPr>
      <w:rFonts w:ascii="Segoe UI" w:eastAsia="F015TEELig" w:hAnsi="Segoe UI" w:cs="Segoe UI"/>
      <w:sz w:val="18"/>
      <w:szCs w:val="18"/>
      <w:lang w:val="cs-CZ" w:eastAsia="cs-CZ" w:bidi="cs-CZ"/>
    </w:rPr>
  </w:style>
  <w:style w:type="character" w:styleId="Siln">
    <w:name w:val="Strong"/>
    <w:basedOn w:val="Standardnpsmoodstavce"/>
    <w:uiPriority w:val="22"/>
    <w:qFormat/>
    <w:rsid w:val="00854470"/>
    <w:rPr>
      <w:b/>
      <w:bCs/>
    </w:rPr>
  </w:style>
  <w:style w:type="character" w:styleId="Sledovanodkaz">
    <w:name w:val="FollowedHyperlink"/>
    <w:basedOn w:val="Standardnpsmoodstavce"/>
    <w:uiPriority w:val="99"/>
    <w:semiHidden/>
    <w:unhideWhenUsed/>
    <w:rsid w:val="00C6048F"/>
    <w:rPr>
      <w:color w:val="800080" w:themeColor="followedHyperlink"/>
      <w:u w:val="single"/>
    </w:rPr>
  </w:style>
  <w:style w:type="character" w:styleId="Zdraznn">
    <w:name w:val="Emphasis"/>
    <w:basedOn w:val="Standardnpsmoodstavce"/>
    <w:uiPriority w:val="20"/>
    <w:qFormat/>
    <w:rsid w:val="00D87CCE"/>
    <w:rPr>
      <w:i/>
      <w:iCs/>
    </w:rPr>
  </w:style>
  <w:style w:type="character" w:customStyle="1" w:styleId="Nadpis4Char">
    <w:name w:val="Nadpis 4 Char"/>
    <w:basedOn w:val="Standardnpsmoodstavce"/>
    <w:link w:val="Nadpis4"/>
    <w:uiPriority w:val="9"/>
    <w:semiHidden/>
    <w:rsid w:val="00FE6DB7"/>
    <w:rPr>
      <w:rFonts w:asciiTheme="majorHAnsi" w:eastAsiaTheme="majorEastAsia" w:hAnsiTheme="majorHAnsi" w:cstheme="majorBidi"/>
      <w:i/>
      <w:iCs/>
      <w:color w:val="365F91" w:themeColor="accent1" w:themeShade="BF"/>
      <w:lang w:val="cs-CZ" w:eastAsia="cs-CZ" w:bidi="cs-CZ"/>
    </w:rPr>
  </w:style>
  <w:style w:type="character" w:customStyle="1" w:styleId="article-hl">
    <w:name w:val="article-hl"/>
    <w:basedOn w:val="Standardnpsmoodstavce"/>
    <w:rsid w:val="00F366A6"/>
  </w:style>
  <w:style w:type="paragraph" w:customStyle="1" w:styleId="para">
    <w:name w:val="para"/>
    <w:basedOn w:val="Normln"/>
    <w:rsid w:val="009D23D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s1">
    <w:name w:val="s1"/>
    <w:basedOn w:val="Standardnpsmoodstavce"/>
    <w:rsid w:val="000262FD"/>
  </w:style>
  <w:style w:type="character" w:customStyle="1" w:styleId="s3">
    <w:name w:val="s3"/>
    <w:basedOn w:val="Standardnpsmoodstavce"/>
    <w:rsid w:val="000262FD"/>
  </w:style>
  <w:style w:type="paragraph" w:customStyle="1" w:styleId="sc-17793b3-0">
    <w:name w:val="sc-17793b3-0"/>
    <w:basedOn w:val="Normln"/>
    <w:rsid w:val="00A3163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Mkatabulky">
    <w:name w:val="Table Grid"/>
    <w:basedOn w:val="Normlntabulka"/>
    <w:uiPriority w:val="39"/>
    <w:rsid w:val="00B20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5030">
      <w:bodyDiv w:val="1"/>
      <w:marLeft w:val="0"/>
      <w:marRight w:val="0"/>
      <w:marTop w:val="0"/>
      <w:marBottom w:val="0"/>
      <w:divBdr>
        <w:top w:val="none" w:sz="0" w:space="0" w:color="auto"/>
        <w:left w:val="none" w:sz="0" w:space="0" w:color="auto"/>
        <w:bottom w:val="none" w:sz="0" w:space="0" w:color="auto"/>
        <w:right w:val="none" w:sz="0" w:space="0" w:color="auto"/>
      </w:divBdr>
    </w:div>
    <w:div w:id="41633700">
      <w:bodyDiv w:val="1"/>
      <w:marLeft w:val="0"/>
      <w:marRight w:val="0"/>
      <w:marTop w:val="0"/>
      <w:marBottom w:val="0"/>
      <w:divBdr>
        <w:top w:val="none" w:sz="0" w:space="0" w:color="auto"/>
        <w:left w:val="none" w:sz="0" w:space="0" w:color="auto"/>
        <w:bottom w:val="none" w:sz="0" w:space="0" w:color="auto"/>
        <w:right w:val="none" w:sz="0" w:space="0" w:color="auto"/>
      </w:divBdr>
    </w:div>
    <w:div w:id="52974130">
      <w:bodyDiv w:val="1"/>
      <w:marLeft w:val="0"/>
      <w:marRight w:val="0"/>
      <w:marTop w:val="0"/>
      <w:marBottom w:val="0"/>
      <w:divBdr>
        <w:top w:val="none" w:sz="0" w:space="0" w:color="auto"/>
        <w:left w:val="none" w:sz="0" w:space="0" w:color="auto"/>
        <w:bottom w:val="none" w:sz="0" w:space="0" w:color="auto"/>
        <w:right w:val="none" w:sz="0" w:space="0" w:color="auto"/>
      </w:divBdr>
    </w:div>
    <w:div w:id="146015115">
      <w:bodyDiv w:val="1"/>
      <w:marLeft w:val="0"/>
      <w:marRight w:val="0"/>
      <w:marTop w:val="0"/>
      <w:marBottom w:val="0"/>
      <w:divBdr>
        <w:top w:val="none" w:sz="0" w:space="0" w:color="auto"/>
        <w:left w:val="none" w:sz="0" w:space="0" w:color="auto"/>
        <w:bottom w:val="none" w:sz="0" w:space="0" w:color="auto"/>
        <w:right w:val="none" w:sz="0" w:space="0" w:color="auto"/>
      </w:divBdr>
    </w:div>
    <w:div w:id="246965266">
      <w:bodyDiv w:val="1"/>
      <w:marLeft w:val="0"/>
      <w:marRight w:val="0"/>
      <w:marTop w:val="0"/>
      <w:marBottom w:val="0"/>
      <w:divBdr>
        <w:top w:val="none" w:sz="0" w:space="0" w:color="auto"/>
        <w:left w:val="none" w:sz="0" w:space="0" w:color="auto"/>
        <w:bottom w:val="none" w:sz="0" w:space="0" w:color="auto"/>
        <w:right w:val="none" w:sz="0" w:space="0" w:color="auto"/>
      </w:divBdr>
    </w:div>
    <w:div w:id="261032890">
      <w:bodyDiv w:val="1"/>
      <w:marLeft w:val="0"/>
      <w:marRight w:val="0"/>
      <w:marTop w:val="0"/>
      <w:marBottom w:val="0"/>
      <w:divBdr>
        <w:top w:val="none" w:sz="0" w:space="0" w:color="auto"/>
        <w:left w:val="none" w:sz="0" w:space="0" w:color="auto"/>
        <w:bottom w:val="none" w:sz="0" w:space="0" w:color="auto"/>
        <w:right w:val="none" w:sz="0" w:space="0" w:color="auto"/>
      </w:divBdr>
    </w:div>
    <w:div w:id="290669661">
      <w:bodyDiv w:val="1"/>
      <w:marLeft w:val="0"/>
      <w:marRight w:val="0"/>
      <w:marTop w:val="0"/>
      <w:marBottom w:val="0"/>
      <w:divBdr>
        <w:top w:val="none" w:sz="0" w:space="0" w:color="auto"/>
        <w:left w:val="none" w:sz="0" w:space="0" w:color="auto"/>
        <w:bottom w:val="none" w:sz="0" w:space="0" w:color="auto"/>
        <w:right w:val="none" w:sz="0" w:space="0" w:color="auto"/>
      </w:divBdr>
    </w:div>
    <w:div w:id="326908074">
      <w:bodyDiv w:val="1"/>
      <w:marLeft w:val="0"/>
      <w:marRight w:val="0"/>
      <w:marTop w:val="0"/>
      <w:marBottom w:val="0"/>
      <w:divBdr>
        <w:top w:val="none" w:sz="0" w:space="0" w:color="auto"/>
        <w:left w:val="none" w:sz="0" w:space="0" w:color="auto"/>
        <w:bottom w:val="none" w:sz="0" w:space="0" w:color="auto"/>
        <w:right w:val="none" w:sz="0" w:space="0" w:color="auto"/>
      </w:divBdr>
    </w:div>
    <w:div w:id="371659038">
      <w:bodyDiv w:val="1"/>
      <w:marLeft w:val="0"/>
      <w:marRight w:val="0"/>
      <w:marTop w:val="0"/>
      <w:marBottom w:val="0"/>
      <w:divBdr>
        <w:top w:val="none" w:sz="0" w:space="0" w:color="auto"/>
        <w:left w:val="none" w:sz="0" w:space="0" w:color="auto"/>
        <w:bottom w:val="none" w:sz="0" w:space="0" w:color="auto"/>
        <w:right w:val="none" w:sz="0" w:space="0" w:color="auto"/>
      </w:divBdr>
    </w:div>
    <w:div w:id="403189765">
      <w:bodyDiv w:val="1"/>
      <w:marLeft w:val="0"/>
      <w:marRight w:val="0"/>
      <w:marTop w:val="0"/>
      <w:marBottom w:val="0"/>
      <w:divBdr>
        <w:top w:val="none" w:sz="0" w:space="0" w:color="auto"/>
        <w:left w:val="none" w:sz="0" w:space="0" w:color="auto"/>
        <w:bottom w:val="none" w:sz="0" w:space="0" w:color="auto"/>
        <w:right w:val="none" w:sz="0" w:space="0" w:color="auto"/>
      </w:divBdr>
    </w:div>
    <w:div w:id="555357261">
      <w:bodyDiv w:val="1"/>
      <w:marLeft w:val="0"/>
      <w:marRight w:val="0"/>
      <w:marTop w:val="0"/>
      <w:marBottom w:val="0"/>
      <w:divBdr>
        <w:top w:val="none" w:sz="0" w:space="0" w:color="auto"/>
        <w:left w:val="none" w:sz="0" w:space="0" w:color="auto"/>
        <w:bottom w:val="none" w:sz="0" w:space="0" w:color="auto"/>
        <w:right w:val="none" w:sz="0" w:space="0" w:color="auto"/>
      </w:divBdr>
    </w:div>
    <w:div w:id="596407247">
      <w:bodyDiv w:val="1"/>
      <w:marLeft w:val="0"/>
      <w:marRight w:val="0"/>
      <w:marTop w:val="0"/>
      <w:marBottom w:val="0"/>
      <w:divBdr>
        <w:top w:val="none" w:sz="0" w:space="0" w:color="auto"/>
        <w:left w:val="none" w:sz="0" w:space="0" w:color="auto"/>
        <w:bottom w:val="none" w:sz="0" w:space="0" w:color="auto"/>
        <w:right w:val="none" w:sz="0" w:space="0" w:color="auto"/>
      </w:divBdr>
    </w:div>
    <w:div w:id="596714065">
      <w:bodyDiv w:val="1"/>
      <w:marLeft w:val="0"/>
      <w:marRight w:val="0"/>
      <w:marTop w:val="0"/>
      <w:marBottom w:val="0"/>
      <w:divBdr>
        <w:top w:val="none" w:sz="0" w:space="0" w:color="auto"/>
        <w:left w:val="none" w:sz="0" w:space="0" w:color="auto"/>
        <w:bottom w:val="none" w:sz="0" w:space="0" w:color="auto"/>
        <w:right w:val="none" w:sz="0" w:space="0" w:color="auto"/>
      </w:divBdr>
    </w:div>
    <w:div w:id="646980846">
      <w:bodyDiv w:val="1"/>
      <w:marLeft w:val="0"/>
      <w:marRight w:val="0"/>
      <w:marTop w:val="0"/>
      <w:marBottom w:val="0"/>
      <w:divBdr>
        <w:top w:val="none" w:sz="0" w:space="0" w:color="auto"/>
        <w:left w:val="none" w:sz="0" w:space="0" w:color="auto"/>
        <w:bottom w:val="none" w:sz="0" w:space="0" w:color="auto"/>
        <w:right w:val="none" w:sz="0" w:space="0" w:color="auto"/>
      </w:divBdr>
    </w:div>
    <w:div w:id="658339459">
      <w:bodyDiv w:val="1"/>
      <w:marLeft w:val="0"/>
      <w:marRight w:val="0"/>
      <w:marTop w:val="0"/>
      <w:marBottom w:val="0"/>
      <w:divBdr>
        <w:top w:val="none" w:sz="0" w:space="0" w:color="auto"/>
        <w:left w:val="none" w:sz="0" w:space="0" w:color="auto"/>
        <w:bottom w:val="none" w:sz="0" w:space="0" w:color="auto"/>
        <w:right w:val="none" w:sz="0" w:space="0" w:color="auto"/>
      </w:divBdr>
    </w:div>
    <w:div w:id="670832458">
      <w:bodyDiv w:val="1"/>
      <w:marLeft w:val="0"/>
      <w:marRight w:val="0"/>
      <w:marTop w:val="0"/>
      <w:marBottom w:val="0"/>
      <w:divBdr>
        <w:top w:val="none" w:sz="0" w:space="0" w:color="auto"/>
        <w:left w:val="none" w:sz="0" w:space="0" w:color="auto"/>
        <w:bottom w:val="none" w:sz="0" w:space="0" w:color="auto"/>
        <w:right w:val="none" w:sz="0" w:space="0" w:color="auto"/>
      </w:divBdr>
    </w:div>
    <w:div w:id="671687975">
      <w:bodyDiv w:val="1"/>
      <w:marLeft w:val="0"/>
      <w:marRight w:val="0"/>
      <w:marTop w:val="0"/>
      <w:marBottom w:val="0"/>
      <w:divBdr>
        <w:top w:val="none" w:sz="0" w:space="0" w:color="auto"/>
        <w:left w:val="none" w:sz="0" w:space="0" w:color="auto"/>
        <w:bottom w:val="none" w:sz="0" w:space="0" w:color="auto"/>
        <w:right w:val="none" w:sz="0" w:space="0" w:color="auto"/>
      </w:divBdr>
    </w:div>
    <w:div w:id="736125264">
      <w:bodyDiv w:val="1"/>
      <w:marLeft w:val="0"/>
      <w:marRight w:val="0"/>
      <w:marTop w:val="0"/>
      <w:marBottom w:val="0"/>
      <w:divBdr>
        <w:top w:val="none" w:sz="0" w:space="0" w:color="auto"/>
        <w:left w:val="none" w:sz="0" w:space="0" w:color="auto"/>
        <w:bottom w:val="none" w:sz="0" w:space="0" w:color="auto"/>
        <w:right w:val="none" w:sz="0" w:space="0" w:color="auto"/>
      </w:divBdr>
    </w:div>
    <w:div w:id="740102292">
      <w:bodyDiv w:val="1"/>
      <w:marLeft w:val="0"/>
      <w:marRight w:val="0"/>
      <w:marTop w:val="0"/>
      <w:marBottom w:val="0"/>
      <w:divBdr>
        <w:top w:val="none" w:sz="0" w:space="0" w:color="auto"/>
        <w:left w:val="none" w:sz="0" w:space="0" w:color="auto"/>
        <w:bottom w:val="none" w:sz="0" w:space="0" w:color="auto"/>
        <w:right w:val="none" w:sz="0" w:space="0" w:color="auto"/>
      </w:divBdr>
    </w:div>
    <w:div w:id="782841264">
      <w:bodyDiv w:val="1"/>
      <w:marLeft w:val="0"/>
      <w:marRight w:val="0"/>
      <w:marTop w:val="0"/>
      <w:marBottom w:val="0"/>
      <w:divBdr>
        <w:top w:val="none" w:sz="0" w:space="0" w:color="auto"/>
        <w:left w:val="none" w:sz="0" w:space="0" w:color="auto"/>
        <w:bottom w:val="none" w:sz="0" w:space="0" w:color="auto"/>
        <w:right w:val="none" w:sz="0" w:space="0" w:color="auto"/>
      </w:divBdr>
    </w:div>
    <w:div w:id="812987891">
      <w:bodyDiv w:val="1"/>
      <w:marLeft w:val="0"/>
      <w:marRight w:val="0"/>
      <w:marTop w:val="0"/>
      <w:marBottom w:val="0"/>
      <w:divBdr>
        <w:top w:val="none" w:sz="0" w:space="0" w:color="auto"/>
        <w:left w:val="none" w:sz="0" w:space="0" w:color="auto"/>
        <w:bottom w:val="none" w:sz="0" w:space="0" w:color="auto"/>
        <w:right w:val="none" w:sz="0" w:space="0" w:color="auto"/>
      </w:divBdr>
    </w:div>
    <w:div w:id="852458738">
      <w:bodyDiv w:val="1"/>
      <w:marLeft w:val="0"/>
      <w:marRight w:val="0"/>
      <w:marTop w:val="0"/>
      <w:marBottom w:val="0"/>
      <w:divBdr>
        <w:top w:val="none" w:sz="0" w:space="0" w:color="auto"/>
        <w:left w:val="none" w:sz="0" w:space="0" w:color="auto"/>
        <w:bottom w:val="none" w:sz="0" w:space="0" w:color="auto"/>
        <w:right w:val="none" w:sz="0" w:space="0" w:color="auto"/>
      </w:divBdr>
    </w:div>
    <w:div w:id="905144523">
      <w:bodyDiv w:val="1"/>
      <w:marLeft w:val="0"/>
      <w:marRight w:val="0"/>
      <w:marTop w:val="0"/>
      <w:marBottom w:val="0"/>
      <w:divBdr>
        <w:top w:val="none" w:sz="0" w:space="0" w:color="auto"/>
        <w:left w:val="none" w:sz="0" w:space="0" w:color="auto"/>
        <w:bottom w:val="none" w:sz="0" w:space="0" w:color="auto"/>
        <w:right w:val="none" w:sz="0" w:space="0" w:color="auto"/>
      </w:divBdr>
    </w:div>
    <w:div w:id="965039135">
      <w:bodyDiv w:val="1"/>
      <w:marLeft w:val="0"/>
      <w:marRight w:val="0"/>
      <w:marTop w:val="0"/>
      <w:marBottom w:val="0"/>
      <w:divBdr>
        <w:top w:val="none" w:sz="0" w:space="0" w:color="auto"/>
        <w:left w:val="none" w:sz="0" w:space="0" w:color="auto"/>
        <w:bottom w:val="none" w:sz="0" w:space="0" w:color="auto"/>
        <w:right w:val="none" w:sz="0" w:space="0" w:color="auto"/>
      </w:divBdr>
    </w:div>
    <w:div w:id="1042709059">
      <w:bodyDiv w:val="1"/>
      <w:marLeft w:val="0"/>
      <w:marRight w:val="0"/>
      <w:marTop w:val="0"/>
      <w:marBottom w:val="0"/>
      <w:divBdr>
        <w:top w:val="none" w:sz="0" w:space="0" w:color="auto"/>
        <w:left w:val="none" w:sz="0" w:space="0" w:color="auto"/>
        <w:bottom w:val="none" w:sz="0" w:space="0" w:color="auto"/>
        <w:right w:val="none" w:sz="0" w:space="0" w:color="auto"/>
      </w:divBdr>
    </w:div>
    <w:div w:id="1107889667">
      <w:bodyDiv w:val="1"/>
      <w:marLeft w:val="0"/>
      <w:marRight w:val="0"/>
      <w:marTop w:val="0"/>
      <w:marBottom w:val="0"/>
      <w:divBdr>
        <w:top w:val="none" w:sz="0" w:space="0" w:color="auto"/>
        <w:left w:val="none" w:sz="0" w:space="0" w:color="auto"/>
        <w:bottom w:val="none" w:sz="0" w:space="0" w:color="auto"/>
        <w:right w:val="none" w:sz="0" w:space="0" w:color="auto"/>
      </w:divBdr>
    </w:div>
    <w:div w:id="1171527072">
      <w:bodyDiv w:val="1"/>
      <w:marLeft w:val="0"/>
      <w:marRight w:val="0"/>
      <w:marTop w:val="0"/>
      <w:marBottom w:val="0"/>
      <w:divBdr>
        <w:top w:val="none" w:sz="0" w:space="0" w:color="auto"/>
        <w:left w:val="none" w:sz="0" w:space="0" w:color="auto"/>
        <w:bottom w:val="none" w:sz="0" w:space="0" w:color="auto"/>
        <w:right w:val="none" w:sz="0" w:space="0" w:color="auto"/>
      </w:divBdr>
    </w:div>
    <w:div w:id="1187644287">
      <w:bodyDiv w:val="1"/>
      <w:marLeft w:val="0"/>
      <w:marRight w:val="0"/>
      <w:marTop w:val="0"/>
      <w:marBottom w:val="0"/>
      <w:divBdr>
        <w:top w:val="none" w:sz="0" w:space="0" w:color="auto"/>
        <w:left w:val="none" w:sz="0" w:space="0" w:color="auto"/>
        <w:bottom w:val="none" w:sz="0" w:space="0" w:color="auto"/>
        <w:right w:val="none" w:sz="0" w:space="0" w:color="auto"/>
      </w:divBdr>
    </w:div>
    <w:div w:id="1327051919">
      <w:bodyDiv w:val="1"/>
      <w:marLeft w:val="0"/>
      <w:marRight w:val="0"/>
      <w:marTop w:val="0"/>
      <w:marBottom w:val="0"/>
      <w:divBdr>
        <w:top w:val="none" w:sz="0" w:space="0" w:color="auto"/>
        <w:left w:val="none" w:sz="0" w:space="0" w:color="auto"/>
        <w:bottom w:val="none" w:sz="0" w:space="0" w:color="auto"/>
        <w:right w:val="none" w:sz="0" w:space="0" w:color="auto"/>
      </w:divBdr>
    </w:div>
    <w:div w:id="1361279828">
      <w:bodyDiv w:val="1"/>
      <w:marLeft w:val="0"/>
      <w:marRight w:val="0"/>
      <w:marTop w:val="0"/>
      <w:marBottom w:val="0"/>
      <w:divBdr>
        <w:top w:val="none" w:sz="0" w:space="0" w:color="auto"/>
        <w:left w:val="none" w:sz="0" w:space="0" w:color="auto"/>
        <w:bottom w:val="none" w:sz="0" w:space="0" w:color="auto"/>
        <w:right w:val="none" w:sz="0" w:space="0" w:color="auto"/>
      </w:divBdr>
    </w:div>
    <w:div w:id="1495489361">
      <w:bodyDiv w:val="1"/>
      <w:marLeft w:val="0"/>
      <w:marRight w:val="0"/>
      <w:marTop w:val="0"/>
      <w:marBottom w:val="0"/>
      <w:divBdr>
        <w:top w:val="none" w:sz="0" w:space="0" w:color="auto"/>
        <w:left w:val="none" w:sz="0" w:space="0" w:color="auto"/>
        <w:bottom w:val="none" w:sz="0" w:space="0" w:color="auto"/>
        <w:right w:val="none" w:sz="0" w:space="0" w:color="auto"/>
      </w:divBdr>
    </w:div>
    <w:div w:id="1593927371">
      <w:bodyDiv w:val="1"/>
      <w:marLeft w:val="0"/>
      <w:marRight w:val="0"/>
      <w:marTop w:val="0"/>
      <w:marBottom w:val="0"/>
      <w:divBdr>
        <w:top w:val="none" w:sz="0" w:space="0" w:color="auto"/>
        <w:left w:val="none" w:sz="0" w:space="0" w:color="auto"/>
        <w:bottom w:val="none" w:sz="0" w:space="0" w:color="auto"/>
        <w:right w:val="none" w:sz="0" w:space="0" w:color="auto"/>
      </w:divBdr>
    </w:div>
    <w:div w:id="1598050925">
      <w:bodyDiv w:val="1"/>
      <w:marLeft w:val="0"/>
      <w:marRight w:val="0"/>
      <w:marTop w:val="0"/>
      <w:marBottom w:val="0"/>
      <w:divBdr>
        <w:top w:val="none" w:sz="0" w:space="0" w:color="auto"/>
        <w:left w:val="none" w:sz="0" w:space="0" w:color="auto"/>
        <w:bottom w:val="none" w:sz="0" w:space="0" w:color="auto"/>
        <w:right w:val="none" w:sz="0" w:space="0" w:color="auto"/>
      </w:divBdr>
    </w:div>
    <w:div w:id="1648821701">
      <w:bodyDiv w:val="1"/>
      <w:marLeft w:val="0"/>
      <w:marRight w:val="0"/>
      <w:marTop w:val="0"/>
      <w:marBottom w:val="0"/>
      <w:divBdr>
        <w:top w:val="none" w:sz="0" w:space="0" w:color="auto"/>
        <w:left w:val="none" w:sz="0" w:space="0" w:color="auto"/>
        <w:bottom w:val="none" w:sz="0" w:space="0" w:color="auto"/>
        <w:right w:val="none" w:sz="0" w:space="0" w:color="auto"/>
      </w:divBdr>
    </w:div>
    <w:div w:id="1682318281">
      <w:bodyDiv w:val="1"/>
      <w:marLeft w:val="0"/>
      <w:marRight w:val="0"/>
      <w:marTop w:val="0"/>
      <w:marBottom w:val="0"/>
      <w:divBdr>
        <w:top w:val="none" w:sz="0" w:space="0" w:color="auto"/>
        <w:left w:val="none" w:sz="0" w:space="0" w:color="auto"/>
        <w:bottom w:val="none" w:sz="0" w:space="0" w:color="auto"/>
        <w:right w:val="none" w:sz="0" w:space="0" w:color="auto"/>
      </w:divBdr>
    </w:div>
    <w:div w:id="1689060472">
      <w:bodyDiv w:val="1"/>
      <w:marLeft w:val="0"/>
      <w:marRight w:val="0"/>
      <w:marTop w:val="0"/>
      <w:marBottom w:val="0"/>
      <w:divBdr>
        <w:top w:val="none" w:sz="0" w:space="0" w:color="auto"/>
        <w:left w:val="none" w:sz="0" w:space="0" w:color="auto"/>
        <w:bottom w:val="none" w:sz="0" w:space="0" w:color="auto"/>
        <w:right w:val="none" w:sz="0" w:space="0" w:color="auto"/>
      </w:divBdr>
    </w:div>
    <w:div w:id="1766223158">
      <w:bodyDiv w:val="1"/>
      <w:marLeft w:val="0"/>
      <w:marRight w:val="0"/>
      <w:marTop w:val="0"/>
      <w:marBottom w:val="0"/>
      <w:divBdr>
        <w:top w:val="none" w:sz="0" w:space="0" w:color="auto"/>
        <w:left w:val="none" w:sz="0" w:space="0" w:color="auto"/>
        <w:bottom w:val="none" w:sz="0" w:space="0" w:color="auto"/>
        <w:right w:val="none" w:sz="0" w:space="0" w:color="auto"/>
      </w:divBdr>
    </w:div>
    <w:div w:id="1846095237">
      <w:bodyDiv w:val="1"/>
      <w:marLeft w:val="0"/>
      <w:marRight w:val="0"/>
      <w:marTop w:val="0"/>
      <w:marBottom w:val="0"/>
      <w:divBdr>
        <w:top w:val="none" w:sz="0" w:space="0" w:color="auto"/>
        <w:left w:val="none" w:sz="0" w:space="0" w:color="auto"/>
        <w:bottom w:val="none" w:sz="0" w:space="0" w:color="auto"/>
        <w:right w:val="none" w:sz="0" w:space="0" w:color="auto"/>
      </w:divBdr>
    </w:div>
    <w:div w:id="1857574927">
      <w:bodyDiv w:val="1"/>
      <w:marLeft w:val="0"/>
      <w:marRight w:val="0"/>
      <w:marTop w:val="0"/>
      <w:marBottom w:val="0"/>
      <w:divBdr>
        <w:top w:val="none" w:sz="0" w:space="0" w:color="auto"/>
        <w:left w:val="none" w:sz="0" w:space="0" w:color="auto"/>
        <w:bottom w:val="none" w:sz="0" w:space="0" w:color="auto"/>
        <w:right w:val="none" w:sz="0" w:space="0" w:color="auto"/>
      </w:divBdr>
    </w:div>
    <w:div w:id="1886138050">
      <w:bodyDiv w:val="1"/>
      <w:marLeft w:val="0"/>
      <w:marRight w:val="0"/>
      <w:marTop w:val="0"/>
      <w:marBottom w:val="0"/>
      <w:divBdr>
        <w:top w:val="none" w:sz="0" w:space="0" w:color="auto"/>
        <w:left w:val="none" w:sz="0" w:space="0" w:color="auto"/>
        <w:bottom w:val="none" w:sz="0" w:space="0" w:color="auto"/>
        <w:right w:val="none" w:sz="0" w:space="0" w:color="auto"/>
      </w:divBdr>
    </w:div>
    <w:div w:id="1927689652">
      <w:bodyDiv w:val="1"/>
      <w:marLeft w:val="0"/>
      <w:marRight w:val="0"/>
      <w:marTop w:val="0"/>
      <w:marBottom w:val="0"/>
      <w:divBdr>
        <w:top w:val="none" w:sz="0" w:space="0" w:color="auto"/>
        <w:left w:val="none" w:sz="0" w:space="0" w:color="auto"/>
        <w:bottom w:val="none" w:sz="0" w:space="0" w:color="auto"/>
        <w:right w:val="none" w:sz="0" w:space="0" w:color="auto"/>
      </w:divBdr>
    </w:div>
    <w:div w:id="1979994552">
      <w:bodyDiv w:val="1"/>
      <w:marLeft w:val="0"/>
      <w:marRight w:val="0"/>
      <w:marTop w:val="0"/>
      <w:marBottom w:val="0"/>
      <w:divBdr>
        <w:top w:val="none" w:sz="0" w:space="0" w:color="auto"/>
        <w:left w:val="none" w:sz="0" w:space="0" w:color="auto"/>
        <w:bottom w:val="none" w:sz="0" w:space="0" w:color="auto"/>
        <w:right w:val="none" w:sz="0" w:space="0" w:color="auto"/>
      </w:divBdr>
    </w:div>
    <w:div w:id="1984852318">
      <w:bodyDiv w:val="1"/>
      <w:marLeft w:val="0"/>
      <w:marRight w:val="0"/>
      <w:marTop w:val="0"/>
      <w:marBottom w:val="0"/>
      <w:divBdr>
        <w:top w:val="none" w:sz="0" w:space="0" w:color="auto"/>
        <w:left w:val="none" w:sz="0" w:space="0" w:color="auto"/>
        <w:bottom w:val="none" w:sz="0" w:space="0" w:color="auto"/>
        <w:right w:val="none" w:sz="0" w:space="0" w:color="auto"/>
      </w:divBdr>
    </w:div>
    <w:div w:id="2056999628">
      <w:bodyDiv w:val="1"/>
      <w:marLeft w:val="0"/>
      <w:marRight w:val="0"/>
      <w:marTop w:val="0"/>
      <w:marBottom w:val="0"/>
      <w:divBdr>
        <w:top w:val="none" w:sz="0" w:space="0" w:color="auto"/>
        <w:left w:val="none" w:sz="0" w:space="0" w:color="auto"/>
        <w:bottom w:val="none" w:sz="0" w:space="0" w:color="auto"/>
        <w:right w:val="none" w:sz="0" w:space="0" w:color="auto"/>
      </w:divBdr>
    </w:div>
    <w:div w:id="2106224207">
      <w:bodyDiv w:val="1"/>
      <w:marLeft w:val="0"/>
      <w:marRight w:val="0"/>
      <w:marTop w:val="0"/>
      <w:marBottom w:val="0"/>
      <w:divBdr>
        <w:top w:val="none" w:sz="0" w:space="0" w:color="auto"/>
        <w:left w:val="none" w:sz="0" w:space="0" w:color="auto"/>
        <w:bottom w:val="none" w:sz="0" w:space="0" w:color="auto"/>
        <w:right w:val="none" w:sz="0" w:space="0" w:color="auto"/>
      </w:divBdr>
    </w:div>
    <w:div w:id="211262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hyperlink" Target="mailto:lenka.kuzelova@bcas.cz"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5B8AA-1C9D-4D9A-83F8-224B123CF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1161</Words>
  <Characters>6851</Characters>
  <Application>Microsoft Office Word</Application>
  <DocSecurity>0</DocSecurity>
  <Lines>57</Lines>
  <Paragraphs>15</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8</cp:revision>
  <dcterms:created xsi:type="dcterms:W3CDTF">2024-10-03T14:20:00Z</dcterms:created>
  <dcterms:modified xsi:type="dcterms:W3CDTF">2024-10-08T07:44:00Z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