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14DBE9" w14:textId="6E0639B0" w:rsidR="00677C07" w:rsidRDefault="00677C07">
      <w:pPr>
        <w:rPr>
          <w:highlight w:val="yellow"/>
        </w:rPr>
      </w:pPr>
    </w:p>
    <w:sdt>
      <w:sdtPr>
        <w:rPr>
          <w:highlight w:val="yellow"/>
        </w:rPr>
        <w:id w:val="120037484"/>
        <w:docPartObj>
          <w:docPartGallery w:val="Cover Pages"/>
          <w:docPartUnique/>
        </w:docPartObj>
      </w:sdtPr>
      <w:sdtEndPr>
        <w:rPr>
          <w:rFonts w:ascii="Arial" w:hAnsi="Arial" w:cs="Arial"/>
          <w:sz w:val="20"/>
          <w:szCs w:val="20"/>
        </w:rPr>
      </w:sdtEndPr>
      <w:sdtContent>
        <w:p w14:paraId="7ED014A1" w14:textId="55F827D2" w:rsidR="00D80B6D" w:rsidRPr="00B346ED" w:rsidRDefault="00D80B6D" w:rsidP="00B346ED">
          <w:pPr>
            <w:rPr>
              <w:highlight w:val="yellow"/>
            </w:rPr>
          </w:pPr>
        </w:p>
        <w:p w14:paraId="0FB45B67" w14:textId="77777777" w:rsidR="00D80B6D" w:rsidRPr="007443AD" w:rsidRDefault="00D80B6D" w:rsidP="00D80B6D">
          <w:pPr>
            <w:spacing w:before="230"/>
            <w:ind w:left="165"/>
            <w:jc w:val="center"/>
            <w:rPr>
              <w:rFonts w:asciiTheme="minorHAnsi" w:hAnsiTheme="minorHAnsi" w:cstheme="minorHAnsi"/>
              <w:sz w:val="24"/>
            </w:rPr>
          </w:pPr>
          <w:r w:rsidRPr="007443AD">
            <w:rPr>
              <w:rFonts w:asciiTheme="minorHAnsi" w:hAnsiTheme="minorHAnsi" w:cstheme="minorHAnsi"/>
              <w:b/>
              <w:sz w:val="24"/>
            </w:rPr>
            <w:t>INDEX HYPOTEČNÍCH ÚVĚRŮ</w:t>
          </w:r>
          <w:r w:rsidRPr="007443AD">
            <w:rPr>
              <w:rFonts w:asciiTheme="minorHAnsi" w:hAnsiTheme="minorHAnsi" w:cstheme="minorHAnsi"/>
              <w:sz w:val="24"/>
            </w:rPr>
            <w:t xml:space="preserve"> | </w:t>
          </w:r>
          <w:r w:rsidRPr="007443AD">
            <w:rPr>
              <w:rFonts w:asciiTheme="minorHAnsi" w:hAnsiTheme="minorHAnsi" w:cstheme="minorHAnsi"/>
              <w:b/>
              <w:sz w:val="24"/>
            </w:rPr>
            <w:t xml:space="preserve">FIXINDEX </w:t>
          </w:r>
        </w:p>
        <w:p w14:paraId="03C4DE47" w14:textId="137DE246" w:rsidR="0009776B" w:rsidRDefault="00D80B6D" w:rsidP="005F65A1">
          <w:pPr>
            <w:spacing w:before="230"/>
            <w:ind w:left="165"/>
            <w:jc w:val="center"/>
            <w:rPr>
              <w:rFonts w:asciiTheme="minorHAnsi" w:hAnsiTheme="minorHAnsi" w:cstheme="minorHAnsi"/>
              <w:sz w:val="24"/>
            </w:rPr>
          </w:pPr>
          <w:r w:rsidRPr="007443AD">
            <w:rPr>
              <w:rFonts w:asciiTheme="minorHAnsi" w:hAnsiTheme="minorHAnsi" w:cstheme="minorHAnsi"/>
              <w:sz w:val="24"/>
            </w:rPr>
            <w:t xml:space="preserve">INDEX PODÍLOVÝCH FONDŮ </w:t>
          </w:r>
        </w:p>
        <w:p w14:paraId="5F5E486E" w14:textId="2A454C45" w:rsidR="004B5B94" w:rsidRPr="007443AD" w:rsidRDefault="004B5B94" w:rsidP="005F65A1">
          <w:pPr>
            <w:spacing w:before="230"/>
            <w:ind w:left="165"/>
            <w:jc w:val="center"/>
            <w:rPr>
              <w:rFonts w:asciiTheme="minorHAnsi" w:hAnsiTheme="minorHAnsi" w:cstheme="minorHAnsi"/>
              <w:sz w:val="24"/>
            </w:rPr>
          </w:pPr>
          <w:r>
            <w:rPr>
              <w:rFonts w:asciiTheme="minorHAnsi" w:hAnsiTheme="minorHAnsi" w:cstheme="minorHAnsi"/>
              <w:sz w:val="24"/>
            </w:rPr>
            <w:t>REALINDEX</w:t>
          </w:r>
        </w:p>
        <w:p w14:paraId="32900BCE" w14:textId="5904F9FC" w:rsidR="00D80B6D" w:rsidRPr="007443AD" w:rsidRDefault="00D80B6D" w:rsidP="00D80B6D">
          <w:pPr>
            <w:spacing w:before="230"/>
            <w:ind w:left="165"/>
            <w:jc w:val="center"/>
            <w:rPr>
              <w:rFonts w:asciiTheme="minorHAnsi" w:hAnsiTheme="minorHAnsi" w:cstheme="minorHAnsi"/>
              <w:sz w:val="24"/>
            </w:rPr>
          </w:pPr>
          <w:r w:rsidRPr="007443AD">
            <w:rPr>
              <w:rFonts w:asciiTheme="minorHAnsi" w:hAnsiTheme="minorHAnsi" w:cstheme="minorHAnsi"/>
              <w:sz w:val="24"/>
            </w:rPr>
            <w:t>P</w:t>
          </w:r>
          <w:r w:rsidR="005F65A1" w:rsidRPr="007443AD">
            <w:rPr>
              <w:rFonts w:asciiTheme="minorHAnsi" w:hAnsiTheme="minorHAnsi" w:cstheme="minorHAnsi"/>
              <w:sz w:val="24"/>
            </w:rPr>
            <w:t>OV</w:t>
          </w:r>
          <w:r w:rsidRPr="007443AD">
            <w:rPr>
              <w:rFonts w:asciiTheme="minorHAnsi" w:hAnsiTheme="minorHAnsi" w:cstheme="minorHAnsi"/>
              <w:sz w:val="24"/>
            </w:rPr>
            <w:t xml:space="preserve">INDEX </w:t>
          </w:r>
        </w:p>
        <w:p w14:paraId="5B21B8A6" w14:textId="77777777" w:rsidR="00D80B6D" w:rsidRPr="007443AD" w:rsidRDefault="00D80B6D" w:rsidP="00D80B6D">
          <w:pPr>
            <w:spacing w:before="230"/>
            <w:ind w:left="165"/>
            <w:jc w:val="center"/>
            <w:rPr>
              <w:rFonts w:asciiTheme="minorHAnsi" w:hAnsiTheme="minorHAnsi" w:cstheme="minorHAnsi"/>
              <w:sz w:val="24"/>
            </w:rPr>
          </w:pPr>
          <w:r w:rsidRPr="007443AD">
            <w:rPr>
              <w:rFonts w:asciiTheme="minorHAnsi" w:hAnsiTheme="minorHAnsi" w:cstheme="minorHAnsi"/>
              <w:sz w:val="24"/>
            </w:rPr>
            <w:t xml:space="preserve">INDEX SPOTŘEBITELSKÝCH ÚVĚRŮ  </w:t>
          </w:r>
        </w:p>
        <w:p w14:paraId="720CCDBB" w14:textId="77777777" w:rsidR="00D80B6D" w:rsidRPr="00D84B7D" w:rsidRDefault="00D80B6D" w:rsidP="00D80B6D">
          <w:pPr>
            <w:pStyle w:val="Zkladntext"/>
            <w:spacing w:before="240"/>
            <w:rPr>
              <w:sz w:val="20"/>
              <w:highlight w:val="yellow"/>
            </w:rPr>
          </w:pPr>
        </w:p>
        <w:p w14:paraId="703D71F2" w14:textId="77777777" w:rsidR="00D80B6D" w:rsidRPr="00D84B7D" w:rsidRDefault="00D80B6D" w:rsidP="00D80B6D">
          <w:pPr>
            <w:pStyle w:val="Zkladntext"/>
            <w:rPr>
              <w:sz w:val="20"/>
              <w:highlight w:val="yellow"/>
            </w:rPr>
          </w:pPr>
        </w:p>
        <w:p w14:paraId="00494A3A" w14:textId="77777777" w:rsidR="00D80B6D" w:rsidRPr="00D84B7D" w:rsidRDefault="00D80B6D" w:rsidP="00D80B6D">
          <w:pPr>
            <w:pStyle w:val="Zkladntext"/>
            <w:rPr>
              <w:sz w:val="20"/>
              <w:highlight w:val="yellow"/>
            </w:rPr>
          </w:pPr>
          <w:r w:rsidRPr="00D84B7D">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D84B7D" w:rsidRDefault="00D80B6D" w:rsidP="00D80B6D">
          <w:pPr>
            <w:pStyle w:val="Zkladntext"/>
            <w:rPr>
              <w:sz w:val="20"/>
              <w:highlight w:val="yellow"/>
            </w:rPr>
          </w:pPr>
        </w:p>
        <w:p w14:paraId="2A5F355C" w14:textId="77777777" w:rsidR="00D80B6D" w:rsidRPr="00D84B7D" w:rsidRDefault="00D80B6D" w:rsidP="00D80B6D">
          <w:pPr>
            <w:pStyle w:val="Zkladntext"/>
            <w:rPr>
              <w:sz w:val="20"/>
              <w:highlight w:val="yellow"/>
            </w:rPr>
          </w:pPr>
        </w:p>
        <w:p w14:paraId="218EE6CB" w14:textId="77777777" w:rsidR="00D80B6D" w:rsidRPr="00D84B7D" w:rsidRDefault="00D80B6D" w:rsidP="00D80B6D">
          <w:pPr>
            <w:pStyle w:val="Zkladntext"/>
            <w:rPr>
              <w:sz w:val="20"/>
              <w:highlight w:val="yellow"/>
            </w:rPr>
          </w:pPr>
        </w:p>
        <w:p w14:paraId="0238B3AB" w14:textId="77777777" w:rsidR="00D80B6D" w:rsidRPr="00D84B7D" w:rsidRDefault="00D80B6D" w:rsidP="00D80B6D">
          <w:pPr>
            <w:pStyle w:val="Zkladntext"/>
            <w:rPr>
              <w:sz w:val="20"/>
              <w:highlight w:val="yellow"/>
            </w:rPr>
          </w:pPr>
        </w:p>
        <w:p w14:paraId="54516A42" w14:textId="77777777" w:rsidR="00D80B6D" w:rsidRPr="00D84B7D" w:rsidRDefault="00D80B6D" w:rsidP="00D80B6D">
          <w:pPr>
            <w:pStyle w:val="Zkladntext"/>
            <w:rPr>
              <w:sz w:val="20"/>
              <w:highlight w:val="yellow"/>
            </w:rPr>
          </w:pPr>
        </w:p>
        <w:p w14:paraId="5266363A" w14:textId="77777777" w:rsidR="00D80B6D" w:rsidRPr="00D84B7D" w:rsidRDefault="00D80B6D" w:rsidP="00D80B6D">
          <w:pPr>
            <w:pStyle w:val="Zkladntext"/>
            <w:rPr>
              <w:sz w:val="20"/>
              <w:highlight w:val="yellow"/>
            </w:rPr>
          </w:pPr>
        </w:p>
        <w:p w14:paraId="363B2E28" w14:textId="77777777" w:rsidR="00D80B6D" w:rsidRPr="00D84B7D" w:rsidRDefault="00D80B6D" w:rsidP="00D80B6D">
          <w:pPr>
            <w:pStyle w:val="Zkladntext"/>
            <w:rPr>
              <w:sz w:val="20"/>
              <w:highlight w:val="yellow"/>
            </w:rPr>
          </w:pPr>
        </w:p>
        <w:p w14:paraId="17667B44" w14:textId="77777777" w:rsidR="00D80B6D" w:rsidRPr="00D84B7D" w:rsidRDefault="00D80B6D" w:rsidP="00D80B6D">
          <w:pPr>
            <w:pStyle w:val="Zkladntext"/>
            <w:jc w:val="both"/>
            <w:rPr>
              <w:rFonts w:ascii="Arial" w:hAnsi="Arial" w:cs="Arial"/>
              <w:sz w:val="20"/>
              <w:highlight w:val="yellow"/>
            </w:rPr>
          </w:pPr>
        </w:p>
        <w:p w14:paraId="5193A529" w14:textId="77777777" w:rsidR="00D80B6D" w:rsidRPr="00D84B7D" w:rsidRDefault="00D80B6D" w:rsidP="00D80B6D">
          <w:pPr>
            <w:pStyle w:val="Zkladntext"/>
            <w:jc w:val="both"/>
            <w:rPr>
              <w:rFonts w:ascii="Arial" w:hAnsi="Arial" w:cs="Arial"/>
              <w:b/>
              <w:sz w:val="20"/>
              <w:highlight w:val="yellow"/>
            </w:rPr>
          </w:pPr>
        </w:p>
        <w:p w14:paraId="2833FE59" w14:textId="77777777" w:rsidR="00D80B6D" w:rsidRPr="00D84B7D" w:rsidRDefault="00D80B6D" w:rsidP="00D80B6D">
          <w:pPr>
            <w:pStyle w:val="Zkladntext"/>
            <w:jc w:val="both"/>
            <w:rPr>
              <w:rFonts w:ascii="Arial" w:hAnsi="Arial" w:cs="Arial"/>
              <w:b/>
              <w:sz w:val="20"/>
              <w:highlight w:val="yellow"/>
            </w:rPr>
          </w:pPr>
        </w:p>
        <w:p w14:paraId="6DB157BF" w14:textId="77777777" w:rsidR="00D80B6D" w:rsidRPr="00D84B7D" w:rsidRDefault="00D80B6D" w:rsidP="00D80B6D">
          <w:pPr>
            <w:pStyle w:val="Zkladntext"/>
            <w:jc w:val="both"/>
            <w:rPr>
              <w:rFonts w:ascii="Arial" w:hAnsi="Arial" w:cs="Arial"/>
              <w:b/>
              <w:sz w:val="20"/>
              <w:highlight w:val="yellow"/>
            </w:rPr>
          </w:pPr>
        </w:p>
        <w:p w14:paraId="47803C2A" w14:textId="77777777" w:rsidR="00D80B6D" w:rsidRPr="00D84B7D" w:rsidRDefault="00D80B6D" w:rsidP="00D80B6D">
          <w:pPr>
            <w:pStyle w:val="Zkladntext"/>
            <w:jc w:val="both"/>
            <w:rPr>
              <w:rFonts w:ascii="Arial" w:hAnsi="Arial" w:cs="Arial"/>
              <w:b/>
              <w:sz w:val="20"/>
              <w:highlight w:val="yellow"/>
            </w:rPr>
          </w:pPr>
        </w:p>
        <w:p w14:paraId="1D90E1D0" w14:textId="77777777" w:rsidR="00D80B6D" w:rsidRPr="00D84B7D" w:rsidRDefault="00D80B6D" w:rsidP="00D80B6D">
          <w:pPr>
            <w:pStyle w:val="Zkladntext"/>
            <w:jc w:val="both"/>
            <w:rPr>
              <w:rFonts w:ascii="Arial" w:hAnsi="Arial" w:cs="Arial"/>
              <w:b/>
              <w:sz w:val="20"/>
              <w:highlight w:val="yellow"/>
            </w:rPr>
          </w:pPr>
        </w:p>
        <w:p w14:paraId="5A33B823" w14:textId="77777777" w:rsidR="00D80B6D" w:rsidRPr="00D84B7D" w:rsidRDefault="00D80B6D" w:rsidP="00D80B6D">
          <w:pPr>
            <w:pStyle w:val="Zkladntext"/>
            <w:jc w:val="both"/>
            <w:rPr>
              <w:rFonts w:ascii="Arial" w:hAnsi="Arial" w:cs="Arial"/>
              <w:b/>
              <w:sz w:val="20"/>
              <w:highlight w:val="yellow"/>
            </w:rPr>
          </w:pPr>
        </w:p>
        <w:p w14:paraId="0D2BECD0" w14:textId="77777777" w:rsidR="00D80B6D" w:rsidRPr="00D84B7D" w:rsidRDefault="00D80B6D" w:rsidP="00D80B6D">
          <w:pPr>
            <w:pStyle w:val="Zkladntext"/>
            <w:jc w:val="both"/>
            <w:rPr>
              <w:rFonts w:ascii="Arial" w:hAnsi="Arial" w:cs="Arial"/>
              <w:b/>
              <w:sz w:val="20"/>
              <w:highlight w:val="yellow"/>
            </w:rPr>
          </w:pPr>
        </w:p>
        <w:p w14:paraId="69288FB9" w14:textId="77777777" w:rsidR="00D80B6D" w:rsidRPr="00D84B7D" w:rsidRDefault="00D80B6D" w:rsidP="00D80B6D">
          <w:pPr>
            <w:pStyle w:val="Zkladntext"/>
            <w:jc w:val="both"/>
            <w:rPr>
              <w:rFonts w:ascii="Arial" w:hAnsi="Arial" w:cs="Arial"/>
              <w:b/>
              <w:sz w:val="20"/>
              <w:highlight w:val="yellow"/>
            </w:rPr>
          </w:pPr>
        </w:p>
        <w:p w14:paraId="541E93D5" w14:textId="77777777" w:rsidR="00D80B6D" w:rsidRPr="00D84B7D" w:rsidRDefault="00D80B6D" w:rsidP="00D80B6D">
          <w:pPr>
            <w:pStyle w:val="Zkladntext"/>
            <w:jc w:val="both"/>
            <w:rPr>
              <w:rFonts w:ascii="Arial" w:hAnsi="Arial" w:cs="Arial"/>
              <w:b/>
              <w:sz w:val="20"/>
              <w:highlight w:val="yellow"/>
            </w:rPr>
          </w:pPr>
        </w:p>
        <w:p w14:paraId="341A343C" w14:textId="77777777" w:rsidR="00D80B6D" w:rsidRPr="00D84B7D" w:rsidRDefault="00D80B6D" w:rsidP="00D80B6D">
          <w:pPr>
            <w:pStyle w:val="Zkladntext"/>
            <w:jc w:val="both"/>
            <w:rPr>
              <w:rFonts w:ascii="Arial" w:hAnsi="Arial" w:cs="Arial"/>
              <w:b/>
              <w:sz w:val="20"/>
              <w:highlight w:val="yellow"/>
            </w:rPr>
          </w:pPr>
        </w:p>
        <w:p w14:paraId="6C52C42D" w14:textId="77777777" w:rsidR="00D80B6D" w:rsidRPr="00D84B7D" w:rsidRDefault="00D80B6D" w:rsidP="00D80B6D">
          <w:pPr>
            <w:pStyle w:val="Zkladntext"/>
            <w:jc w:val="both"/>
            <w:rPr>
              <w:rFonts w:ascii="Arial" w:hAnsi="Arial" w:cs="Arial"/>
              <w:b/>
              <w:sz w:val="20"/>
              <w:highlight w:val="yellow"/>
            </w:rPr>
          </w:pPr>
        </w:p>
        <w:p w14:paraId="3E3CDF25" w14:textId="77777777" w:rsidR="00D80B6D" w:rsidRPr="00D84B7D" w:rsidRDefault="00D80B6D" w:rsidP="00D80B6D">
          <w:pPr>
            <w:pStyle w:val="Zkladntext"/>
            <w:jc w:val="both"/>
            <w:rPr>
              <w:rFonts w:ascii="Arial" w:hAnsi="Arial" w:cs="Arial"/>
              <w:b/>
              <w:sz w:val="20"/>
              <w:highlight w:val="yellow"/>
            </w:rPr>
          </w:pPr>
        </w:p>
        <w:p w14:paraId="40495E64" w14:textId="77777777" w:rsidR="00D80B6D" w:rsidRPr="00D84B7D" w:rsidRDefault="00D80B6D" w:rsidP="00D80B6D">
          <w:pPr>
            <w:pStyle w:val="Zkladntext"/>
            <w:jc w:val="both"/>
            <w:rPr>
              <w:rFonts w:ascii="Arial" w:hAnsi="Arial" w:cs="Arial"/>
              <w:b/>
              <w:sz w:val="20"/>
              <w:highlight w:val="yellow"/>
            </w:rPr>
          </w:pPr>
        </w:p>
        <w:p w14:paraId="59B6F4E6" w14:textId="77777777" w:rsidR="00D80B6D" w:rsidRPr="00D84B7D" w:rsidRDefault="00D80B6D" w:rsidP="00D80B6D">
          <w:pPr>
            <w:pStyle w:val="Zkladntext"/>
            <w:jc w:val="both"/>
            <w:rPr>
              <w:rFonts w:ascii="Arial" w:hAnsi="Arial" w:cs="Arial"/>
              <w:b/>
              <w:sz w:val="20"/>
              <w:highlight w:val="yellow"/>
            </w:rPr>
          </w:pPr>
        </w:p>
        <w:p w14:paraId="5ADDFBD6" w14:textId="77777777" w:rsidR="00D80B6D" w:rsidRPr="00D84B7D" w:rsidRDefault="00D80B6D" w:rsidP="00D80B6D">
          <w:pPr>
            <w:pStyle w:val="Zkladntext"/>
            <w:jc w:val="both"/>
            <w:rPr>
              <w:rFonts w:ascii="Arial" w:hAnsi="Arial" w:cs="Arial"/>
              <w:b/>
              <w:sz w:val="20"/>
              <w:highlight w:val="yellow"/>
            </w:rPr>
          </w:pPr>
        </w:p>
        <w:p w14:paraId="1CB27DF8" w14:textId="77777777" w:rsidR="007B358E" w:rsidRPr="00D84B7D" w:rsidRDefault="007B358E" w:rsidP="00D80B6D">
          <w:pPr>
            <w:pStyle w:val="Zkladntext"/>
            <w:jc w:val="both"/>
            <w:rPr>
              <w:rFonts w:ascii="Arial" w:hAnsi="Arial" w:cs="Arial"/>
              <w:b/>
              <w:sz w:val="20"/>
              <w:highlight w:val="yellow"/>
            </w:rPr>
          </w:pPr>
        </w:p>
        <w:p w14:paraId="3A61C564" w14:textId="77777777" w:rsidR="0068617E" w:rsidRPr="00D84B7D" w:rsidRDefault="0068617E" w:rsidP="00D80B6D">
          <w:pPr>
            <w:pStyle w:val="Zkladntext"/>
            <w:jc w:val="both"/>
            <w:rPr>
              <w:rFonts w:ascii="Arial" w:hAnsi="Arial" w:cs="Arial"/>
              <w:b/>
              <w:sz w:val="20"/>
              <w:highlight w:val="yellow"/>
            </w:rPr>
          </w:pPr>
        </w:p>
        <w:p w14:paraId="1414E639" w14:textId="77777777" w:rsidR="0068617E" w:rsidRPr="00D84B7D" w:rsidRDefault="0068617E" w:rsidP="00D80B6D">
          <w:pPr>
            <w:pStyle w:val="Zkladntext"/>
            <w:jc w:val="both"/>
            <w:rPr>
              <w:rFonts w:ascii="Arial" w:hAnsi="Arial" w:cs="Arial"/>
              <w:b/>
              <w:sz w:val="20"/>
              <w:highlight w:val="yellow"/>
            </w:rPr>
          </w:pPr>
        </w:p>
        <w:p w14:paraId="3660AEB6" w14:textId="77777777" w:rsidR="005B7E46" w:rsidRDefault="005B7E46" w:rsidP="00D80B6D">
          <w:pPr>
            <w:pStyle w:val="Zkladntext"/>
            <w:jc w:val="both"/>
            <w:rPr>
              <w:rFonts w:ascii="Arial" w:hAnsi="Arial" w:cs="Arial"/>
              <w:b/>
              <w:sz w:val="20"/>
            </w:rPr>
          </w:pPr>
        </w:p>
        <w:p w14:paraId="51D468A4" w14:textId="77777777" w:rsidR="005B7E46" w:rsidRDefault="005B7E46" w:rsidP="00D80B6D">
          <w:pPr>
            <w:pStyle w:val="Zkladntext"/>
            <w:jc w:val="both"/>
            <w:rPr>
              <w:rFonts w:ascii="Arial" w:hAnsi="Arial" w:cs="Arial"/>
              <w:b/>
              <w:sz w:val="20"/>
            </w:rPr>
          </w:pPr>
        </w:p>
        <w:p w14:paraId="2F2ED302" w14:textId="77777777" w:rsidR="005B7E46" w:rsidRDefault="005B7E46" w:rsidP="00D80B6D">
          <w:pPr>
            <w:pStyle w:val="Zkladntext"/>
            <w:jc w:val="both"/>
            <w:rPr>
              <w:rFonts w:ascii="Arial" w:hAnsi="Arial" w:cs="Arial"/>
              <w:b/>
              <w:sz w:val="20"/>
            </w:rPr>
          </w:pPr>
        </w:p>
        <w:p w14:paraId="6C828C12" w14:textId="77777777" w:rsidR="005B7E46" w:rsidRDefault="005B7E46" w:rsidP="00D80B6D">
          <w:pPr>
            <w:pStyle w:val="Zkladntext"/>
            <w:jc w:val="both"/>
            <w:rPr>
              <w:rFonts w:ascii="Arial" w:hAnsi="Arial" w:cs="Arial"/>
              <w:b/>
              <w:sz w:val="20"/>
            </w:rPr>
          </w:pPr>
        </w:p>
        <w:p w14:paraId="49B23CF7" w14:textId="77777777" w:rsidR="005B7E46" w:rsidRDefault="005B7E46" w:rsidP="00D80B6D">
          <w:pPr>
            <w:pStyle w:val="Zkladntext"/>
            <w:jc w:val="both"/>
            <w:rPr>
              <w:rFonts w:ascii="Arial" w:hAnsi="Arial" w:cs="Arial"/>
              <w:b/>
              <w:sz w:val="20"/>
            </w:rPr>
          </w:pPr>
        </w:p>
        <w:p w14:paraId="17EC9300" w14:textId="77777777" w:rsidR="005B7E46" w:rsidRDefault="005B7E46" w:rsidP="00D80B6D">
          <w:pPr>
            <w:pStyle w:val="Zkladntext"/>
            <w:jc w:val="both"/>
            <w:rPr>
              <w:rFonts w:ascii="Arial" w:hAnsi="Arial" w:cs="Arial"/>
              <w:b/>
              <w:sz w:val="20"/>
            </w:rPr>
          </w:pPr>
        </w:p>
        <w:p w14:paraId="11132A3F" w14:textId="5D367D7A" w:rsidR="00D80B6D" w:rsidRPr="00D84B7D" w:rsidRDefault="00D80B6D" w:rsidP="00D80B6D">
          <w:pPr>
            <w:pStyle w:val="Zkladntext"/>
            <w:jc w:val="both"/>
            <w:rPr>
              <w:rFonts w:ascii="Arial" w:hAnsi="Arial" w:cs="Arial"/>
              <w:b/>
              <w:sz w:val="20"/>
            </w:rPr>
          </w:pPr>
          <w:r w:rsidRPr="00D84B7D">
            <w:rPr>
              <w:rFonts w:ascii="Arial" w:hAnsi="Arial" w:cs="Arial"/>
              <w:b/>
              <w:sz w:val="20"/>
            </w:rPr>
            <w:t>O společnosti Broker Consulting</w:t>
          </w:r>
        </w:p>
        <w:p w14:paraId="27485CC6" w14:textId="77777777" w:rsidR="00D80B6D" w:rsidRPr="005B7E46" w:rsidRDefault="00D80B6D" w:rsidP="00D80B6D">
          <w:pPr>
            <w:jc w:val="both"/>
            <w:rPr>
              <w:rFonts w:asciiTheme="minorHAnsi" w:hAnsiTheme="minorHAnsi" w:cstheme="minorHAnsi"/>
              <w:sz w:val="20"/>
              <w:szCs w:val="20"/>
            </w:rPr>
          </w:pPr>
        </w:p>
        <w:p w14:paraId="08070DCC" w14:textId="1339148C" w:rsidR="00792EE9" w:rsidRPr="005B7E46" w:rsidRDefault="00792EE9" w:rsidP="00792EE9">
          <w:pPr>
            <w:jc w:val="both"/>
            <w:rPr>
              <w:rStyle w:val="dn"/>
              <w:rFonts w:asciiTheme="minorHAnsi" w:hAnsiTheme="minorHAnsi" w:cstheme="minorHAnsi"/>
              <w:sz w:val="20"/>
              <w:szCs w:val="20"/>
            </w:rPr>
          </w:pPr>
          <w:r w:rsidRPr="005B7E46">
            <w:rPr>
              <w:rFonts w:asciiTheme="minorHAnsi" w:hAnsiTheme="minorHAnsi" w:cstheme="minorHAnsi"/>
              <w:sz w:val="20"/>
              <w:szCs w:val="20"/>
            </w:rPr>
            <w:t>Broker Consulting je jednou z největších společností na českém a slovenském trhu, která poskytuje služby v oblasti financí a realit. Od rok</w:t>
          </w:r>
          <w:r w:rsidR="001734B4">
            <w:rPr>
              <w:rFonts w:asciiTheme="minorHAnsi" w:hAnsiTheme="minorHAnsi" w:cstheme="minorHAnsi"/>
              <w:sz w:val="20"/>
              <w:szCs w:val="20"/>
            </w:rPr>
            <w:t>u 1998 získala důvěru více než 7</w:t>
          </w:r>
          <w:r w:rsidRPr="005B7E46">
            <w:rPr>
              <w:rFonts w:asciiTheme="minorHAnsi" w:hAnsiTheme="minorHAnsi" w:cstheme="minorHAnsi"/>
              <w:sz w:val="20"/>
              <w:szCs w:val="20"/>
            </w:rPr>
            <w:t>00 000 klientů. Poskytuje také služby přes 4 000 firmám. Distribuci služeb zajišťuje přibližně 2 000 konzultantů (profesionální konzultanti, zaměstnanci, konzultanti v zapracování v ČR i SR</w:t>
          </w:r>
          <w:r w:rsidR="00B8133C">
            <w:rPr>
              <w:rFonts w:asciiTheme="minorHAnsi" w:hAnsiTheme="minorHAnsi" w:cstheme="minorHAnsi"/>
              <w:sz w:val="20"/>
              <w:szCs w:val="20"/>
            </w:rPr>
            <w:t>) ve více než 150 kancelářích</w:t>
          </w:r>
          <w:r w:rsidR="00CD6257" w:rsidRPr="005B7E46">
            <w:rPr>
              <w:rFonts w:asciiTheme="minorHAnsi" w:hAnsiTheme="minorHAnsi" w:cstheme="minorHAnsi"/>
              <w:sz w:val="20"/>
              <w:szCs w:val="20"/>
            </w:rPr>
            <w:t xml:space="preserve"> </w:t>
          </w:r>
          <w:r w:rsidR="00B8133C">
            <w:rPr>
              <w:rFonts w:asciiTheme="minorHAnsi" w:hAnsiTheme="minorHAnsi" w:cstheme="minorHAnsi"/>
              <w:sz w:val="20"/>
              <w:szCs w:val="20"/>
            </w:rPr>
            <w:t>a na několika desítkách poboček</w:t>
          </w:r>
          <w:r w:rsidR="00B2198E">
            <w:rPr>
              <w:rFonts w:asciiTheme="minorHAnsi" w:hAnsiTheme="minorHAnsi" w:cstheme="minorHAnsi"/>
              <w:sz w:val="20"/>
              <w:szCs w:val="20"/>
            </w:rPr>
            <w:t xml:space="preserve"> Broker Point Premium</w:t>
          </w:r>
          <w:r w:rsidRPr="005B7E46">
            <w:rPr>
              <w:rFonts w:asciiTheme="minorHAnsi" w:hAnsiTheme="minorHAnsi" w:cstheme="minorHAnsi"/>
              <w:sz w:val="20"/>
              <w:szCs w:val="20"/>
            </w:rPr>
            <w: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w:t>
          </w:r>
          <w:r w:rsidR="00B2198E">
            <w:rPr>
              <w:rFonts w:asciiTheme="minorHAnsi" w:hAnsiTheme="minorHAnsi" w:cstheme="minorHAnsi"/>
              <w:sz w:val="20"/>
              <w:szCs w:val="20"/>
            </w:rPr>
            <w:t xml:space="preserve"> služby společně, to je Broker Point Premium</w:t>
          </w:r>
          <w:r w:rsidR="004D6BA6">
            <w:rPr>
              <w:rFonts w:asciiTheme="minorHAnsi" w:hAnsiTheme="minorHAnsi" w:cstheme="minorHAnsi"/>
              <w:sz w:val="20"/>
              <w:szCs w:val="20"/>
            </w:rPr>
            <w:t>,</w:t>
          </w:r>
          <w:r w:rsidR="00961519" w:rsidRPr="00961519">
            <w:rPr>
              <w:rFonts w:asciiTheme="minorHAnsi" w:hAnsiTheme="minorHAnsi" w:cstheme="minorHAnsi"/>
              <w:sz w:val="20"/>
              <w:szCs w:val="20"/>
            </w:rPr>
            <w:t xml:space="preserve"> </w:t>
          </w:r>
          <w:r w:rsidR="00961519">
            <w:rPr>
              <w:rFonts w:asciiTheme="minorHAnsi" w:hAnsiTheme="minorHAnsi" w:cstheme="minorHAnsi"/>
              <w:sz w:val="20"/>
              <w:szCs w:val="20"/>
            </w:rPr>
            <w:t xml:space="preserve">jehož přináší společnost Broker Consulting, která za vedení franšízy a její podporu získala ocenění </w:t>
          </w:r>
          <w:r w:rsidR="00961519" w:rsidRPr="00A0680F">
            <w:rPr>
              <w:rFonts w:asciiTheme="minorHAnsi" w:hAnsiTheme="minorHAnsi" w:cstheme="minorHAnsi"/>
              <w:b/>
              <w:color w:val="FF0000"/>
              <w:sz w:val="20"/>
              <w:szCs w:val="20"/>
            </w:rPr>
            <w:t>Franchisor roku 2022</w:t>
          </w:r>
          <w:r w:rsidR="00961519" w:rsidRPr="00A0680F">
            <w:rPr>
              <w:rFonts w:asciiTheme="minorHAnsi" w:hAnsiTheme="minorHAnsi" w:cstheme="minorHAnsi"/>
              <w:color w:val="FF0000"/>
              <w:sz w:val="20"/>
              <w:szCs w:val="20"/>
            </w:rPr>
            <w:t xml:space="preserve"> </w:t>
          </w:r>
          <w:r w:rsidR="00961519">
            <w:rPr>
              <w:rFonts w:asciiTheme="minorHAnsi" w:hAnsiTheme="minorHAnsi" w:cstheme="minorHAnsi"/>
              <w:sz w:val="20"/>
              <w:szCs w:val="20"/>
            </w:rPr>
            <w:t>od České asociace franchisingu</w:t>
          </w:r>
          <w:r w:rsidR="008D373A" w:rsidRPr="005B7E46">
            <w:rPr>
              <w:rFonts w:asciiTheme="minorHAnsi" w:hAnsiTheme="minorHAnsi" w:cstheme="minorHAnsi"/>
              <w:sz w:val="20"/>
              <w:szCs w:val="20"/>
            </w:rPr>
            <w:t xml:space="preserve">. </w:t>
          </w:r>
          <w:r w:rsidRPr="005B7E46">
            <w:rPr>
              <w:rStyle w:val="dn"/>
              <w:rFonts w:asciiTheme="minorHAnsi" w:hAnsiTheme="minorHAnsi" w:cstheme="minorHAnsi"/>
              <w:sz w:val="20"/>
              <w:szCs w:val="20"/>
            </w:rPr>
            <w:t xml:space="preserve">Více na </w:t>
          </w:r>
          <w:hyperlink r:id="rId9" w:history="1">
            <w:r w:rsidR="007B232E" w:rsidRPr="005B7E46">
              <w:rPr>
                <w:rStyle w:val="Hypertextovodkaz"/>
                <w:rFonts w:asciiTheme="minorHAnsi" w:hAnsiTheme="minorHAnsi" w:cstheme="minorHAnsi"/>
                <w:color w:val="auto"/>
                <w:sz w:val="20"/>
                <w:szCs w:val="20"/>
              </w:rPr>
              <w:t>bcas.cz</w:t>
            </w:r>
          </w:hyperlink>
          <w:r w:rsidRPr="005B7E46">
            <w:rPr>
              <w:rStyle w:val="Hypertextovodkaz"/>
              <w:rFonts w:asciiTheme="minorHAnsi" w:hAnsiTheme="minorHAnsi" w:cstheme="minorHAnsi"/>
              <w:color w:val="auto"/>
              <w:sz w:val="20"/>
              <w:szCs w:val="20"/>
              <w:u w:val="none"/>
            </w:rPr>
            <w:t xml:space="preserve">, </w:t>
          </w:r>
          <w:hyperlink r:id="rId10" w:history="1">
            <w:r w:rsidR="00B2198E">
              <w:rPr>
                <w:rStyle w:val="Hypertextovodkaz"/>
                <w:rFonts w:asciiTheme="minorHAnsi" w:hAnsiTheme="minorHAnsi" w:cstheme="minorHAnsi"/>
                <w:color w:val="auto"/>
                <w:sz w:val="20"/>
                <w:szCs w:val="20"/>
              </w:rPr>
              <w:t>brokerpointy</w:t>
            </w:r>
            <w:r w:rsidR="007B232E" w:rsidRPr="005B7E46">
              <w:rPr>
                <w:rStyle w:val="Hypertextovodkaz"/>
                <w:rFonts w:asciiTheme="minorHAnsi" w:hAnsiTheme="minorHAnsi" w:cstheme="minorHAnsi"/>
                <w:color w:val="auto"/>
                <w:sz w:val="20"/>
                <w:szCs w:val="20"/>
              </w:rPr>
              <w:t>.cz</w:t>
            </w:r>
          </w:hyperlink>
          <w:r w:rsidR="007B232E" w:rsidRPr="005B7E46">
            <w:rPr>
              <w:rStyle w:val="Hypertextovodkaz"/>
              <w:rFonts w:asciiTheme="minorHAnsi" w:hAnsiTheme="minorHAnsi" w:cstheme="minorHAnsi"/>
              <w:color w:val="auto"/>
              <w:sz w:val="20"/>
              <w:szCs w:val="20"/>
              <w:u w:val="none"/>
            </w:rPr>
            <w:t xml:space="preserve">, </w:t>
          </w:r>
          <w:r w:rsidR="00B2198E">
            <w:rPr>
              <w:rStyle w:val="Hypertextovodkaz"/>
              <w:rFonts w:asciiTheme="minorHAnsi" w:hAnsiTheme="minorHAnsi" w:cstheme="minorHAnsi"/>
              <w:color w:val="auto"/>
              <w:sz w:val="20"/>
              <w:szCs w:val="20"/>
              <w:u w:val="none"/>
            </w:rPr>
            <w:t>brokerpoint</w:t>
          </w:r>
          <w:hyperlink r:id="rId11" w:history="1">
            <w:r w:rsidR="007B232E" w:rsidRPr="005B7E46">
              <w:rPr>
                <w:rStyle w:val="Hypertextovodkaz"/>
                <w:rFonts w:asciiTheme="minorHAnsi" w:hAnsiTheme="minorHAnsi" w:cstheme="minorHAnsi"/>
                <w:color w:val="auto"/>
                <w:sz w:val="20"/>
                <w:szCs w:val="20"/>
              </w:rPr>
              <w:t>.tv</w:t>
            </w:r>
          </w:hyperlink>
          <w:r w:rsidRPr="005B7E46">
            <w:rPr>
              <w:rStyle w:val="dn"/>
              <w:rFonts w:asciiTheme="minorHAnsi" w:hAnsiTheme="minorHAnsi" w:cstheme="minorHAnsi"/>
              <w:sz w:val="20"/>
              <w:szCs w:val="20"/>
            </w:rPr>
            <w:t xml:space="preserve"> a na </w:t>
          </w:r>
          <w:hyperlink r:id="rId12" w:history="1">
            <w:r w:rsidRPr="005B7E46">
              <w:rPr>
                <w:rStyle w:val="Hypertextovodkaz"/>
                <w:rFonts w:asciiTheme="minorHAnsi" w:hAnsiTheme="minorHAnsi" w:cstheme="minorHAnsi"/>
                <w:color w:val="auto"/>
                <w:sz w:val="20"/>
                <w:szCs w:val="20"/>
              </w:rPr>
              <w:t>realityspolu.cz</w:t>
            </w:r>
          </w:hyperlink>
          <w:r w:rsidR="007B232E" w:rsidRPr="005B7E46">
            <w:rPr>
              <w:rStyle w:val="Hypertextovodkaz"/>
              <w:rFonts w:asciiTheme="minorHAnsi" w:hAnsiTheme="minorHAnsi" w:cstheme="minorHAnsi"/>
              <w:color w:val="auto"/>
              <w:sz w:val="20"/>
              <w:szCs w:val="20"/>
              <w:u w:val="none"/>
            </w:rPr>
            <w:t xml:space="preserve">. </w:t>
          </w:r>
          <w:r w:rsidRPr="005B7E46">
            <w:rPr>
              <w:rStyle w:val="dn"/>
              <w:rFonts w:asciiTheme="minorHAnsi" w:hAnsiTheme="minorHAnsi" w:cstheme="minorHAnsi"/>
              <w:sz w:val="20"/>
              <w:szCs w:val="20"/>
            </w:rPr>
            <w:t xml:space="preserve">Navštivte také náš </w:t>
          </w:r>
          <w:hyperlink r:id="rId13" w:history="1">
            <w:r w:rsidRPr="005B7E46">
              <w:rPr>
                <w:rStyle w:val="Hypertextovodkaz"/>
                <w:rFonts w:asciiTheme="minorHAnsi" w:hAnsiTheme="minorHAnsi" w:cstheme="minorHAnsi"/>
                <w:color w:val="auto"/>
                <w:sz w:val="20"/>
                <w:szCs w:val="20"/>
              </w:rPr>
              <w:t>Facebook</w:t>
            </w:r>
          </w:hyperlink>
          <w:r w:rsidR="005B7E46" w:rsidRPr="005B7E46">
            <w:rPr>
              <w:rStyle w:val="dn"/>
              <w:rFonts w:asciiTheme="minorHAnsi" w:hAnsiTheme="minorHAnsi" w:cstheme="minorHAnsi"/>
              <w:sz w:val="20"/>
              <w:szCs w:val="20"/>
            </w:rPr>
            <w:t xml:space="preserve">, </w:t>
          </w:r>
          <w:hyperlink r:id="rId14" w:history="1">
            <w:r w:rsidRPr="005B7E46">
              <w:rPr>
                <w:rStyle w:val="Hypertextovodkaz"/>
                <w:rFonts w:asciiTheme="minorHAnsi" w:hAnsiTheme="minorHAnsi" w:cstheme="minorHAnsi"/>
                <w:color w:val="auto"/>
                <w:sz w:val="20"/>
                <w:szCs w:val="20"/>
              </w:rPr>
              <w:t>LinkedIN</w:t>
            </w:r>
          </w:hyperlink>
          <w:r w:rsidR="005B7E46" w:rsidRPr="005B7E46">
            <w:rPr>
              <w:rStyle w:val="dn"/>
              <w:rFonts w:asciiTheme="minorHAnsi" w:hAnsiTheme="minorHAnsi" w:cstheme="minorHAnsi"/>
              <w:sz w:val="20"/>
              <w:szCs w:val="20"/>
            </w:rPr>
            <w:t xml:space="preserve"> Broker Consulting, Twitter </w:t>
          </w:r>
          <w:r w:rsidR="005B7E46" w:rsidRPr="005B7E46">
            <w:rPr>
              <w:rFonts w:asciiTheme="minorHAnsi" w:hAnsiTheme="minorHAnsi" w:cstheme="minorHAnsi"/>
              <w:sz w:val="20"/>
              <w:szCs w:val="20"/>
              <w:shd w:val="clear" w:color="auto" w:fill="FFFFFF"/>
            </w:rPr>
            <w:t xml:space="preserve">@BC_oficialni, </w:t>
          </w:r>
          <w:r w:rsidRPr="005B7E46">
            <w:rPr>
              <w:rStyle w:val="dn"/>
              <w:rFonts w:asciiTheme="minorHAnsi" w:hAnsiTheme="minorHAnsi" w:cstheme="minorHAnsi"/>
              <w:sz w:val="20"/>
              <w:szCs w:val="20"/>
            </w:rPr>
            <w:t xml:space="preserve"> </w:t>
          </w:r>
          <w:hyperlink r:id="rId15" w:history="1">
            <w:r w:rsidRPr="005B7E46">
              <w:rPr>
                <w:rStyle w:val="Hypertextovodkaz"/>
                <w:rFonts w:asciiTheme="minorHAnsi" w:hAnsiTheme="minorHAnsi" w:cstheme="minorHAnsi"/>
                <w:color w:val="auto"/>
                <w:sz w:val="20"/>
                <w:szCs w:val="20"/>
              </w:rPr>
              <w:t>Facebook</w:t>
            </w:r>
          </w:hyperlink>
          <w:r w:rsidRPr="005B7E46">
            <w:rPr>
              <w:rStyle w:val="dn"/>
              <w:rFonts w:asciiTheme="minorHAnsi" w:hAnsiTheme="minorHAnsi" w:cstheme="minorHAnsi"/>
              <w:sz w:val="20"/>
              <w:szCs w:val="20"/>
            </w:rPr>
            <w:t xml:space="preserve"> a </w:t>
          </w:r>
          <w:hyperlink r:id="rId16" w:history="1">
            <w:r w:rsidRPr="005B7E46">
              <w:rPr>
                <w:rStyle w:val="Hypertextovodkaz"/>
                <w:rFonts w:asciiTheme="minorHAnsi" w:hAnsiTheme="minorHAnsi" w:cstheme="minorHAnsi"/>
                <w:color w:val="auto"/>
                <w:sz w:val="20"/>
                <w:szCs w:val="20"/>
              </w:rPr>
              <w:t>LinkedI</w:t>
            </w:r>
          </w:hyperlink>
          <w:r w:rsidRPr="005B7E46">
            <w:rPr>
              <w:rStyle w:val="Hypertextovodkaz"/>
              <w:rFonts w:asciiTheme="minorHAnsi" w:hAnsiTheme="minorHAnsi" w:cstheme="minorHAnsi"/>
              <w:color w:val="auto"/>
              <w:sz w:val="20"/>
              <w:szCs w:val="20"/>
            </w:rPr>
            <w:t>N</w:t>
          </w:r>
          <w:r w:rsidR="00B2198E">
            <w:rPr>
              <w:rStyle w:val="dn"/>
              <w:rFonts w:asciiTheme="minorHAnsi" w:hAnsiTheme="minorHAnsi" w:cstheme="minorHAnsi"/>
              <w:sz w:val="20"/>
              <w:szCs w:val="20"/>
            </w:rPr>
            <w:t xml:space="preserve"> Broker Point Premium</w:t>
          </w:r>
          <w:r w:rsidRPr="005B7E46">
            <w:rPr>
              <w:rStyle w:val="dn"/>
              <w:rFonts w:asciiTheme="minorHAnsi" w:hAnsiTheme="minorHAnsi" w:cstheme="minorHAnsi"/>
              <w:sz w:val="20"/>
              <w:szCs w:val="20"/>
            </w:rPr>
            <w:t xml:space="preserve">. </w:t>
          </w:r>
        </w:p>
        <w:p w14:paraId="3F0EC976" w14:textId="3496D289" w:rsidR="00D80B6D" w:rsidRPr="006545F8" w:rsidRDefault="00D80B6D" w:rsidP="0068617E">
          <w:pPr>
            <w:pStyle w:val="Zkladntext"/>
            <w:jc w:val="both"/>
            <w:rPr>
              <w:rFonts w:ascii="Arial" w:hAnsi="Arial" w:cs="Arial"/>
              <w:sz w:val="20"/>
              <w:highlight w:val="yellow"/>
            </w:rPr>
            <w:sectPr w:rsidR="00D80B6D" w:rsidRPr="006545F8" w:rsidSect="00D80B6D">
              <w:headerReference w:type="even" r:id="rId17"/>
              <w:headerReference w:type="default" r:id="rId18"/>
              <w:footerReference w:type="even" r:id="rId19"/>
              <w:footerReference w:type="default" r:id="rId20"/>
              <w:headerReference w:type="first" r:id="rId21"/>
              <w:footerReference w:type="first" r:id="rId22"/>
              <w:pgSz w:w="11910" w:h="16840"/>
              <w:pgMar w:top="960" w:right="740" w:bottom="0" w:left="720" w:header="708" w:footer="708" w:gutter="0"/>
              <w:cols w:space="708"/>
            </w:sectPr>
          </w:pPr>
        </w:p>
        <w:p w14:paraId="35539C65" w14:textId="0F6CA0E6" w:rsidR="00D31127" w:rsidRPr="006545F8" w:rsidRDefault="00CE1E44" w:rsidP="0025264B">
          <w:pPr>
            <w:rPr>
              <w:rFonts w:ascii="Arial" w:hAnsi="Arial" w:cs="Arial"/>
              <w:sz w:val="20"/>
              <w:szCs w:val="20"/>
              <w:highlight w:val="yellow"/>
            </w:rPr>
            <w:sectPr w:rsidR="00D31127" w:rsidRPr="006545F8" w:rsidSect="00D80B6D">
              <w:headerReference w:type="even" r:id="rId23"/>
              <w:headerReference w:type="default" r:id="rId24"/>
              <w:footerReference w:type="even" r:id="rId25"/>
              <w:footerReference w:type="default" r:id="rId26"/>
              <w:headerReference w:type="first" r:id="rId27"/>
              <w:footerReference w:type="first" r:id="rId28"/>
              <w:pgSz w:w="11910" w:h="16840"/>
              <w:pgMar w:top="1418" w:right="740" w:bottom="420" w:left="720" w:header="340" w:footer="223" w:gutter="0"/>
              <w:pgNumType w:start="0"/>
              <w:cols w:space="708"/>
              <w:titlePg/>
              <w:docGrid w:linePitch="299"/>
            </w:sectPr>
          </w:pPr>
        </w:p>
      </w:sdtContent>
    </w:sdt>
    <w:p w14:paraId="305A0D43" w14:textId="04557B34" w:rsidR="00EC65E8" w:rsidRPr="0017296F" w:rsidRDefault="00850C6E" w:rsidP="00EC65E8">
      <w:pPr>
        <w:pStyle w:val="Odstavecseseznamem"/>
        <w:spacing w:after="240"/>
        <w:ind w:left="720" w:firstLine="0"/>
        <w:jc w:val="center"/>
        <w:rPr>
          <w:rFonts w:asciiTheme="minorHAnsi" w:hAnsiTheme="minorHAnsi" w:cstheme="minorHAnsi"/>
          <w:b/>
          <w:sz w:val="24"/>
          <w:szCs w:val="24"/>
        </w:rPr>
      </w:pPr>
      <w:r>
        <w:rPr>
          <w:rFonts w:asciiTheme="minorHAnsi" w:hAnsiTheme="minorHAnsi" w:cstheme="minorHAnsi"/>
          <w:b/>
          <w:sz w:val="24"/>
          <w:szCs w:val="24"/>
        </w:rPr>
        <w:lastRenderedPageBreak/>
        <w:t>Průměrná úroková sazba se u hypotečních úvěrů drží stále nad pěti procenty</w:t>
      </w:r>
    </w:p>
    <w:p w14:paraId="300D2A91" w14:textId="489F1A97" w:rsidR="005504A7" w:rsidRDefault="00850C6E" w:rsidP="00BA2A8A">
      <w:pPr>
        <w:pStyle w:val="Bezmezer"/>
        <w:numPr>
          <w:ilvl w:val="0"/>
          <w:numId w:val="14"/>
        </w:numPr>
        <w:jc w:val="both"/>
        <w:rPr>
          <w:rFonts w:eastAsiaTheme="minorHAnsi" w:cstheme="minorHAnsi"/>
          <w:b/>
          <w:color w:val="000000" w:themeColor="text1"/>
        </w:rPr>
      </w:pPr>
      <w:r>
        <w:rPr>
          <w:rFonts w:eastAsiaTheme="minorHAnsi" w:cstheme="minorHAnsi"/>
          <w:b/>
          <w:color w:val="000000" w:themeColor="text1"/>
        </w:rPr>
        <w:t>Hypoteční sazby klesly v předchozím měsíci</w:t>
      </w:r>
      <w:bookmarkStart w:id="0" w:name="_GoBack"/>
      <w:bookmarkEnd w:id="0"/>
      <w:r>
        <w:rPr>
          <w:rFonts w:eastAsiaTheme="minorHAnsi" w:cstheme="minorHAnsi"/>
          <w:b/>
          <w:color w:val="000000" w:themeColor="text1"/>
        </w:rPr>
        <w:t xml:space="preserve"> jen neznatelně.</w:t>
      </w:r>
    </w:p>
    <w:p w14:paraId="6FB0799F" w14:textId="3324D72C" w:rsidR="009D4B75" w:rsidRDefault="009D4B75" w:rsidP="00BA2A8A">
      <w:pPr>
        <w:pStyle w:val="Bezmezer"/>
        <w:numPr>
          <w:ilvl w:val="0"/>
          <w:numId w:val="14"/>
        </w:numPr>
        <w:jc w:val="both"/>
        <w:rPr>
          <w:rFonts w:eastAsiaTheme="minorHAnsi" w:cstheme="minorHAnsi"/>
          <w:b/>
          <w:color w:val="000000" w:themeColor="text1"/>
        </w:rPr>
      </w:pPr>
      <w:r>
        <w:rPr>
          <w:rFonts w:eastAsiaTheme="minorHAnsi" w:cstheme="minorHAnsi"/>
          <w:b/>
          <w:color w:val="000000" w:themeColor="text1"/>
        </w:rPr>
        <w:t>Zájem o hypotéky roste navzdory sazbě, která činila v září 5,11 procenta.</w:t>
      </w:r>
    </w:p>
    <w:p w14:paraId="24ACDC27" w14:textId="4E93FFDD" w:rsidR="00BA2A8A" w:rsidRPr="00BA2A8A" w:rsidRDefault="008955F6" w:rsidP="00BA2A8A">
      <w:pPr>
        <w:pStyle w:val="Bezmezer"/>
        <w:numPr>
          <w:ilvl w:val="0"/>
          <w:numId w:val="14"/>
        </w:numPr>
        <w:jc w:val="both"/>
        <w:rPr>
          <w:rFonts w:eastAsiaTheme="minorHAnsi" w:cstheme="minorHAnsi"/>
          <w:b/>
          <w:color w:val="000000" w:themeColor="text1"/>
        </w:rPr>
      </w:pPr>
      <w:r>
        <w:rPr>
          <w:rFonts w:eastAsiaTheme="minorHAnsi" w:cstheme="minorHAnsi"/>
          <w:b/>
          <w:color w:val="000000" w:themeColor="text1"/>
        </w:rPr>
        <w:t>Banky po nedávných povodních nabízí pomoc.</w:t>
      </w:r>
    </w:p>
    <w:p w14:paraId="78878F7C" w14:textId="77777777" w:rsidR="00164598" w:rsidRPr="009D6924" w:rsidRDefault="00164598" w:rsidP="00500925">
      <w:pPr>
        <w:jc w:val="both"/>
        <w:rPr>
          <w:rFonts w:asciiTheme="minorHAnsi" w:hAnsiTheme="minorHAnsi" w:cstheme="minorHAnsi"/>
          <w:b/>
          <w:i/>
          <w:sz w:val="21"/>
          <w:szCs w:val="21"/>
        </w:rPr>
      </w:pPr>
    </w:p>
    <w:p w14:paraId="348338A4" w14:textId="77777777" w:rsidR="00E2695D" w:rsidRDefault="00E2695D" w:rsidP="00524713">
      <w:pPr>
        <w:jc w:val="both"/>
        <w:rPr>
          <w:rFonts w:asciiTheme="minorHAnsi" w:hAnsiTheme="minorHAnsi" w:cstheme="minorHAnsi"/>
          <w:i/>
          <w:sz w:val="21"/>
          <w:szCs w:val="21"/>
        </w:rPr>
      </w:pPr>
    </w:p>
    <w:p w14:paraId="0244C0BC" w14:textId="3C4B338E" w:rsidR="008955F6" w:rsidRPr="00553731" w:rsidRDefault="002B4265" w:rsidP="00553731">
      <w:pPr>
        <w:jc w:val="both"/>
        <w:rPr>
          <w:rFonts w:asciiTheme="minorHAnsi" w:hAnsiTheme="minorHAnsi" w:cstheme="minorHAnsi"/>
          <w:b/>
          <w:sz w:val="21"/>
          <w:szCs w:val="21"/>
        </w:rPr>
      </w:pPr>
      <w:r w:rsidRPr="00553731">
        <w:rPr>
          <w:rFonts w:asciiTheme="minorHAnsi" w:hAnsiTheme="minorHAnsi" w:cstheme="minorHAnsi"/>
          <w:i/>
          <w:sz w:val="21"/>
          <w:szCs w:val="21"/>
        </w:rPr>
        <w:t xml:space="preserve">Praha, </w:t>
      </w:r>
      <w:r w:rsidR="00553731">
        <w:rPr>
          <w:rFonts w:asciiTheme="minorHAnsi" w:hAnsiTheme="minorHAnsi" w:cstheme="minorHAnsi"/>
          <w:i/>
          <w:sz w:val="21"/>
          <w:szCs w:val="21"/>
        </w:rPr>
        <w:t>2</w:t>
      </w:r>
      <w:r w:rsidR="00241DC1" w:rsidRPr="00553731">
        <w:rPr>
          <w:rFonts w:asciiTheme="minorHAnsi" w:hAnsiTheme="minorHAnsi" w:cstheme="minorHAnsi"/>
          <w:i/>
          <w:sz w:val="21"/>
          <w:szCs w:val="21"/>
        </w:rPr>
        <w:t>.</w:t>
      </w:r>
      <w:r w:rsidR="005504A7" w:rsidRPr="00553731">
        <w:rPr>
          <w:rFonts w:asciiTheme="minorHAnsi" w:hAnsiTheme="minorHAnsi" w:cstheme="minorHAnsi"/>
          <w:i/>
          <w:sz w:val="21"/>
          <w:szCs w:val="21"/>
        </w:rPr>
        <w:t xml:space="preserve"> října</w:t>
      </w:r>
      <w:r w:rsidR="00241DC1" w:rsidRPr="00553731">
        <w:rPr>
          <w:rFonts w:asciiTheme="minorHAnsi" w:hAnsiTheme="minorHAnsi" w:cstheme="minorHAnsi"/>
          <w:i/>
          <w:sz w:val="21"/>
          <w:szCs w:val="21"/>
        </w:rPr>
        <w:t xml:space="preserve"> </w:t>
      </w:r>
      <w:r w:rsidR="000878FB" w:rsidRPr="00553731">
        <w:rPr>
          <w:rFonts w:asciiTheme="minorHAnsi" w:hAnsiTheme="minorHAnsi" w:cstheme="minorHAnsi"/>
          <w:i/>
          <w:sz w:val="21"/>
          <w:szCs w:val="21"/>
        </w:rPr>
        <w:t>2024</w:t>
      </w:r>
      <w:r w:rsidR="000878FB" w:rsidRPr="00553731">
        <w:rPr>
          <w:rFonts w:asciiTheme="minorHAnsi" w:hAnsiTheme="minorHAnsi" w:cstheme="minorHAnsi"/>
          <w:b/>
          <w:i/>
          <w:sz w:val="21"/>
          <w:szCs w:val="21"/>
        </w:rPr>
        <w:t xml:space="preserve"> </w:t>
      </w:r>
      <w:r w:rsidR="00281DB8" w:rsidRPr="00553731">
        <w:rPr>
          <w:rFonts w:asciiTheme="minorHAnsi" w:hAnsiTheme="minorHAnsi" w:cstheme="minorHAnsi"/>
          <w:b/>
          <w:i/>
          <w:sz w:val="21"/>
          <w:szCs w:val="21"/>
        </w:rPr>
        <w:t>–</w:t>
      </w:r>
      <w:r w:rsidR="00E92775" w:rsidRPr="00553731">
        <w:rPr>
          <w:rFonts w:asciiTheme="minorHAnsi" w:hAnsiTheme="minorHAnsi" w:cstheme="minorHAnsi"/>
          <w:b/>
          <w:sz w:val="21"/>
          <w:szCs w:val="21"/>
        </w:rPr>
        <w:t xml:space="preserve"> </w:t>
      </w:r>
      <w:r w:rsidR="008955F6" w:rsidRPr="00553731">
        <w:rPr>
          <w:rFonts w:asciiTheme="minorHAnsi" w:hAnsiTheme="minorHAnsi" w:cstheme="minorHAnsi"/>
          <w:b/>
          <w:sz w:val="21"/>
          <w:szCs w:val="21"/>
        </w:rPr>
        <w:t>Průměrná úroková sazba, za kterou si klienti v září mohli sjednat hypoteční úvěr, klesla jen neznatelně. Broker Consulting Index, sledující vývoj průměrné úrokové sazby</w:t>
      </w:r>
      <w:r w:rsidR="000D17B9" w:rsidRPr="00553731">
        <w:rPr>
          <w:rFonts w:asciiTheme="minorHAnsi" w:hAnsiTheme="minorHAnsi" w:cstheme="minorHAnsi"/>
          <w:b/>
          <w:sz w:val="21"/>
          <w:szCs w:val="21"/>
        </w:rPr>
        <w:t xml:space="preserve"> u hypotečních úvěrů, zaznamenal v září pokles jen o 0,01 procentního bodu. Nabídková sazba, za kterou banky v září poskytovaly klientům hypoteční úvěry, se tak pohybovala v průměru okolo 5,11 procenta a zůstává bez velkých změn již několik měsíců v řadě. Stali jste se obětmi povodní a nemůžete splácet? Obraťte se na svou banku pro pomoc a radu. </w:t>
      </w:r>
    </w:p>
    <w:p w14:paraId="539EC331" w14:textId="77777777" w:rsidR="008955F6" w:rsidRPr="00553731" w:rsidRDefault="008955F6" w:rsidP="00553731">
      <w:pPr>
        <w:jc w:val="both"/>
        <w:rPr>
          <w:rFonts w:asciiTheme="minorHAnsi" w:hAnsiTheme="minorHAnsi" w:cstheme="minorHAnsi"/>
          <w:b/>
          <w:sz w:val="21"/>
          <w:szCs w:val="21"/>
        </w:rPr>
      </w:pPr>
    </w:p>
    <w:p w14:paraId="7AB74A35" w14:textId="4F9E4E00" w:rsidR="009632AA" w:rsidRPr="00553731" w:rsidRDefault="000D17B9" w:rsidP="00553731">
      <w:pPr>
        <w:jc w:val="both"/>
        <w:rPr>
          <w:rFonts w:asciiTheme="minorHAnsi" w:eastAsia="Times New Roman" w:hAnsiTheme="minorHAnsi" w:cstheme="minorHAnsi"/>
          <w:sz w:val="24"/>
          <w:szCs w:val="24"/>
        </w:rPr>
      </w:pPr>
      <w:r w:rsidRPr="00553731">
        <w:rPr>
          <w:rFonts w:asciiTheme="minorHAnsi" w:hAnsiTheme="minorHAnsi" w:cstheme="minorHAnsi"/>
          <w:i/>
          <w:sz w:val="21"/>
          <w:szCs w:val="21"/>
        </w:rPr>
        <w:t>„I přes pozvolné a dlouhodobé snižování dvoutýdenní repo sazby</w:t>
      </w:r>
      <w:r w:rsidR="00224C0C" w:rsidRPr="00553731">
        <w:rPr>
          <w:rFonts w:asciiTheme="minorHAnsi" w:hAnsiTheme="minorHAnsi" w:cstheme="minorHAnsi"/>
          <w:i/>
          <w:sz w:val="21"/>
          <w:szCs w:val="21"/>
        </w:rPr>
        <w:t xml:space="preserve"> Českou národní bankou</w:t>
      </w:r>
      <w:r w:rsidRPr="00553731">
        <w:rPr>
          <w:rFonts w:asciiTheme="minorHAnsi" w:hAnsiTheme="minorHAnsi" w:cstheme="minorHAnsi"/>
          <w:i/>
          <w:sz w:val="21"/>
          <w:szCs w:val="21"/>
        </w:rPr>
        <w:t xml:space="preserve">, </w:t>
      </w:r>
      <w:r w:rsidR="00224C0C" w:rsidRPr="00553731">
        <w:rPr>
          <w:rFonts w:asciiTheme="minorHAnsi" w:hAnsiTheme="minorHAnsi" w:cstheme="minorHAnsi"/>
          <w:i/>
          <w:sz w:val="21"/>
          <w:szCs w:val="21"/>
        </w:rPr>
        <w:t>se tento pokles v sazbách hypoték nijak výrazně nepropisuje.</w:t>
      </w:r>
      <w:r w:rsidR="00224C0C" w:rsidRPr="00553731">
        <w:rPr>
          <w:rFonts w:asciiTheme="minorHAnsi" w:hAnsiTheme="minorHAnsi" w:cstheme="minorHAnsi"/>
          <w:i/>
          <w:sz w:val="21"/>
          <w:szCs w:val="21"/>
        </w:rPr>
        <w:t xml:space="preserve"> Vzhledem k vysokému </w:t>
      </w:r>
      <w:r w:rsidR="005B485C">
        <w:rPr>
          <w:rFonts w:asciiTheme="minorHAnsi" w:hAnsiTheme="minorHAnsi" w:cstheme="minorHAnsi"/>
          <w:i/>
          <w:sz w:val="21"/>
          <w:szCs w:val="21"/>
        </w:rPr>
        <w:t>zájmu o hypoteční úvěry, který</w:t>
      </w:r>
      <w:r w:rsidR="00224C0C" w:rsidRPr="00553731">
        <w:rPr>
          <w:rFonts w:asciiTheme="minorHAnsi" w:hAnsiTheme="minorHAnsi" w:cstheme="minorHAnsi"/>
          <w:i/>
          <w:sz w:val="21"/>
          <w:szCs w:val="21"/>
        </w:rPr>
        <w:t xml:space="preserve"> v posledních měsících zaznamenáváme, lze usuzovat, že si již lidé na vyšší sazby zvykli a s koupí </w:t>
      </w:r>
      <w:r w:rsidR="00B05A4B" w:rsidRPr="00553731">
        <w:rPr>
          <w:rFonts w:asciiTheme="minorHAnsi" w:hAnsiTheme="minorHAnsi" w:cstheme="minorHAnsi"/>
          <w:i/>
          <w:sz w:val="21"/>
          <w:szCs w:val="21"/>
        </w:rPr>
        <w:t>vysněné nemovitosti dále</w:t>
      </w:r>
      <w:r w:rsidR="00224C0C" w:rsidRPr="00553731">
        <w:rPr>
          <w:rFonts w:asciiTheme="minorHAnsi" w:hAnsiTheme="minorHAnsi" w:cstheme="minorHAnsi"/>
          <w:i/>
          <w:sz w:val="21"/>
          <w:szCs w:val="21"/>
        </w:rPr>
        <w:t xml:space="preserve"> neotálejí,“ </w:t>
      </w:r>
      <w:r w:rsidR="00224C0C" w:rsidRPr="00553731">
        <w:rPr>
          <w:rFonts w:asciiTheme="minorHAnsi" w:hAnsiTheme="minorHAnsi" w:cstheme="minorHAnsi"/>
          <w:sz w:val="21"/>
          <w:szCs w:val="21"/>
        </w:rPr>
        <w:t xml:space="preserve">vysvětluje </w:t>
      </w:r>
      <w:r w:rsidR="009632AA" w:rsidRPr="00553731">
        <w:rPr>
          <w:rFonts w:asciiTheme="minorHAnsi" w:hAnsiTheme="minorHAnsi" w:cstheme="minorHAnsi"/>
          <w:b/>
          <w:sz w:val="21"/>
          <w:szCs w:val="21"/>
        </w:rPr>
        <w:t>Michaela Pudilová, analytička hypotečních a spotřebitelských úvěrů ze společnosti Broker Consulting.</w:t>
      </w:r>
      <w:r w:rsidR="009632AA" w:rsidRPr="00553731">
        <w:rPr>
          <w:rFonts w:asciiTheme="minorHAnsi" w:hAnsiTheme="minorHAnsi" w:cstheme="minorHAnsi"/>
          <w:bCs/>
          <w:sz w:val="21"/>
          <w:szCs w:val="21"/>
        </w:rPr>
        <w:t xml:space="preserve"> </w:t>
      </w:r>
    </w:p>
    <w:p w14:paraId="3EDE5314" w14:textId="77777777" w:rsidR="00E2695D" w:rsidRPr="00553731" w:rsidRDefault="00E2695D" w:rsidP="00553731">
      <w:pPr>
        <w:spacing w:before="120" w:after="120"/>
        <w:ind w:right="40"/>
        <w:jc w:val="both"/>
        <w:rPr>
          <w:rFonts w:asciiTheme="minorHAnsi" w:eastAsia="Times New Roman" w:hAnsiTheme="minorHAnsi" w:cstheme="minorHAnsi"/>
          <w:i/>
          <w:sz w:val="21"/>
          <w:szCs w:val="21"/>
        </w:rPr>
      </w:pPr>
    </w:p>
    <w:p w14:paraId="7AABF49E" w14:textId="7009B129" w:rsidR="006F3E66" w:rsidRPr="00553731" w:rsidRDefault="00AC2D2E" w:rsidP="00553731">
      <w:pPr>
        <w:spacing w:before="120" w:after="120"/>
        <w:ind w:right="40"/>
        <w:jc w:val="both"/>
        <w:rPr>
          <w:rFonts w:asciiTheme="minorHAnsi" w:hAnsiTheme="minorHAnsi" w:cstheme="minorHAnsi"/>
          <w:b/>
          <w:bCs/>
          <w:sz w:val="21"/>
          <w:szCs w:val="21"/>
        </w:rPr>
      </w:pPr>
      <w:r w:rsidRPr="00553731">
        <w:rPr>
          <w:rFonts w:asciiTheme="minorHAnsi" w:hAnsiTheme="minorHAnsi" w:cstheme="minorHAnsi"/>
          <w:b/>
          <w:bCs/>
          <w:sz w:val="21"/>
          <w:szCs w:val="21"/>
        </w:rPr>
        <w:t xml:space="preserve">Kolik lidé v praxi </w:t>
      </w:r>
      <w:r w:rsidR="006F3E66" w:rsidRPr="00553731">
        <w:rPr>
          <w:rFonts w:asciiTheme="minorHAnsi" w:hAnsiTheme="minorHAnsi" w:cstheme="minorHAnsi"/>
          <w:b/>
          <w:bCs/>
          <w:sz w:val="21"/>
          <w:szCs w:val="21"/>
        </w:rPr>
        <w:t>ušetří díky snížení</w:t>
      </w:r>
      <w:r w:rsidR="00585920" w:rsidRPr="00553731">
        <w:rPr>
          <w:rFonts w:asciiTheme="minorHAnsi" w:hAnsiTheme="minorHAnsi" w:cstheme="minorHAnsi"/>
          <w:b/>
          <w:bCs/>
          <w:sz w:val="21"/>
          <w:szCs w:val="21"/>
        </w:rPr>
        <w:t xml:space="preserve"> úrokových</w:t>
      </w:r>
      <w:r w:rsidR="006F3E66" w:rsidRPr="00553731">
        <w:rPr>
          <w:rFonts w:asciiTheme="minorHAnsi" w:hAnsiTheme="minorHAnsi" w:cstheme="minorHAnsi"/>
          <w:b/>
          <w:bCs/>
          <w:sz w:val="21"/>
          <w:szCs w:val="21"/>
        </w:rPr>
        <w:t xml:space="preserve"> sazeb?</w:t>
      </w:r>
    </w:p>
    <w:p w14:paraId="0980E7FE" w14:textId="36B06E2C" w:rsidR="006F3E66" w:rsidRPr="00553731" w:rsidRDefault="006F3E66" w:rsidP="00553731">
      <w:pPr>
        <w:spacing w:before="120" w:after="120"/>
        <w:ind w:right="40"/>
        <w:jc w:val="both"/>
        <w:rPr>
          <w:rFonts w:asciiTheme="minorHAnsi" w:eastAsia="Times New Roman" w:hAnsiTheme="minorHAnsi" w:cstheme="minorHAnsi"/>
          <w:color w:val="000000"/>
          <w:sz w:val="21"/>
          <w:szCs w:val="21"/>
        </w:rPr>
      </w:pPr>
      <w:r w:rsidRPr="00553731">
        <w:rPr>
          <w:rFonts w:asciiTheme="minorHAnsi" w:eastAsia="Times New Roman" w:hAnsiTheme="minorHAnsi" w:cstheme="minorHAnsi"/>
          <w:color w:val="000000"/>
          <w:sz w:val="21"/>
          <w:szCs w:val="21"/>
        </w:rPr>
        <w:t xml:space="preserve">Jestliže si klient od banky vypůjčí 5 miliónů korun se splatností 30 </w:t>
      </w:r>
      <w:r w:rsidR="00B05A4B" w:rsidRPr="00553731">
        <w:rPr>
          <w:rFonts w:asciiTheme="minorHAnsi" w:eastAsia="Times New Roman" w:hAnsiTheme="minorHAnsi" w:cstheme="minorHAnsi"/>
          <w:color w:val="000000"/>
          <w:sz w:val="21"/>
          <w:szCs w:val="21"/>
        </w:rPr>
        <w:t>let při úrokové sazbě 5,11</w:t>
      </w:r>
      <w:r w:rsidRPr="00553731">
        <w:rPr>
          <w:rFonts w:asciiTheme="minorHAnsi" w:eastAsia="Times New Roman" w:hAnsiTheme="minorHAnsi" w:cstheme="minorHAnsi"/>
          <w:color w:val="000000"/>
          <w:sz w:val="21"/>
          <w:szCs w:val="21"/>
        </w:rPr>
        <w:t xml:space="preserve"> procenta, bu</w:t>
      </w:r>
      <w:r w:rsidR="005B485C">
        <w:rPr>
          <w:rFonts w:asciiTheme="minorHAnsi" w:eastAsia="Times New Roman" w:hAnsiTheme="minorHAnsi" w:cstheme="minorHAnsi"/>
          <w:color w:val="000000"/>
          <w:sz w:val="21"/>
          <w:szCs w:val="21"/>
        </w:rPr>
        <w:t xml:space="preserve">de měsíční splátka činit </w:t>
      </w:r>
      <w:r w:rsidR="00B05A4B" w:rsidRPr="00553731">
        <w:rPr>
          <w:rFonts w:asciiTheme="minorHAnsi" w:eastAsia="Times New Roman" w:hAnsiTheme="minorHAnsi" w:cstheme="minorHAnsi"/>
          <w:color w:val="000000"/>
          <w:sz w:val="21"/>
          <w:szCs w:val="21"/>
        </w:rPr>
        <w:t>27 178 korun</w:t>
      </w:r>
      <w:r w:rsidR="00DB6CA5" w:rsidRPr="00553731">
        <w:rPr>
          <w:rFonts w:asciiTheme="minorHAnsi" w:eastAsia="Times New Roman" w:hAnsiTheme="minorHAnsi" w:cstheme="minorHAnsi"/>
          <w:color w:val="000000"/>
          <w:sz w:val="21"/>
          <w:szCs w:val="21"/>
        </w:rPr>
        <w:t xml:space="preserve">. </w:t>
      </w:r>
      <w:r w:rsidR="00DB6CA5" w:rsidRPr="00553731">
        <w:rPr>
          <w:rFonts w:asciiTheme="minorHAnsi" w:eastAsia="Times New Roman" w:hAnsiTheme="minorHAnsi" w:cstheme="minorHAnsi"/>
          <w:color w:val="000000"/>
          <w:sz w:val="21"/>
          <w:szCs w:val="21"/>
        </w:rPr>
        <w:t>V porovnání s předchozím měsícem, kd</w:t>
      </w:r>
      <w:r w:rsidR="00DB6CA5" w:rsidRPr="00553731">
        <w:rPr>
          <w:rFonts w:asciiTheme="minorHAnsi" w:eastAsia="Times New Roman" w:hAnsiTheme="minorHAnsi" w:cstheme="minorHAnsi"/>
          <w:color w:val="000000"/>
          <w:sz w:val="21"/>
          <w:szCs w:val="21"/>
        </w:rPr>
        <w:t>y se sazby pohybovaly okolo 5,12</w:t>
      </w:r>
      <w:r w:rsidR="00DB6CA5" w:rsidRPr="00553731">
        <w:rPr>
          <w:rFonts w:asciiTheme="minorHAnsi" w:eastAsia="Times New Roman" w:hAnsiTheme="minorHAnsi" w:cstheme="minorHAnsi"/>
          <w:color w:val="000000"/>
          <w:sz w:val="21"/>
          <w:szCs w:val="21"/>
        </w:rPr>
        <w:t xml:space="preserve"> procenta, jde o </w:t>
      </w:r>
      <w:r w:rsidR="00DB6CA5" w:rsidRPr="00553731">
        <w:rPr>
          <w:rFonts w:asciiTheme="minorHAnsi" w:eastAsia="Times New Roman" w:hAnsiTheme="minorHAnsi" w:cstheme="minorHAnsi"/>
          <w:color w:val="000000"/>
          <w:sz w:val="21"/>
          <w:szCs w:val="21"/>
        </w:rPr>
        <w:t xml:space="preserve">téměř neznatelný </w:t>
      </w:r>
      <w:r w:rsidR="00DB6CA5" w:rsidRPr="00553731">
        <w:rPr>
          <w:rFonts w:asciiTheme="minorHAnsi" w:eastAsia="Times New Roman" w:hAnsiTheme="minorHAnsi" w:cstheme="minorHAnsi"/>
          <w:color w:val="000000"/>
          <w:sz w:val="21"/>
          <w:szCs w:val="21"/>
        </w:rPr>
        <w:t>pokles ve výsledné splátce</w:t>
      </w:r>
      <w:r w:rsidR="00DB6CA5" w:rsidRPr="00553731">
        <w:rPr>
          <w:rFonts w:asciiTheme="minorHAnsi" w:eastAsia="Times New Roman" w:hAnsiTheme="minorHAnsi" w:cstheme="minorHAnsi"/>
          <w:color w:val="000000"/>
          <w:sz w:val="21"/>
          <w:szCs w:val="21"/>
        </w:rPr>
        <w:t xml:space="preserve">, a </w:t>
      </w:r>
      <w:r w:rsidR="00DB6CA5" w:rsidRPr="00553731">
        <w:rPr>
          <w:rFonts w:asciiTheme="minorHAnsi" w:eastAsia="Times New Roman" w:hAnsiTheme="minorHAnsi" w:cstheme="minorHAnsi"/>
          <w:color w:val="000000"/>
          <w:sz w:val="21"/>
          <w:szCs w:val="21"/>
        </w:rPr>
        <w:t xml:space="preserve"> </w:t>
      </w:r>
      <w:r w:rsidR="00DB6CA5" w:rsidRPr="00553731">
        <w:rPr>
          <w:rFonts w:asciiTheme="minorHAnsi" w:eastAsia="Times New Roman" w:hAnsiTheme="minorHAnsi" w:cstheme="minorHAnsi"/>
          <w:color w:val="000000"/>
          <w:sz w:val="21"/>
          <w:szCs w:val="21"/>
        </w:rPr>
        <w:t>t</w:t>
      </w:r>
      <w:r w:rsidR="00DB6CA5" w:rsidRPr="00553731">
        <w:rPr>
          <w:rFonts w:asciiTheme="minorHAnsi" w:eastAsia="Times New Roman" w:hAnsiTheme="minorHAnsi" w:cstheme="minorHAnsi"/>
          <w:color w:val="000000"/>
          <w:sz w:val="21"/>
          <w:szCs w:val="21"/>
        </w:rPr>
        <w:t xml:space="preserve">o </w:t>
      </w:r>
      <w:r w:rsidR="00DB6CA5" w:rsidRPr="00553731">
        <w:rPr>
          <w:rFonts w:asciiTheme="minorHAnsi" w:eastAsia="Times New Roman" w:hAnsiTheme="minorHAnsi" w:cstheme="minorHAnsi"/>
          <w:color w:val="000000"/>
          <w:sz w:val="21"/>
          <w:szCs w:val="21"/>
        </w:rPr>
        <w:t>o 31</w:t>
      </w:r>
      <w:r w:rsidR="00DB6CA5" w:rsidRPr="00553731">
        <w:rPr>
          <w:rFonts w:asciiTheme="minorHAnsi" w:eastAsia="Times New Roman" w:hAnsiTheme="minorHAnsi" w:cstheme="minorHAnsi"/>
          <w:color w:val="000000"/>
          <w:sz w:val="21"/>
          <w:szCs w:val="21"/>
        </w:rPr>
        <w:t xml:space="preserve"> korun.</w:t>
      </w:r>
      <w:r w:rsidR="00DB6CA5" w:rsidRPr="00553731">
        <w:rPr>
          <w:rFonts w:asciiTheme="minorHAnsi" w:eastAsia="Times New Roman" w:hAnsiTheme="minorHAnsi" w:cstheme="minorHAnsi"/>
          <w:color w:val="000000"/>
          <w:sz w:val="21"/>
          <w:szCs w:val="21"/>
        </w:rPr>
        <w:t xml:space="preserve"> </w:t>
      </w:r>
      <w:r w:rsidR="00585920" w:rsidRPr="00553731">
        <w:rPr>
          <w:rFonts w:asciiTheme="minorHAnsi" w:eastAsia="Times New Roman" w:hAnsiTheme="minorHAnsi" w:cstheme="minorHAnsi"/>
          <w:color w:val="000000"/>
          <w:sz w:val="21"/>
          <w:szCs w:val="21"/>
        </w:rPr>
        <w:t xml:space="preserve">Snížením sazby o jeden procentní bod </w:t>
      </w:r>
      <w:r w:rsidR="00DB6CA5" w:rsidRPr="00553731">
        <w:rPr>
          <w:rFonts w:asciiTheme="minorHAnsi" w:eastAsia="Times New Roman" w:hAnsiTheme="minorHAnsi" w:cstheme="minorHAnsi"/>
          <w:color w:val="000000"/>
          <w:sz w:val="21"/>
          <w:szCs w:val="21"/>
        </w:rPr>
        <w:t>(4,11</w:t>
      </w:r>
      <w:r w:rsidR="004836B2" w:rsidRPr="00553731">
        <w:rPr>
          <w:rFonts w:asciiTheme="minorHAnsi" w:eastAsia="Times New Roman" w:hAnsiTheme="minorHAnsi" w:cstheme="minorHAnsi"/>
          <w:color w:val="000000"/>
          <w:sz w:val="21"/>
          <w:szCs w:val="21"/>
        </w:rPr>
        <w:t xml:space="preserve"> %) </w:t>
      </w:r>
      <w:r w:rsidR="00585920" w:rsidRPr="00553731">
        <w:rPr>
          <w:rFonts w:asciiTheme="minorHAnsi" w:eastAsia="Times New Roman" w:hAnsiTheme="minorHAnsi" w:cstheme="minorHAnsi"/>
          <w:color w:val="000000"/>
          <w:sz w:val="21"/>
          <w:szCs w:val="21"/>
        </w:rPr>
        <w:t>by</w:t>
      </w:r>
      <w:r w:rsidR="00E773C0" w:rsidRPr="00553731">
        <w:rPr>
          <w:rFonts w:asciiTheme="minorHAnsi" w:eastAsia="Times New Roman" w:hAnsiTheme="minorHAnsi" w:cstheme="minorHAnsi"/>
          <w:color w:val="000000"/>
          <w:sz w:val="21"/>
          <w:szCs w:val="21"/>
        </w:rPr>
        <w:t xml:space="preserve"> výsledná splátka klesla o </w:t>
      </w:r>
      <w:r w:rsidR="00585920" w:rsidRPr="00553731">
        <w:rPr>
          <w:rFonts w:asciiTheme="minorHAnsi" w:eastAsia="Times New Roman" w:hAnsiTheme="minorHAnsi" w:cstheme="minorHAnsi"/>
          <w:color w:val="000000"/>
          <w:sz w:val="21"/>
          <w:szCs w:val="21"/>
        </w:rPr>
        <w:t xml:space="preserve"> </w:t>
      </w:r>
      <w:r w:rsidR="004836B2" w:rsidRPr="00553731">
        <w:rPr>
          <w:rFonts w:asciiTheme="minorHAnsi" w:eastAsia="Times New Roman" w:hAnsiTheme="minorHAnsi" w:cstheme="minorHAnsi"/>
          <w:color w:val="000000"/>
          <w:sz w:val="21"/>
          <w:szCs w:val="21"/>
        </w:rPr>
        <w:t xml:space="preserve">téměř </w:t>
      </w:r>
      <w:r w:rsidR="00585920" w:rsidRPr="00553731">
        <w:rPr>
          <w:rFonts w:asciiTheme="minorHAnsi" w:eastAsia="Times New Roman" w:hAnsiTheme="minorHAnsi" w:cstheme="minorHAnsi"/>
          <w:color w:val="000000"/>
          <w:sz w:val="21"/>
          <w:szCs w:val="21"/>
        </w:rPr>
        <w:t>tři t</w:t>
      </w:r>
      <w:r w:rsidR="00DB6CA5" w:rsidRPr="00553731">
        <w:rPr>
          <w:rFonts w:asciiTheme="minorHAnsi" w:eastAsia="Times New Roman" w:hAnsiTheme="minorHAnsi" w:cstheme="minorHAnsi"/>
          <w:color w:val="000000"/>
          <w:sz w:val="21"/>
          <w:szCs w:val="21"/>
        </w:rPr>
        <w:t>isíce korun, konkrétně na 24 189</w:t>
      </w:r>
      <w:r w:rsidR="00585920" w:rsidRPr="00553731">
        <w:rPr>
          <w:rFonts w:asciiTheme="minorHAnsi" w:eastAsia="Times New Roman" w:hAnsiTheme="minorHAnsi" w:cstheme="minorHAnsi"/>
          <w:color w:val="000000"/>
          <w:sz w:val="21"/>
          <w:szCs w:val="21"/>
        </w:rPr>
        <w:t xml:space="preserve"> korun.</w:t>
      </w:r>
    </w:p>
    <w:p w14:paraId="0D8B9CBD" w14:textId="3D30B8AC" w:rsidR="00D76337" w:rsidRPr="00553731" w:rsidRDefault="00D76337" w:rsidP="00553731">
      <w:pPr>
        <w:jc w:val="both"/>
        <w:rPr>
          <w:rFonts w:asciiTheme="minorHAnsi" w:eastAsia="Times New Roman" w:hAnsiTheme="minorHAnsi" w:cstheme="minorHAnsi"/>
          <w:sz w:val="21"/>
          <w:szCs w:val="21"/>
        </w:rPr>
      </w:pPr>
    </w:p>
    <w:p w14:paraId="387FAFBE" w14:textId="33D4DF28" w:rsidR="00D6662D" w:rsidRPr="00553731" w:rsidRDefault="00DB6CA5" w:rsidP="00553731">
      <w:pPr>
        <w:jc w:val="both"/>
        <w:rPr>
          <w:rFonts w:asciiTheme="minorHAnsi" w:eastAsia="Times New Roman" w:hAnsiTheme="minorHAnsi" w:cstheme="minorHAnsi"/>
          <w:sz w:val="21"/>
          <w:szCs w:val="21"/>
        </w:rPr>
      </w:pPr>
      <w:r w:rsidRPr="00553731">
        <w:rPr>
          <w:rFonts w:asciiTheme="minorHAnsi" w:eastAsia="Times New Roman" w:hAnsiTheme="minorHAnsi" w:cstheme="minorHAnsi"/>
          <w:sz w:val="21"/>
          <w:szCs w:val="21"/>
        </w:rPr>
        <w:t>V průběhu září se prů</w:t>
      </w:r>
      <w:r w:rsidR="005B485C">
        <w:rPr>
          <w:rFonts w:asciiTheme="minorHAnsi" w:eastAsia="Times New Roman" w:hAnsiTheme="minorHAnsi" w:cstheme="minorHAnsi"/>
          <w:sz w:val="21"/>
          <w:szCs w:val="21"/>
        </w:rPr>
        <w:t>měrná nabídková sazba hypotečních úvěrů</w:t>
      </w:r>
      <w:r w:rsidRPr="00553731">
        <w:rPr>
          <w:rFonts w:asciiTheme="minorHAnsi" w:eastAsia="Times New Roman" w:hAnsiTheme="minorHAnsi" w:cstheme="minorHAnsi"/>
          <w:sz w:val="21"/>
          <w:szCs w:val="21"/>
        </w:rPr>
        <w:t xml:space="preserve"> vrátila k hodnotě, kterou Index zaznamenal před prázdninami letošního roku. Červen a září si tak připisují hodnotu 5,11 procenta a řadí se tak k nejnižším </w:t>
      </w:r>
      <w:r w:rsidR="00D6662D" w:rsidRPr="00553731">
        <w:rPr>
          <w:rFonts w:asciiTheme="minorHAnsi" w:eastAsia="Times New Roman" w:hAnsiTheme="minorHAnsi" w:cstheme="minorHAnsi"/>
          <w:sz w:val="21"/>
          <w:szCs w:val="21"/>
        </w:rPr>
        <w:t>nabízeným sazbám tohoto roku. Nicméně zásadní změny ve vývoji hypotečních sazeb nelze, dle názorů odborník</w:t>
      </w:r>
      <w:r w:rsidR="007C0099" w:rsidRPr="00553731">
        <w:rPr>
          <w:rFonts w:asciiTheme="minorHAnsi" w:eastAsia="Times New Roman" w:hAnsiTheme="minorHAnsi" w:cstheme="minorHAnsi"/>
          <w:sz w:val="21"/>
          <w:szCs w:val="21"/>
        </w:rPr>
        <w:t>ů</w:t>
      </w:r>
      <w:r w:rsidR="00D6662D" w:rsidRPr="00553731">
        <w:rPr>
          <w:rFonts w:asciiTheme="minorHAnsi" w:eastAsia="Times New Roman" w:hAnsiTheme="minorHAnsi" w:cstheme="minorHAnsi"/>
          <w:sz w:val="21"/>
          <w:szCs w:val="21"/>
        </w:rPr>
        <w:t xml:space="preserve">, očekávat ani do konce roku. </w:t>
      </w:r>
      <w:r w:rsidR="00D6662D" w:rsidRPr="00553731">
        <w:rPr>
          <w:rFonts w:asciiTheme="minorHAnsi" w:eastAsia="Times New Roman" w:hAnsiTheme="minorHAnsi" w:cstheme="minorHAnsi"/>
          <w:i/>
          <w:sz w:val="21"/>
          <w:szCs w:val="21"/>
        </w:rPr>
        <w:t>„</w:t>
      </w:r>
      <w:r w:rsidR="00D6662D" w:rsidRPr="00553731">
        <w:rPr>
          <w:rFonts w:asciiTheme="minorHAnsi" w:eastAsia="Times New Roman" w:hAnsiTheme="minorHAnsi" w:cstheme="minorHAnsi"/>
          <w:i/>
          <w:sz w:val="21"/>
          <w:szCs w:val="21"/>
        </w:rPr>
        <w:t xml:space="preserve">Stabilitu v sazbách předpokládáme i v následujících měsících. Vždy samozřejmě záleží i </w:t>
      </w:r>
      <w:r w:rsidR="00D6662D" w:rsidRPr="00553731">
        <w:rPr>
          <w:rFonts w:asciiTheme="minorHAnsi" w:eastAsia="Times New Roman" w:hAnsiTheme="minorHAnsi" w:cstheme="minorHAnsi"/>
          <w:i/>
          <w:sz w:val="21"/>
          <w:szCs w:val="21"/>
        </w:rPr>
        <w:t>na krocích České národní banky. Vidíme však, že i dlouhodobé snižování dvoutýdenní repo sazby</w:t>
      </w:r>
      <w:r w:rsidR="007C0099" w:rsidRPr="00553731">
        <w:rPr>
          <w:rFonts w:asciiTheme="minorHAnsi" w:eastAsia="Times New Roman" w:hAnsiTheme="minorHAnsi" w:cstheme="minorHAnsi"/>
          <w:i/>
          <w:sz w:val="21"/>
          <w:szCs w:val="21"/>
        </w:rPr>
        <w:t xml:space="preserve"> ze strany centrální banky</w:t>
      </w:r>
      <w:r w:rsidR="00D6662D" w:rsidRPr="00553731">
        <w:rPr>
          <w:rFonts w:asciiTheme="minorHAnsi" w:eastAsia="Times New Roman" w:hAnsiTheme="minorHAnsi" w:cstheme="minorHAnsi"/>
          <w:i/>
          <w:sz w:val="21"/>
          <w:szCs w:val="21"/>
        </w:rPr>
        <w:t>, nepřimělo</w:t>
      </w:r>
      <w:r w:rsidR="007C0099" w:rsidRPr="00553731">
        <w:rPr>
          <w:rFonts w:asciiTheme="minorHAnsi" w:eastAsia="Times New Roman" w:hAnsiTheme="minorHAnsi" w:cstheme="minorHAnsi"/>
          <w:i/>
          <w:sz w:val="21"/>
          <w:szCs w:val="21"/>
        </w:rPr>
        <w:t xml:space="preserve"> poskytovatelé hypotečních úvěrů</w:t>
      </w:r>
      <w:r w:rsidR="00D6662D" w:rsidRPr="00553731">
        <w:rPr>
          <w:rFonts w:asciiTheme="minorHAnsi" w:eastAsia="Times New Roman" w:hAnsiTheme="minorHAnsi" w:cstheme="minorHAnsi"/>
          <w:i/>
          <w:sz w:val="21"/>
          <w:szCs w:val="21"/>
        </w:rPr>
        <w:t xml:space="preserve"> k významnému snížení úrokových sazeb</w:t>
      </w:r>
      <w:r w:rsidR="007C0099" w:rsidRPr="00553731">
        <w:rPr>
          <w:rFonts w:asciiTheme="minorHAnsi" w:eastAsia="Times New Roman" w:hAnsiTheme="minorHAnsi" w:cstheme="minorHAnsi"/>
          <w:i/>
          <w:sz w:val="21"/>
          <w:szCs w:val="21"/>
        </w:rPr>
        <w:t>,“</w:t>
      </w:r>
      <w:r w:rsidR="007C0099" w:rsidRPr="00553731">
        <w:rPr>
          <w:rFonts w:asciiTheme="minorHAnsi" w:eastAsia="Times New Roman" w:hAnsiTheme="minorHAnsi" w:cstheme="minorHAnsi"/>
          <w:sz w:val="21"/>
          <w:szCs w:val="21"/>
        </w:rPr>
        <w:t xml:space="preserve"> komentuje </w:t>
      </w:r>
      <w:r w:rsidR="007C0099" w:rsidRPr="00553731">
        <w:rPr>
          <w:rFonts w:asciiTheme="minorHAnsi" w:eastAsia="Times New Roman" w:hAnsiTheme="minorHAnsi" w:cstheme="minorHAnsi"/>
          <w:b/>
          <w:sz w:val="21"/>
          <w:szCs w:val="21"/>
        </w:rPr>
        <w:t>Michaela Pudilová ze společnosti Broker Consulting.</w:t>
      </w:r>
    </w:p>
    <w:p w14:paraId="1A58422C" w14:textId="6852634D" w:rsidR="00D71C06" w:rsidRPr="009808FE" w:rsidRDefault="00D71C06" w:rsidP="00E569BC">
      <w:pPr>
        <w:jc w:val="both"/>
        <w:rPr>
          <w:rFonts w:asciiTheme="minorHAnsi" w:hAnsiTheme="minorHAnsi" w:cstheme="minorHAnsi"/>
          <w:bCs/>
          <w:color w:val="000000" w:themeColor="text1"/>
        </w:rPr>
      </w:pPr>
    </w:p>
    <w:p w14:paraId="37E763E8" w14:textId="646D7AAE" w:rsidR="00756671" w:rsidRDefault="00D71C06" w:rsidP="000D6E9B">
      <w:pPr>
        <w:jc w:val="both"/>
        <w:rPr>
          <w:rFonts w:asciiTheme="minorHAnsi" w:hAnsiTheme="minorHAnsi" w:cstheme="minorHAnsi"/>
          <w:b/>
        </w:rPr>
      </w:pPr>
      <w:r w:rsidRPr="009808FE">
        <w:rPr>
          <w:rFonts w:asciiTheme="minorHAnsi" w:hAnsiTheme="minorHAnsi" w:cstheme="minorHAnsi"/>
          <w:bCs/>
          <w:color w:val="000000" w:themeColor="text1"/>
        </w:rPr>
        <w:t xml:space="preserve"> </w:t>
      </w:r>
      <w:r w:rsidR="00553731">
        <w:rPr>
          <w:rFonts w:asciiTheme="minorHAnsi" w:hAnsiTheme="minorHAnsi" w:cstheme="minorHAnsi"/>
          <w:b/>
          <w:noProof/>
          <w:lang w:bidi="ar-SA"/>
        </w:rPr>
        <w:drawing>
          <wp:inline distT="0" distB="0" distL="0" distR="0" wp14:anchorId="570855AD" wp14:editId="0938EFC1">
            <wp:extent cx="6489700" cy="2910443"/>
            <wp:effectExtent l="0" t="0" r="6350" b="444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png"/>
                    <pic:cNvPicPr/>
                  </pic:nvPicPr>
                  <pic:blipFill>
                    <a:blip r:embed="rId29">
                      <a:extLst>
                        <a:ext uri="{28A0092B-C50C-407E-A947-70E740481C1C}">
                          <a14:useLocalDpi xmlns:a14="http://schemas.microsoft.com/office/drawing/2010/main" val="0"/>
                        </a:ext>
                      </a:extLst>
                    </a:blip>
                    <a:stretch>
                      <a:fillRect/>
                    </a:stretch>
                  </pic:blipFill>
                  <pic:spPr>
                    <a:xfrm>
                      <a:off x="0" y="0"/>
                      <a:ext cx="6508791" cy="2919005"/>
                    </a:xfrm>
                    <a:prstGeom prst="rect">
                      <a:avLst/>
                    </a:prstGeom>
                  </pic:spPr>
                </pic:pic>
              </a:graphicData>
            </a:graphic>
          </wp:inline>
        </w:drawing>
      </w:r>
    </w:p>
    <w:p w14:paraId="3E312033" w14:textId="67CD7273" w:rsidR="000D6E9B" w:rsidRDefault="000D6E9B" w:rsidP="000D6E9B">
      <w:pPr>
        <w:jc w:val="both"/>
        <w:rPr>
          <w:rFonts w:asciiTheme="minorHAnsi" w:hAnsiTheme="minorHAnsi" w:cstheme="minorHAnsi"/>
          <w:b/>
        </w:rPr>
      </w:pPr>
    </w:p>
    <w:p w14:paraId="6AD3D142" w14:textId="77777777" w:rsidR="00F2720A" w:rsidRDefault="00F2720A" w:rsidP="009D6924">
      <w:pPr>
        <w:jc w:val="both"/>
        <w:rPr>
          <w:rFonts w:asciiTheme="minorHAnsi" w:hAnsiTheme="minorHAnsi" w:cstheme="minorHAnsi"/>
          <w:b/>
          <w:sz w:val="21"/>
          <w:szCs w:val="21"/>
        </w:rPr>
      </w:pPr>
    </w:p>
    <w:p w14:paraId="0665FFA8" w14:textId="70ED204B" w:rsidR="00F2720A" w:rsidRPr="00553731" w:rsidRDefault="005B485C" w:rsidP="00553731">
      <w:pPr>
        <w:jc w:val="both"/>
        <w:rPr>
          <w:rFonts w:asciiTheme="minorHAnsi" w:hAnsiTheme="minorHAnsi" w:cstheme="minorHAnsi"/>
          <w:b/>
          <w:sz w:val="21"/>
          <w:szCs w:val="21"/>
        </w:rPr>
      </w:pPr>
      <w:r>
        <w:rPr>
          <w:rFonts w:asciiTheme="minorHAnsi" w:hAnsiTheme="minorHAnsi" w:cstheme="minorHAnsi"/>
          <w:b/>
          <w:sz w:val="21"/>
          <w:szCs w:val="21"/>
        </w:rPr>
        <w:t>Stali jste se obětí</w:t>
      </w:r>
      <w:r w:rsidR="00080EB3" w:rsidRPr="00553731">
        <w:rPr>
          <w:rFonts w:asciiTheme="minorHAnsi" w:hAnsiTheme="minorHAnsi" w:cstheme="minorHAnsi"/>
          <w:b/>
          <w:sz w:val="21"/>
          <w:szCs w:val="21"/>
        </w:rPr>
        <w:t xml:space="preserve"> povodní a máte problém se splácením? Obraťte se na svou banku.</w:t>
      </w:r>
    </w:p>
    <w:p w14:paraId="7EEC5433" w14:textId="4B6727FB" w:rsidR="00080EB3" w:rsidRPr="00553731" w:rsidRDefault="00080EB3" w:rsidP="00553731">
      <w:pPr>
        <w:jc w:val="both"/>
        <w:rPr>
          <w:rFonts w:asciiTheme="minorHAnsi" w:hAnsiTheme="minorHAnsi" w:cstheme="minorHAnsi"/>
          <w:b/>
          <w:sz w:val="21"/>
          <w:szCs w:val="21"/>
        </w:rPr>
      </w:pPr>
    </w:p>
    <w:p w14:paraId="4F75A0F9" w14:textId="090AA73C" w:rsidR="00080EB3" w:rsidRPr="00553731" w:rsidRDefault="00080EB3" w:rsidP="00553731">
      <w:pPr>
        <w:jc w:val="both"/>
        <w:rPr>
          <w:rFonts w:asciiTheme="minorHAnsi" w:hAnsiTheme="minorHAnsi" w:cstheme="minorHAnsi"/>
          <w:sz w:val="21"/>
          <w:szCs w:val="21"/>
        </w:rPr>
      </w:pPr>
      <w:r w:rsidRPr="00553731">
        <w:rPr>
          <w:rFonts w:asciiTheme="minorHAnsi" w:hAnsiTheme="minorHAnsi" w:cstheme="minorHAnsi"/>
          <w:sz w:val="21"/>
          <w:szCs w:val="21"/>
        </w:rPr>
        <w:t xml:space="preserve">Řada lidí se v posledních dnech potýkala s následky záplav, </w:t>
      </w:r>
      <w:r w:rsidR="00257294" w:rsidRPr="00553731">
        <w:rPr>
          <w:rFonts w:asciiTheme="minorHAnsi" w:hAnsiTheme="minorHAnsi" w:cstheme="minorHAnsi"/>
          <w:sz w:val="21"/>
          <w:szCs w:val="21"/>
        </w:rPr>
        <w:t xml:space="preserve">které se v mnoha případech nevyhnuly ani </w:t>
      </w:r>
      <w:r w:rsidR="00AB0673" w:rsidRPr="00553731">
        <w:rPr>
          <w:rFonts w:asciiTheme="minorHAnsi" w:hAnsiTheme="minorHAnsi" w:cstheme="minorHAnsi"/>
          <w:sz w:val="21"/>
          <w:szCs w:val="21"/>
        </w:rPr>
        <w:t xml:space="preserve">nemovitostem </w:t>
      </w:r>
      <w:r w:rsidR="00AB0673" w:rsidRPr="00553731">
        <w:rPr>
          <w:rFonts w:asciiTheme="minorHAnsi" w:hAnsiTheme="minorHAnsi" w:cstheme="minorHAnsi"/>
          <w:sz w:val="21"/>
          <w:szCs w:val="21"/>
        </w:rPr>
        <w:lastRenderedPageBreak/>
        <w:t>zatíženým hypotečním úvěrem</w:t>
      </w:r>
      <w:r w:rsidR="005B485C">
        <w:rPr>
          <w:rFonts w:asciiTheme="minorHAnsi" w:hAnsiTheme="minorHAnsi" w:cstheme="minorHAnsi"/>
          <w:sz w:val="21"/>
          <w:szCs w:val="21"/>
        </w:rPr>
        <w:t>. Banky však klientům</w:t>
      </w:r>
      <w:r w:rsidR="00257294" w:rsidRPr="00553731">
        <w:rPr>
          <w:rFonts w:asciiTheme="minorHAnsi" w:hAnsiTheme="minorHAnsi" w:cstheme="minorHAnsi"/>
          <w:sz w:val="21"/>
          <w:szCs w:val="21"/>
        </w:rPr>
        <w:t xml:space="preserve">, kteří se </w:t>
      </w:r>
      <w:r w:rsidR="00AB0673" w:rsidRPr="00553731">
        <w:rPr>
          <w:rFonts w:asciiTheme="minorHAnsi" w:hAnsiTheme="minorHAnsi" w:cstheme="minorHAnsi"/>
          <w:sz w:val="21"/>
          <w:szCs w:val="21"/>
        </w:rPr>
        <w:t>vlivem této neočekávané situace dostali do problémů se splácením, poskytují pomocnou ruku.</w:t>
      </w:r>
    </w:p>
    <w:p w14:paraId="493F7805" w14:textId="77777777" w:rsidR="00F34643" w:rsidRPr="00F34643" w:rsidRDefault="00F34643" w:rsidP="00553731">
      <w:pPr>
        <w:widowControl/>
        <w:autoSpaceDE/>
        <w:autoSpaceDN/>
        <w:spacing w:before="100" w:beforeAutospacing="1" w:after="100" w:afterAutospacing="1"/>
        <w:jc w:val="both"/>
        <w:rPr>
          <w:rFonts w:asciiTheme="minorHAnsi" w:eastAsia="Times New Roman" w:hAnsiTheme="minorHAnsi" w:cstheme="minorHAnsi"/>
          <w:sz w:val="21"/>
          <w:szCs w:val="21"/>
          <w:lang w:bidi="ar-SA"/>
        </w:rPr>
      </w:pPr>
      <w:r w:rsidRPr="00F34643">
        <w:rPr>
          <w:rFonts w:asciiTheme="minorHAnsi" w:eastAsia="Times New Roman" w:hAnsiTheme="minorHAnsi" w:cstheme="minorHAnsi"/>
          <w:sz w:val="21"/>
          <w:szCs w:val="21"/>
          <w:lang w:bidi="ar-SA"/>
        </w:rPr>
        <w:t>„</w:t>
      </w:r>
      <w:r w:rsidRPr="00F34643">
        <w:rPr>
          <w:rFonts w:asciiTheme="minorHAnsi" w:eastAsia="Times New Roman" w:hAnsiTheme="minorHAnsi" w:cstheme="minorHAnsi"/>
          <w:i/>
          <w:sz w:val="21"/>
          <w:szCs w:val="21"/>
          <w:lang w:bidi="ar-SA"/>
        </w:rPr>
        <w:t xml:space="preserve">Pokud se klient dostane do problémů se splácením hypotečního úvěru, měl by co nejrychleji kontaktovat svou banku nebo konzultanta. Ten může zařídit úpravu splátek tak, aby klient dočasně splácel pouze úroky, nebo zajistit odklad celé splátky. Další možností je upravit splátkový kalendář a snížit měsíční splátky na přijatelnější úroveň,“ </w:t>
      </w:r>
      <w:r w:rsidRPr="00F34643">
        <w:rPr>
          <w:rFonts w:asciiTheme="minorHAnsi" w:eastAsia="Times New Roman" w:hAnsiTheme="minorHAnsi" w:cstheme="minorHAnsi"/>
          <w:sz w:val="21"/>
          <w:szCs w:val="21"/>
          <w:lang w:bidi="ar-SA"/>
        </w:rPr>
        <w:t xml:space="preserve">vysvětluje </w:t>
      </w:r>
      <w:r w:rsidRPr="00F34643">
        <w:rPr>
          <w:rFonts w:asciiTheme="minorHAnsi" w:eastAsia="Times New Roman" w:hAnsiTheme="minorHAnsi" w:cstheme="minorHAnsi"/>
          <w:b/>
          <w:sz w:val="21"/>
          <w:szCs w:val="21"/>
          <w:lang w:bidi="ar-SA"/>
        </w:rPr>
        <w:t>Michaela Pudilová ze společnosti Broker Consulting.</w:t>
      </w:r>
    </w:p>
    <w:p w14:paraId="66A7898B" w14:textId="416B344C" w:rsidR="00E2695D" w:rsidRPr="00553731" w:rsidRDefault="00F34643" w:rsidP="00553731">
      <w:pPr>
        <w:widowControl/>
        <w:autoSpaceDE/>
        <w:autoSpaceDN/>
        <w:spacing w:before="100" w:beforeAutospacing="1" w:after="100" w:afterAutospacing="1"/>
        <w:jc w:val="both"/>
        <w:rPr>
          <w:rFonts w:asciiTheme="minorHAnsi" w:eastAsia="Times New Roman" w:hAnsiTheme="minorHAnsi" w:cstheme="minorHAnsi"/>
          <w:sz w:val="21"/>
          <w:szCs w:val="21"/>
          <w:lang w:bidi="ar-SA"/>
        </w:rPr>
      </w:pPr>
      <w:r w:rsidRPr="00F34643">
        <w:rPr>
          <w:rFonts w:asciiTheme="minorHAnsi" w:eastAsia="Times New Roman" w:hAnsiTheme="minorHAnsi" w:cstheme="minorHAnsi"/>
          <w:sz w:val="21"/>
          <w:szCs w:val="21"/>
          <w:lang w:bidi="ar-SA"/>
        </w:rPr>
        <w:t xml:space="preserve">V případě vážného poškození nemovitosti se klient může obrátit na banku i s žádostí o novou hypotéku na rekonstrukci. </w:t>
      </w:r>
      <w:r w:rsidRPr="00F34643">
        <w:rPr>
          <w:rFonts w:asciiTheme="minorHAnsi" w:eastAsia="Times New Roman" w:hAnsiTheme="minorHAnsi" w:cstheme="minorHAnsi"/>
          <w:i/>
          <w:sz w:val="21"/>
          <w:szCs w:val="21"/>
          <w:lang w:bidi="ar-SA"/>
        </w:rPr>
        <w:t xml:space="preserve">„Nejdůležitější </w:t>
      </w:r>
      <w:r w:rsidR="00AB0673" w:rsidRPr="00553731">
        <w:rPr>
          <w:rFonts w:asciiTheme="minorHAnsi" w:eastAsia="Times New Roman" w:hAnsiTheme="minorHAnsi" w:cstheme="minorHAnsi"/>
          <w:i/>
          <w:sz w:val="21"/>
          <w:szCs w:val="21"/>
          <w:lang w:bidi="ar-SA"/>
        </w:rPr>
        <w:t xml:space="preserve">je nezůstat v tísni osamocený a </w:t>
      </w:r>
      <w:r w:rsidRPr="00F34643">
        <w:rPr>
          <w:rFonts w:asciiTheme="minorHAnsi" w:eastAsia="Times New Roman" w:hAnsiTheme="minorHAnsi" w:cstheme="minorHAnsi"/>
          <w:i/>
          <w:sz w:val="21"/>
          <w:szCs w:val="21"/>
          <w:lang w:bidi="ar-SA"/>
        </w:rPr>
        <w:t>co nejdříve kontaktovat finančního poradce nebo banku a hledat řešení,“</w:t>
      </w:r>
      <w:r w:rsidRPr="00F34643">
        <w:rPr>
          <w:rFonts w:asciiTheme="minorHAnsi" w:eastAsia="Times New Roman" w:hAnsiTheme="minorHAnsi" w:cstheme="minorHAnsi"/>
          <w:sz w:val="21"/>
          <w:szCs w:val="21"/>
          <w:lang w:bidi="ar-SA"/>
        </w:rPr>
        <w:t xml:space="preserve"> uzavírá </w:t>
      </w:r>
      <w:r w:rsidRPr="00F34643">
        <w:rPr>
          <w:rFonts w:asciiTheme="minorHAnsi" w:eastAsia="Times New Roman" w:hAnsiTheme="minorHAnsi" w:cstheme="minorHAnsi"/>
          <w:b/>
          <w:sz w:val="21"/>
          <w:szCs w:val="21"/>
          <w:lang w:bidi="ar-SA"/>
        </w:rPr>
        <w:t>Michaela Pudilová.</w:t>
      </w:r>
    </w:p>
    <w:p w14:paraId="06153168" w14:textId="49F64D54" w:rsidR="00236A37" w:rsidRPr="00AB7BAF" w:rsidRDefault="00C42CA5" w:rsidP="00B85CBF">
      <w:pPr>
        <w:pBdr>
          <w:top w:val="single" w:sz="4" w:space="1" w:color="auto"/>
        </w:pBdr>
        <w:spacing w:before="240" w:after="120"/>
        <w:rPr>
          <w:rFonts w:asciiTheme="minorHAnsi" w:hAnsiTheme="minorHAnsi" w:cstheme="minorHAnsi"/>
          <w:sz w:val="21"/>
          <w:szCs w:val="21"/>
        </w:rPr>
      </w:pPr>
      <w:r w:rsidRPr="0029038B">
        <w:rPr>
          <w:rFonts w:asciiTheme="minorHAnsi" w:hAnsiTheme="minorHAnsi" w:cstheme="minorHAnsi"/>
          <w:sz w:val="21"/>
          <w:szCs w:val="21"/>
        </w:rPr>
        <w:t xml:space="preserve">Broker </w:t>
      </w:r>
      <w:r w:rsidR="00C36E55" w:rsidRPr="0029038B">
        <w:rPr>
          <w:rFonts w:asciiTheme="minorHAnsi" w:hAnsiTheme="minorHAnsi" w:cstheme="minorHAnsi"/>
          <w:sz w:val="21"/>
          <w:szCs w:val="21"/>
        </w:rPr>
        <w:t>Con</w:t>
      </w:r>
      <w:r w:rsidR="007B0955">
        <w:rPr>
          <w:rFonts w:asciiTheme="minorHAnsi" w:hAnsiTheme="minorHAnsi" w:cstheme="minorHAnsi"/>
          <w:sz w:val="21"/>
          <w:szCs w:val="21"/>
        </w:rPr>
        <w:t>sultin</w:t>
      </w:r>
      <w:r w:rsidRPr="0029038B">
        <w:rPr>
          <w:rFonts w:asciiTheme="minorHAnsi" w:hAnsiTheme="minorHAnsi" w:cstheme="minorHAnsi"/>
          <w:sz w:val="21"/>
          <w:szCs w:val="21"/>
        </w:rPr>
        <w:t>g Index hypotečních úvěrů je analytický nástroj</w:t>
      </w:r>
      <w:r w:rsidR="00113603" w:rsidRPr="0029038B">
        <w:rPr>
          <w:rFonts w:asciiTheme="minorHAnsi" w:hAnsiTheme="minorHAnsi" w:cstheme="minorHAnsi"/>
          <w:sz w:val="21"/>
          <w:szCs w:val="21"/>
        </w:rPr>
        <w:t xml:space="preserve"> znázorňující</w:t>
      </w:r>
      <w:r w:rsidRPr="0029038B">
        <w:rPr>
          <w:rFonts w:asciiTheme="minorHAnsi" w:hAnsiTheme="minorHAnsi" w:cstheme="minorHAnsi"/>
          <w:sz w:val="21"/>
          <w:szCs w:val="21"/>
        </w:rPr>
        <w:t xml:space="preserve"> průměrnou úrokovou </w:t>
      </w:r>
      <w:r w:rsidRPr="00AB7BAF">
        <w:rPr>
          <w:rFonts w:asciiTheme="minorHAnsi" w:hAnsiTheme="minorHAnsi" w:cstheme="minorHAnsi"/>
          <w:sz w:val="21"/>
          <w:szCs w:val="21"/>
        </w:rPr>
        <w:t xml:space="preserve">sazbu u hypotečních úvěrů, </w:t>
      </w:r>
      <w:r w:rsidR="00113603" w:rsidRPr="00AB7BAF">
        <w:rPr>
          <w:rFonts w:asciiTheme="minorHAnsi" w:hAnsiTheme="minorHAnsi" w:cstheme="minorHAnsi"/>
          <w:sz w:val="21"/>
          <w:szCs w:val="21"/>
        </w:rPr>
        <w:t>které</w:t>
      </w:r>
      <w:r w:rsidRPr="00AB7BAF">
        <w:rPr>
          <w:rFonts w:asciiTheme="minorHAnsi" w:hAnsiTheme="minorHAnsi" w:cstheme="minorHAnsi"/>
          <w:sz w:val="21"/>
          <w:szCs w:val="21"/>
        </w:rPr>
        <w:t xml:space="preserve"> zprostředkovali konzultanti Brok</w:t>
      </w:r>
      <w:r w:rsidR="00776A31">
        <w:rPr>
          <w:rFonts w:asciiTheme="minorHAnsi" w:hAnsiTheme="minorHAnsi" w:cstheme="minorHAnsi"/>
          <w:sz w:val="21"/>
          <w:szCs w:val="21"/>
        </w:rPr>
        <w:t>er Consulting a pobočky Broker Point nebo Broker Point Premium</w:t>
      </w:r>
      <w:r w:rsidRPr="00AB7BAF">
        <w:rPr>
          <w:rFonts w:asciiTheme="minorHAnsi" w:hAnsiTheme="minorHAnsi" w:cstheme="minorHAnsi"/>
          <w:sz w:val="21"/>
          <w:szCs w:val="21"/>
        </w:rPr>
        <w:t xml:space="preserve"> u kteréhokoli poskytovatele hypotečních úvěrů. Jedná se o vážený aritmetický průměr, kdy hlavní vahou je objem úvěru. Tedy čím vyšší úvěr, tím jeho sazba </w:t>
      </w:r>
      <w:r w:rsidR="00113603" w:rsidRPr="00AB7BAF">
        <w:rPr>
          <w:rFonts w:asciiTheme="minorHAnsi" w:hAnsiTheme="minorHAnsi" w:cstheme="minorHAnsi"/>
          <w:sz w:val="21"/>
          <w:szCs w:val="21"/>
        </w:rPr>
        <w:t xml:space="preserve">vstupuje </w:t>
      </w:r>
      <w:r w:rsidRPr="00AB7BAF">
        <w:rPr>
          <w:rFonts w:asciiTheme="minorHAnsi" w:hAnsiTheme="minorHAnsi" w:cstheme="minorHAnsi"/>
          <w:sz w:val="21"/>
          <w:szCs w:val="21"/>
        </w:rPr>
        <w:t xml:space="preserve">do indexu větší vahou. </w:t>
      </w:r>
      <w:r w:rsidRPr="00AB7BAF">
        <w:rPr>
          <w:rFonts w:asciiTheme="minorHAnsi" w:hAnsiTheme="minorHAnsi" w:cstheme="minorHAnsi"/>
          <w:b/>
          <w:sz w:val="21"/>
          <w:szCs w:val="21"/>
        </w:rPr>
        <w:t xml:space="preserve">Výhodou metody výpočtu </w:t>
      </w:r>
      <w:r w:rsidR="00C7532A" w:rsidRPr="00AB7BAF">
        <w:rPr>
          <w:rFonts w:asciiTheme="minorHAnsi" w:hAnsiTheme="minorHAnsi" w:cstheme="minorHAnsi"/>
          <w:b/>
          <w:sz w:val="21"/>
          <w:szCs w:val="21"/>
        </w:rPr>
        <w:t xml:space="preserve">indexu </w:t>
      </w:r>
      <w:r w:rsidRPr="00AB7BAF">
        <w:rPr>
          <w:rFonts w:asciiTheme="minorHAnsi" w:hAnsiTheme="minorHAnsi" w:cstheme="minorHAnsi"/>
          <w:b/>
          <w:sz w:val="21"/>
          <w:szCs w:val="21"/>
        </w:rPr>
        <w:t>je skutečnost, že se do statistiky dostávají pouze skutečně schválené úvěry, a to bez výjimky všechny.</w:t>
      </w:r>
      <w:r w:rsidRPr="00AB7BAF">
        <w:rPr>
          <w:rFonts w:asciiTheme="minorHAnsi" w:hAnsiTheme="minorHAnsi" w:cstheme="minorHAnsi"/>
          <w:sz w:val="21"/>
          <w:szCs w:val="21"/>
        </w:rPr>
        <w:t xml:space="preserve"> Nemůže tak dojít ke zkreslení informací a index není závislý na dodávkách třetích stran. </w:t>
      </w:r>
    </w:p>
    <w:p w14:paraId="70EFA666" w14:textId="4A6CAE48" w:rsidR="002E6DB6" w:rsidRPr="00AB7BAF" w:rsidRDefault="00C42CA5" w:rsidP="007B1851">
      <w:pPr>
        <w:spacing w:after="120"/>
        <w:rPr>
          <w:rFonts w:asciiTheme="minorHAnsi" w:hAnsiTheme="minorHAnsi" w:cstheme="minorHAnsi"/>
          <w:sz w:val="21"/>
          <w:szCs w:val="21"/>
        </w:rPr>
      </w:pPr>
      <w:r w:rsidRPr="00AB7BAF">
        <w:rPr>
          <w:rFonts w:asciiTheme="minorHAnsi" w:hAnsiTheme="minorHAnsi" w:cstheme="minorHAnsi"/>
          <w:sz w:val="21"/>
          <w:szCs w:val="21"/>
        </w:rPr>
        <w:t>V principu se Broker Consulting Index hypotečních úvěrů počítá ze sazeb, které jsou v danou chvíli pro daného klienta nejnižší na trhu</w:t>
      </w:r>
      <w:r w:rsidR="00FA2D1E" w:rsidRPr="00AB7BAF">
        <w:rPr>
          <w:rFonts w:asciiTheme="minorHAnsi" w:hAnsiTheme="minorHAnsi" w:cstheme="minorHAnsi"/>
          <w:sz w:val="21"/>
          <w:szCs w:val="21"/>
        </w:rPr>
        <w:t>,</w:t>
      </w:r>
      <w:r w:rsidRPr="00AB7BAF">
        <w:rPr>
          <w:rFonts w:asciiTheme="minorHAnsi" w:hAnsiTheme="minorHAnsi" w:cstheme="minorHAnsi"/>
          <w:sz w:val="21"/>
          <w:szCs w:val="21"/>
        </w:rPr>
        <w:t xml:space="preserve"> </w:t>
      </w:r>
      <w:r w:rsidR="00FA2D1E" w:rsidRPr="00AB7BAF">
        <w:rPr>
          <w:rFonts w:asciiTheme="minorHAnsi" w:hAnsiTheme="minorHAnsi" w:cstheme="minorHAnsi"/>
          <w:sz w:val="21"/>
          <w:szCs w:val="21"/>
        </w:rPr>
        <w:t>a</w:t>
      </w:r>
      <w:r w:rsidRPr="00AB7BAF">
        <w:rPr>
          <w:rFonts w:asciiTheme="minorHAnsi" w:hAnsiTheme="minorHAnsi" w:cstheme="minorHAnsi"/>
          <w:sz w:val="21"/>
          <w:szCs w:val="21"/>
        </w:rPr>
        <w:t xml:space="preserve">nebo se nejnižší hranici přibližují, neboť klient si vybírá z mnoha možností, které mu trh v danou chvíli nabízí. A většinou si vybírá právě nejnižší sazbu úvěru, který i v jiných parametrech splňuje jejich podmínky. Broker Consulting ročně zprostředkuje úvěry v objemu přesahujícím 13 miliard korun. </w:t>
      </w:r>
    </w:p>
    <w:p w14:paraId="0584C559" w14:textId="7CB832AA" w:rsidR="00C21F84" w:rsidRPr="00C21F84" w:rsidRDefault="002E6DB6" w:rsidP="00C21F84">
      <w:pPr>
        <w:pBdr>
          <w:bottom w:val="single" w:sz="4" w:space="1" w:color="auto"/>
        </w:pBdr>
        <w:spacing w:after="120"/>
        <w:rPr>
          <w:rFonts w:asciiTheme="minorHAnsi" w:hAnsiTheme="minorHAnsi" w:cstheme="minorHAnsi"/>
          <w:sz w:val="21"/>
          <w:szCs w:val="21"/>
        </w:rPr>
      </w:pPr>
      <w:r w:rsidRPr="00AB7BAF">
        <w:rPr>
          <w:rFonts w:asciiTheme="minorHAnsi" w:hAnsiTheme="minorHAnsi" w:cstheme="minorHAnsi"/>
          <w:color w:val="000000"/>
          <w:sz w:val="21"/>
          <w:szCs w:val="21"/>
        </w:rPr>
        <w:t>Předstihový ukazatel Broker Consulting Indexu hypotečních úvěrů a jeho výpočet rea</w:t>
      </w:r>
      <w:r w:rsidR="008C75D3" w:rsidRPr="00AB7BAF">
        <w:rPr>
          <w:rFonts w:asciiTheme="minorHAnsi" w:hAnsiTheme="minorHAnsi" w:cstheme="minorHAnsi"/>
          <w:color w:val="000000"/>
          <w:sz w:val="21"/>
          <w:szCs w:val="21"/>
        </w:rPr>
        <w:t>guje na potřebu aktuálního výhledu výše sazeb, ve kterém se budou v daném měsíci poskytovat hypoteční úvěry zprostředkovávané od většiny bankovních institucí v tuzemsku. Ve výpočtu jde o aritmetick</w:t>
      </w:r>
      <w:r w:rsidR="00057F54" w:rsidRPr="00AB7BAF">
        <w:rPr>
          <w:rFonts w:asciiTheme="minorHAnsi" w:hAnsiTheme="minorHAnsi" w:cstheme="minorHAnsi"/>
          <w:color w:val="000000"/>
          <w:sz w:val="21"/>
          <w:szCs w:val="21"/>
        </w:rPr>
        <w:t>ý průměr nabízených úrokových sazeb</w:t>
      </w:r>
      <w:r w:rsidR="00807AD4" w:rsidRPr="00AB7BAF">
        <w:rPr>
          <w:rFonts w:asciiTheme="minorHAnsi" w:hAnsiTheme="minorHAnsi" w:cstheme="minorHAnsi"/>
          <w:color w:val="000000"/>
          <w:sz w:val="21"/>
          <w:szCs w:val="21"/>
        </w:rPr>
        <w:t xml:space="preserve"> v konkrétním </w:t>
      </w:r>
      <w:r w:rsidR="008C75D3" w:rsidRPr="00AB7BAF">
        <w:rPr>
          <w:rFonts w:asciiTheme="minorHAnsi" w:hAnsiTheme="minorHAnsi" w:cstheme="minorHAnsi"/>
          <w:color w:val="000000"/>
          <w:sz w:val="21"/>
          <w:szCs w:val="21"/>
        </w:rPr>
        <w:t>měsíci, ve kterém se zveřejňují hodnoty Broker Consulting Indexu hypotečních úvěrů.</w:t>
      </w:r>
      <w:r w:rsidR="00CC3D3D" w:rsidRPr="00AB7BAF">
        <w:rPr>
          <w:rFonts w:asciiTheme="minorHAnsi" w:hAnsiTheme="minorHAnsi" w:cstheme="minorHAnsi"/>
          <w:color w:val="000000"/>
          <w:sz w:val="21"/>
          <w:szCs w:val="21"/>
        </w:rPr>
        <w:t xml:space="preserve"> Vzhledem ke statisti</w:t>
      </w:r>
      <w:r w:rsidR="004919CC" w:rsidRPr="00AB7BAF">
        <w:rPr>
          <w:rFonts w:asciiTheme="minorHAnsi" w:hAnsiTheme="minorHAnsi" w:cstheme="minorHAnsi"/>
          <w:color w:val="000000"/>
          <w:sz w:val="21"/>
          <w:szCs w:val="21"/>
        </w:rPr>
        <w:t>ce preferovaných fixací byla při výpoč</w:t>
      </w:r>
      <w:r w:rsidR="00CC3D3D" w:rsidRPr="00AB7BAF">
        <w:rPr>
          <w:rFonts w:asciiTheme="minorHAnsi" w:hAnsiTheme="minorHAnsi" w:cstheme="minorHAnsi"/>
          <w:color w:val="000000"/>
          <w:sz w:val="21"/>
          <w:szCs w:val="21"/>
        </w:rPr>
        <w:t>t</w:t>
      </w:r>
      <w:r w:rsidR="004919CC" w:rsidRPr="00AB7BAF">
        <w:rPr>
          <w:rFonts w:asciiTheme="minorHAnsi" w:hAnsiTheme="minorHAnsi" w:cstheme="minorHAnsi"/>
          <w:color w:val="000000"/>
          <w:sz w:val="21"/>
          <w:szCs w:val="21"/>
        </w:rPr>
        <w:t>u zohledněna</w:t>
      </w:r>
      <w:r w:rsidR="00CC3D3D" w:rsidRPr="00AB7BAF">
        <w:rPr>
          <w:rFonts w:asciiTheme="minorHAnsi" w:hAnsiTheme="minorHAnsi" w:cstheme="minorHAnsi"/>
          <w:color w:val="000000"/>
          <w:sz w:val="21"/>
          <w:szCs w:val="21"/>
        </w:rPr>
        <w:t xml:space="preserve"> pětiletá fixace úrokových sazeb.</w:t>
      </w:r>
    </w:p>
    <w:p w14:paraId="5FCF3C96" w14:textId="79E57602" w:rsidR="00B01F39" w:rsidRPr="00C21F84" w:rsidRDefault="00C947C0" w:rsidP="007B1851">
      <w:pPr>
        <w:rPr>
          <w:rFonts w:asciiTheme="minorHAnsi" w:hAnsiTheme="minorHAnsi" w:cstheme="minorHAnsi"/>
          <w:i/>
          <w:color w:val="1D1D1B"/>
          <w:w w:val="105"/>
          <w:sz w:val="20"/>
          <w:szCs w:val="20"/>
        </w:rPr>
      </w:pPr>
      <w:r w:rsidRPr="00C21F84">
        <w:rPr>
          <w:rFonts w:asciiTheme="minorHAnsi" w:hAnsiTheme="minorHAnsi" w:cstheme="minorHAnsi"/>
          <w:b/>
          <w:sz w:val="20"/>
          <w:szCs w:val="20"/>
        </w:rPr>
        <w:t>P</w:t>
      </w:r>
      <w:r w:rsidR="00B37F41" w:rsidRPr="00C21F84">
        <w:rPr>
          <w:rFonts w:asciiTheme="minorHAnsi" w:hAnsiTheme="minorHAnsi" w:cstheme="minorHAnsi"/>
          <w:b/>
          <w:sz w:val="20"/>
          <w:szCs w:val="20"/>
        </w:rPr>
        <w:t>oznámka pro média:</w:t>
      </w:r>
      <w:r w:rsidR="00B37F41" w:rsidRPr="00C21F84">
        <w:rPr>
          <w:rFonts w:asciiTheme="minorHAnsi" w:hAnsiTheme="minorHAnsi" w:cstheme="minorHAnsi"/>
          <w:sz w:val="20"/>
          <w:szCs w:val="20"/>
        </w:rPr>
        <w:t xml:space="preserve"> </w:t>
      </w:r>
      <w:r w:rsidR="00B37F41" w:rsidRPr="00C21F84">
        <w:rPr>
          <w:rFonts w:asciiTheme="minorHAnsi" w:hAnsiTheme="minorHAnsi" w:cstheme="minorHAnsi"/>
          <w:color w:val="1D1D1B"/>
          <w:w w:val="105"/>
          <w:sz w:val="20"/>
          <w:szCs w:val="20"/>
        </w:rPr>
        <w:t>Broker</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w w:val="105"/>
          <w:sz w:val="20"/>
          <w:szCs w:val="20"/>
        </w:rPr>
        <w:t>Consulting</w:t>
      </w:r>
      <w:r w:rsidR="00B37F41" w:rsidRPr="00C21F84">
        <w:rPr>
          <w:rFonts w:asciiTheme="minorHAnsi" w:hAnsiTheme="minorHAnsi" w:cstheme="minorHAnsi"/>
          <w:color w:val="1D1D1B"/>
          <w:spacing w:val="-8"/>
          <w:w w:val="105"/>
          <w:sz w:val="20"/>
          <w:szCs w:val="20"/>
        </w:rPr>
        <w:t xml:space="preserve"> </w:t>
      </w:r>
      <w:r w:rsidR="00B37F41" w:rsidRPr="00C21F84">
        <w:rPr>
          <w:rFonts w:asciiTheme="minorHAnsi" w:hAnsiTheme="minorHAnsi" w:cstheme="minorHAnsi"/>
          <w:color w:val="1D1D1B"/>
          <w:w w:val="105"/>
          <w:sz w:val="20"/>
          <w:szCs w:val="20"/>
        </w:rPr>
        <w:t>Indexy</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w w:val="105"/>
          <w:sz w:val="20"/>
          <w:szCs w:val="20"/>
        </w:rPr>
        <w:t>je</w:t>
      </w:r>
      <w:r w:rsidR="00B37F41" w:rsidRPr="00C21F84">
        <w:rPr>
          <w:rFonts w:asciiTheme="minorHAnsi" w:hAnsiTheme="minorHAnsi" w:cstheme="minorHAnsi"/>
          <w:color w:val="1D1D1B"/>
          <w:spacing w:val="-8"/>
          <w:w w:val="105"/>
          <w:sz w:val="20"/>
          <w:szCs w:val="20"/>
        </w:rPr>
        <w:t xml:space="preserve"> </w:t>
      </w:r>
      <w:r w:rsidR="00B37F41" w:rsidRPr="00C21F84">
        <w:rPr>
          <w:rFonts w:asciiTheme="minorHAnsi" w:hAnsiTheme="minorHAnsi" w:cstheme="minorHAnsi"/>
          <w:color w:val="1D1D1B"/>
          <w:w w:val="105"/>
          <w:sz w:val="20"/>
          <w:szCs w:val="20"/>
        </w:rPr>
        <w:t>možné</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w w:val="105"/>
          <w:sz w:val="20"/>
          <w:szCs w:val="20"/>
        </w:rPr>
        <w:t>volně</w:t>
      </w:r>
      <w:r w:rsidR="00B37F41" w:rsidRPr="00C21F84">
        <w:rPr>
          <w:rFonts w:asciiTheme="minorHAnsi" w:hAnsiTheme="minorHAnsi" w:cstheme="minorHAnsi"/>
          <w:color w:val="1D1D1B"/>
          <w:spacing w:val="-8"/>
          <w:w w:val="105"/>
          <w:sz w:val="20"/>
          <w:szCs w:val="20"/>
        </w:rPr>
        <w:t xml:space="preserve"> </w:t>
      </w:r>
      <w:r w:rsidR="00B37F41" w:rsidRPr="00C21F84">
        <w:rPr>
          <w:rFonts w:asciiTheme="minorHAnsi" w:hAnsiTheme="minorHAnsi" w:cstheme="minorHAnsi"/>
          <w:color w:val="1D1D1B"/>
          <w:spacing w:val="2"/>
          <w:w w:val="105"/>
          <w:sz w:val="20"/>
          <w:szCs w:val="20"/>
        </w:rPr>
        <w:t>publikovat</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w w:val="105"/>
          <w:sz w:val="20"/>
          <w:szCs w:val="20"/>
        </w:rPr>
        <w:t>pouze</w:t>
      </w:r>
      <w:r w:rsidR="00B37F41" w:rsidRPr="00C21F84">
        <w:rPr>
          <w:rFonts w:asciiTheme="minorHAnsi" w:hAnsiTheme="minorHAnsi" w:cstheme="minorHAnsi"/>
          <w:color w:val="1D1D1B"/>
          <w:spacing w:val="-8"/>
          <w:w w:val="105"/>
          <w:sz w:val="20"/>
          <w:szCs w:val="20"/>
        </w:rPr>
        <w:t xml:space="preserve"> </w:t>
      </w:r>
      <w:r w:rsidR="00B37F41" w:rsidRPr="00C21F84">
        <w:rPr>
          <w:rFonts w:asciiTheme="minorHAnsi" w:hAnsiTheme="minorHAnsi" w:cstheme="minorHAnsi"/>
          <w:color w:val="1D1D1B"/>
          <w:w w:val="105"/>
          <w:sz w:val="20"/>
          <w:szCs w:val="20"/>
        </w:rPr>
        <w:t>s</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w w:val="105"/>
          <w:sz w:val="20"/>
          <w:szCs w:val="20"/>
        </w:rPr>
        <w:t>označením</w:t>
      </w:r>
      <w:r w:rsidR="00B37F41" w:rsidRPr="00C21F84">
        <w:rPr>
          <w:rFonts w:asciiTheme="minorHAnsi" w:hAnsiTheme="minorHAnsi" w:cstheme="minorHAnsi"/>
          <w:color w:val="1D1D1B"/>
          <w:spacing w:val="-8"/>
          <w:w w:val="105"/>
          <w:sz w:val="20"/>
          <w:szCs w:val="20"/>
        </w:rPr>
        <w:t xml:space="preserve"> </w:t>
      </w:r>
      <w:r w:rsidR="00B37F41" w:rsidRPr="00C21F84">
        <w:rPr>
          <w:rFonts w:asciiTheme="minorHAnsi" w:hAnsiTheme="minorHAnsi" w:cstheme="minorHAnsi"/>
          <w:color w:val="1D1D1B"/>
          <w:w w:val="105"/>
          <w:sz w:val="20"/>
          <w:szCs w:val="20"/>
        </w:rPr>
        <w:t>„Broker</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w w:val="105"/>
          <w:sz w:val="20"/>
          <w:szCs w:val="20"/>
        </w:rPr>
        <w:t>Consulting</w:t>
      </w:r>
      <w:r w:rsidR="00B37F41" w:rsidRPr="00C21F84">
        <w:rPr>
          <w:rFonts w:asciiTheme="minorHAnsi" w:hAnsiTheme="minorHAnsi" w:cstheme="minorHAnsi"/>
          <w:color w:val="1D1D1B"/>
          <w:spacing w:val="-8"/>
          <w:w w:val="105"/>
          <w:sz w:val="20"/>
          <w:szCs w:val="20"/>
        </w:rPr>
        <w:t xml:space="preserve"> </w:t>
      </w:r>
      <w:r w:rsidR="00B37F41" w:rsidRPr="00C21F84">
        <w:rPr>
          <w:rFonts w:asciiTheme="minorHAnsi" w:hAnsiTheme="minorHAnsi" w:cstheme="minorHAnsi"/>
          <w:color w:val="1D1D1B"/>
          <w:w w:val="105"/>
          <w:sz w:val="20"/>
          <w:szCs w:val="20"/>
        </w:rPr>
        <w:t>Index“</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spacing w:val="-3"/>
          <w:w w:val="105"/>
          <w:sz w:val="20"/>
          <w:szCs w:val="20"/>
        </w:rPr>
        <w:t>(</w:t>
      </w:r>
      <w:r w:rsidR="00B37F41" w:rsidRPr="00C21F84">
        <w:rPr>
          <w:rFonts w:asciiTheme="minorHAnsi" w:hAnsiTheme="minorHAnsi" w:cstheme="minorHAnsi"/>
          <w:i/>
          <w:color w:val="1D1D1B"/>
          <w:spacing w:val="-3"/>
          <w:w w:val="105"/>
          <w:sz w:val="20"/>
          <w:szCs w:val="20"/>
        </w:rPr>
        <w:t>např.</w:t>
      </w:r>
      <w:r w:rsidR="00B37F41" w:rsidRPr="00C21F84">
        <w:rPr>
          <w:rFonts w:asciiTheme="minorHAnsi" w:hAnsiTheme="minorHAnsi" w:cstheme="minorHAnsi"/>
          <w:i/>
          <w:color w:val="1D1D1B"/>
          <w:spacing w:val="-8"/>
          <w:w w:val="105"/>
          <w:sz w:val="20"/>
          <w:szCs w:val="20"/>
        </w:rPr>
        <w:t xml:space="preserve"> </w:t>
      </w:r>
      <w:r w:rsidR="00B37F41" w:rsidRPr="00C21F84">
        <w:rPr>
          <w:rFonts w:asciiTheme="minorHAnsi" w:hAnsiTheme="minorHAnsi" w:cstheme="minorHAnsi"/>
          <w:i/>
          <w:color w:val="1D1D1B"/>
          <w:w w:val="105"/>
          <w:sz w:val="20"/>
          <w:szCs w:val="20"/>
        </w:rPr>
        <w:t>Broker</w:t>
      </w:r>
      <w:r w:rsidR="00B37F41" w:rsidRPr="00C21F84">
        <w:rPr>
          <w:rFonts w:asciiTheme="minorHAnsi" w:hAnsiTheme="minorHAnsi" w:cstheme="minorHAnsi"/>
          <w:i/>
          <w:color w:val="1D1D1B"/>
          <w:spacing w:val="-9"/>
          <w:w w:val="105"/>
          <w:sz w:val="20"/>
          <w:szCs w:val="20"/>
        </w:rPr>
        <w:t xml:space="preserve"> </w:t>
      </w:r>
      <w:r w:rsidR="00B37F41" w:rsidRPr="00C21F84">
        <w:rPr>
          <w:rFonts w:asciiTheme="minorHAnsi" w:hAnsiTheme="minorHAnsi" w:cstheme="minorHAnsi"/>
          <w:i/>
          <w:color w:val="1D1D1B"/>
          <w:w w:val="105"/>
          <w:sz w:val="20"/>
          <w:szCs w:val="20"/>
        </w:rPr>
        <w:t>Consulting</w:t>
      </w:r>
      <w:r w:rsidR="00B37F41" w:rsidRPr="00C21F84">
        <w:rPr>
          <w:rFonts w:asciiTheme="minorHAnsi" w:hAnsiTheme="minorHAnsi" w:cstheme="minorHAnsi"/>
          <w:i/>
          <w:color w:val="1D1D1B"/>
          <w:spacing w:val="-8"/>
          <w:w w:val="105"/>
          <w:sz w:val="20"/>
          <w:szCs w:val="20"/>
        </w:rPr>
        <w:t xml:space="preserve"> </w:t>
      </w:r>
      <w:r w:rsidR="00B37F41" w:rsidRPr="00C21F84">
        <w:rPr>
          <w:rFonts w:asciiTheme="minorHAnsi" w:hAnsiTheme="minorHAnsi" w:cstheme="minorHAnsi"/>
          <w:i/>
          <w:color w:val="1D1D1B"/>
          <w:w w:val="105"/>
          <w:sz w:val="20"/>
          <w:szCs w:val="20"/>
        </w:rPr>
        <w:t>index hypot</w:t>
      </w:r>
      <w:r w:rsidR="00830CE8" w:rsidRPr="00C21F84">
        <w:rPr>
          <w:rFonts w:asciiTheme="minorHAnsi" w:hAnsiTheme="minorHAnsi" w:cstheme="minorHAnsi"/>
          <w:i/>
          <w:color w:val="1D1D1B"/>
          <w:w w:val="105"/>
          <w:sz w:val="20"/>
          <w:szCs w:val="20"/>
        </w:rPr>
        <w:t>e</w:t>
      </w:r>
      <w:r w:rsidR="00B37F41" w:rsidRPr="00C21F84">
        <w:rPr>
          <w:rFonts w:asciiTheme="minorHAnsi" w:hAnsiTheme="minorHAnsi" w:cstheme="minorHAnsi"/>
          <w:i/>
          <w:color w:val="1D1D1B"/>
          <w:w w:val="105"/>
          <w:sz w:val="20"/>
          <w:szCs w:val="20"/>
        </w:rPr>
        <w:t xml:space="preserve">čních úvěrů). Více informací najdete též na webu </w:t>
      </w:r>
      <w:r w:rsidR="00B37F41" w:rsidRPr="00C21F84">
        <w:rPr>
          <w:rStyle w:val="Hypertextovodkaz"/>
          <w:rFonts w:asciiTheme="minorHAnsi" w:hAnsiTheme="minorHAnsi" w:cstheme="minorHAnsi"/>
          <w:i/>
          <w:w w:val="105"/>
          <w:sz w:val="20"/>
          <w:szCs w:val="20"/>
        </w:rPr>
        <w:t>https://www.bcas.cz/onas/pro-media/</w:t>
      </w:r>
      <w:r w:rsidR="00B37F41" w:rsidRPr="00C21F84">
        <w:rPr>
          <w:rFonts w:asciiTheme="minorHAnsi" w:hAnsiTheme="minorHAnsi" w:cstheme="minorHAnsi"/>
          <w:i/>
          <w:color w:val="1D1D1B"/>
          <w:w w:val="105"/>
          <w:sz w:val="20"/>
          <w:szCs w:val="20"/>
        </w:rPr>
        <w:t xml:space="preserve">. </w:t>
      </w:r>
    </w:p>
    <w:p w14:paraId="0BBC87EC" w14:textId="77777777" w:rsidR="001C22FE" w:rsidRPr="00C21F84" w:rsidRDefault="001C22FE" w:rsidP="001C22FE">
      <w:pPr>
        <w:rPr>
          <w:rFonts w:asciiTheme="minorHAnsi" w:hAnsiTheme="minorHAnsi" w:cstheme="minorHAnsi"/>
          <w:b/>
          <w:color w:val="FF0000"/>
          <w:w w:val="105"/>
          <w:sz w:val="20"/>
          <w:szCs w:val="20"/>
        </w:rPr>
      </w:pPr>
    </w:p>
    <w:p w14:paraId="72ED1D97" w14:textId="126A9B30" w:rsidR="001C22FE" w:rsidRPr="00C21F84" w:rsidRDefault="001C22FE" w:rsidP="007B1851">
      <w:pPr>
        <w:rPr>
          <w:rFonts w:asciiTheme="minorHAnsi" w:hAnsiTheme="minorHAnsi" w:cstheme="minorHAnsi"/>
          <w:b/>
          <w:color w:val="1D1D1B"/>
          <w:w w:val="105"/>
          <w:sz w:val="20"/>
          <w:szCs w:val="20"/>
        </w:rPr>
      </w:pPr>
      <w:r w:rsidRPr="00C21F84">
        <w:rPr>
          <w:rFonts w:asciiTheme="minorHAnsi" w:hAnsiTheme="minorHAnsi" w:cstheme="minorHAnsi"/>
          <w:b/>
          <w:color w:val="FF0000"/>
          <w:w w:val="105"/>
          <w:sz w:val="20"/>
          <w:szCs w:val="20"/>
        </w:rPr>
        <w:t>Broker Consulting Indexy je nyní možné sledovat v interaktivní formě na webu</w:t>
      </w:r>
      <w:r w:rsidRPr="00C21F84">
        <w:rPr>
          <w:rFonts w:asciiTheme="minorHAnsi" w:hAnsiTheme="minorHAnsi" w:cstheme="minorHAnsi"/>
          <w:color w:val="1D1D1B"/>
          <w:w w:val="105"/>
          <w:sz w:val="20"/>
          <w:szCs w:val="20"/>
        </w:rPr>
        <w:t>. Zde lze zároveň exportovat zdrojová data ke grafům. Vice dostupné na odkaze</w:t>
      </w:r>
      <w:r w:rsidRPr="00C21F84">
        <w:rPr>
          <w:rFonts w:asciiTheme="minorHAnsi" w:hAnsiTheme="minorHAnsi" w:cstheme="minorHAnsi"/>
          <w:b/>
          <w:color w:val="1D1D1B"/>
          <w:w w:val="105"/>
          <w:sz w:val="20"/>
          <w:szCs w:val="20"/>
        </w:rPr>
        <w:t xml:space="preserve">: </w:t>
      </w:r>
      <w:hyperlink r:id="rId30" w:history="1">
        <w:r w:rsidRPr="00C21F84">
          <w:rPr>
            <w:rStyle w:val="Hypertextovodkaz"/>
            <w:rFonts w:asciiTheme="minorHAnsi" w:hAnsiTheme="minorHAnsi" w:cstheme="minorHAnsi"/>
            <w:b/>
            <w:w w:val="105"/>
            <w:sz w:val="20"/>
            <w:szCs w:val="20"/>
          </w:rPr>
          <w:t>https://www.bcas.cz/o-nas/broker-consulting-index-hypotecnich-uveru/</w:t>
        </w:r>
      </w:hyperlink>
      <w:r w:rsidRPr="00C21F84">
        <w:rPr>
          <w:rFonts w:asciiTheme="minorHAnsi" w:hAnsiTheme="minorHAnsi" w:cstheme="minorHAnsi"/>
          <w:b/>
          <w:color w:val="1D1D1B"/>
          <w:w w:val="105"/>
          <w:sz w:val="20"/>
          <w:szCs w:val="20"/>
        </w:rPr>
        <w:t xml:space="preserve">. </w:t>
      </w:r>
    </w:p>
    <w:p w14:paraId="7DE80F01" w14:textId="5F0A8380" w:rsidR="00CA1806" w:rsidRPr="00C21F84" w:rsidRDefault="00CA1806" w:rsidP="00B27178">
      <w:pPr>
        <w:jc w:val="both"/>
        <w:rPr>
          <w:rFonts w:asciiTheme="minorHAnsi" w:eastAsia="Calibri" w:hAnsiTheme="minorHAnsi" w:cstheme="minorHAnsi"/>
          <w:b/>
          <w:bCs/>
          <w:noProof/>
          <w:sz w:val="20"/>
          <w:szCs w:val="20"/>
        </w:rPr>
      </w:pPr>
    </w:p>
    <w:p w14:paraId="7C1907C0" w14:textId="1D2EC938" w:rsidR="00D60D98" w:rsidRPr="00C21F84" w:rsidRDefault="00D60D98" w:rsidP="0029038B">
      <w:pPr>
        <w:spacing w:after="120"/>
        <w:rPr>
          <w:rFonts w:asciiTheme="minorHAnsi" w:eastAsia="Calibri" w:hAnsiTheme="minorHAnsi" w:cstheme="minorHAnsi"/>
          <w:b/>
          <w:bCs/>
          <w:noProof/>
          <w:sz w:val="20"/>
          <w:szCs w:val="20"/>
        </w:rPr>
      </w:pPr>
      <w:r w:rsidRPr="00C21F84">
        <w:rPr>
          <w:rFonts w:asciiTheme="minorHAnsi" w:eastAsia="Calibri" w:hAnsiTheme="minorHAnsi" w:cstheme="minorHAnsi"/>
          <w:b/>
          <w:bCs/>
          <w:noProof/>
          <w:sz w:val="20"/>
          <w:szCs w:val="20"/>
        </w:rPr>
        <w:t>Kontakt pro média:</w:t>
      </w:r>
    </w:p>
    <w:p w14:paraId="459105C8" w14:textId="19390DF7" w:rsidR="00692610" w:rsidRPr="00C21F84" w:rsidRDefault="0029038B" w:rsidP="00C07D5F">
      <w:pPr>
        <w:rPr>
          <w:rFonts w:asciiTheme="minorHAnsi" w:eastAsia="Calibri" w:hAnsiTheme="minorHAnsi" w:cstheme="minorHAnsi"/>
          <w:bCs/>
          <w:noProof/>
          <w:sz w:val="20"/>
          <w:szCs w:val="20"/>
          <w:lang w:bidi="ar-SA"/>
        </w:rPr>
      </w:pPr>
      <w:r>
        <w:rPr>
          <w:rFonts w:asciiTheme="minorHAnsi" w:eastAsia="Calibri" w:hAnsiTheme="minorHAnsi" w:cstheme="minorHAnsi"/>
          <w:bCs/>
          <w:noProof/>
          <w:sz w:val="20"/>
          <w:szCs w:val="20"/>
        </w:rPr>
        <w:t>Lenka Kuželová</w:t>
      </w:r>
    </w:p>
    <w:p w14:paraId="1DBDA364" w14:textId="46DCE93E" w:rsidR="005F2383" w:rsidRPr="00C21F84" w:rsidRDefault="00692610" w:rsidP="00C07D5F">
      <w:pPr>
        <w:pStyle w:val="Bezmezer"/>
        <w:rPr>
          <w:rFonts w:eastAsia="Calibri" w:cstheme="minorHAnsi"/>
          <w:noProof/>
          <w:sz w:val="20"/>
          <w:szCs w:val="20"/>
        </w:rPr>
      </w:pPr>
      <w:r w:rsidRPr="00C21F84">
        <w:rPr>
          <w:rFonts w:eastAsia="Calibri" w:cstheme="minorHAnsi"/>
          <w:noProof/>
          <w:sz w:val="20"/>
          <w:szCs w:val="20"/>
        </w:rPr>
        <w:t xml:space="preserve">Specialistka PR </w:t>
      </w:r>
    </w:p>
    <w:p w14:paraId="2CCB0CE9" w14:textId="3221ACD0" w:rsidR="0029038B" w:rsidRDefault="0029038B" w:rsidP="0029038B">
      <w:pPr>
        <w:pStyle w:val="Bezmezer"/>
        <w:rPr>
          <w:rFonts w:eastAsia="F015TEELig" w:cstheme="minorHAnsi"/>
          <w:sz w:val="21"/>
          <w:szCs w:val="21"/>
        </w:rPr>
      </w:pPr>
      <w:r>
        <w:rPr>
          <w:rFonts w:eastAsia="F015TEELig" w:cstheme="minorHAnsi"/>
          <w:sz w:val="21"/>
          <w:szCs w:val="21"/>
        </w:rPr>
        <w:t>Mobil:</w:t>
      </w:r>
      <w:r w:rsidR="0085766D">
        <w:rPr>
          <w:rFonts w:eastAsia="F015TEELig" w:cstheme="minorHAnsi"/>
          <w:sz w:val="21"/>
          <w:szCs w:val="21"/>
        </w:rPr>
        <w:t xml:space="preserve"> +420 731 537 696</w:t>
      </w:r>
      <w:r w:rsidRPr="00AD79CC">
        <w:rPr>
          <w:rFonts w:eastAsia="F015TEELig" w:cstheme="minorHAnsi"/>
          <w:sz w:val="21"/>
          <w:szCs w:val="21"/>
        </w:rPr>
        <w:t xml:space="preserve">, </w:t>
      </w:r>
    </w:p>
    <w:p w14:paraId="46F484FA" w14:textId="2D9E4BB4" w:rsidR="0029038B" w:rsidRPr="00AD79CC" w:rsidRDefault="0029038B" w:rsidP="0029038B">
      <w:pPr>
        <w:pStyle w:val="Bezmezer"/>
        <w:rPr>
          <w:rFonts w:eastAsia="F015TEELig" w:cstheme="minorHAnsi"/>
          <w:sz w:val="21"/>
          <w:szCs w:val="21"/>
        </w:rPr>
      </w:pPr>
      <w:r w:rsidRPr="00AD79CC">
        <w:rPr>
          <w:rFonts w:eastAsia="F015TEELig" w:cstheme="minorHAnsi"/>
          <w:sz w:val="21"/>
          <w:szCs w:val="21"/>
        </w:rPr>
        <w:t>e-mail:</w:t>
      </w:r>
      <w:r w:rsidRPr="00AD79CC">
        <w:rPr>
          <w:rFonts w:eastAsia="Calibri" w:cstheme="minorHAnsi"/>
          <w:noProof/>
          <w:sz w:val="21"/>
          <w:szCs w:val="21"/>
        </w:rPr>
        <w:t xml:space="preserve"> </w:t>
      </w:r>
      <w:hyperlink r:id="rId31" w:history="1">
        <w:r w:rsidRPr="00DE288C">
          <w:rPr>
            <w:rStyle w:val="Hypertextovodkaz"/>
            <w:rFonts w:eastAsia="Calibri" w:cstheme="minorHAnsi"/>
            <w:noProof/>
            <w:sz w:val="21"/>
            <w:szCs w:val="21"/>
          </w:rPr>
          <w:t>lenka.kuzelova@bcas.cz</w:t>
        </w:r>
      </w:hyperlink>
      <w:r>
        <w:rPr>
          <w:rFonts w:eastAsia="Calibri" w:cstheme="minorHAnsi"/>
          <w:noProof/>
          <w:sz w:val="21"/>
          <w:szCs w:val="21"/>
        </w:rPr>
        <w:t xml:space="preserve"> </w:t>
      </w:r>
    </w:p>
    <w:p w14:paraId="025F1B2F" w14:textId="28790D00" w:rsidR="00D60D98" w:rsidRPr="00C21F84" w:rsidRDefault="00D60D98" w:rsidP="0029038B">
      <w:pPr>
        <w:pStyle w:val="Bezmezer"/>
        <w:rPr>
          <w:rFonts w:eastAsia="Calibri" w:cstheme="minorHAnsi"/>
          <w:noProof/>
          <w:sz w:val="20"/>
          <w:szCs w:val="20"/>
        </w:rPr>
      </w:pPr>
    </w:p>
    <w:sectPr w:rsidR="00D60D98" w:rsidRPr="00C21F84"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3711DB" w14:textId="77777777" w:rsidR="00CE1E44" w:rsidRDefault="00CE1E44">
      <w:r>
        <w:separator/>
      </w:r>
    </w:p>
  </w:endnote>
  <w:endnote w:type="continuationSeparator" w:id="0">
    <w:p w14:paraId="28448A48" w14:textId="77777777" w:rsidR="00CE1E44" w:rsidRDefault="00CE1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F015TEELig">
    <w:altName w:val="Times New Roman"/>
    <w:charset w:val="EE"/>
    <w:family w:val="auto"/>
    <w:pitch w:val="variable"/>
    <w:sig w:usb0="00000001" w:usb1="00002048" w:usb2="00000000" w:usb3="00000000" w:csb0="00000083" w:csb1="00000000"/>
  </w:font>
  <w:font w:name="Calibri">
    <w:panose1 w:val="020F0502020204030204"/>
    <w:charset w:val="EE"/>
    <w:family w:val="swiss"/>
    <w:pitch w:val="variable"/>
    <w:sig w:usb0="E4002EFF" w:usb1="C000247B" w:usb2="00000009" w:usb3="00000000" w:csb0="000001FF"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F844E" w14:textId="77777777" w:rsidR="00182E22" w:rsidRDefault="00182E22">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CE1E44"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CE1E44"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CE1E44"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CE1E44"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CE1E44"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CE1E44"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FC255" w14:textId="77777777" w:rsidR="00182E22" w:rsidRDefault="00182E22">
    <w:pPr>
      <w:pStyle w:val="Zpa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A5D2A3" w14:textId="77777777" w:rsidR="00CE1E44" w:rsidRDefault="00CE1E44">
      <w:r>
        <w:separator/>
      </w:r>
    </w:p>
  </w:footnote>
  <w:footnote w:type="continuationSeparator" w:id="0">
    <w:p w14:paraId="6AA7CB8B" w14:textId="77777777" w:rsidR="00CE1E44" w:rsidRDefault="00CE1E4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49F15" w14:textId="77777777" w:rsidR="00182E22" w:rsidRDefault="00182E22">
    <w:pPr>
      <w:pStyle w:val="Zhlav"/>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7443AD" w:rsidRDefault="00D80B6D" w:rsidP="00E95698">
    <w:pPr>
      <w:tabs>
        <w:tab w:val="left" w:pos="8633"/>
      </w:tabs>
      <w:spacing w:before="80"/>
      <w:ind w:firstLine="2880"/>
      <w:rPr>
        <w:rFonts w:asciiTheme="minorHAnsi" w:hAnsiTheme="minorHAnsi" w:cstheme="minorHAnsi"/>
        <w:sz w:val="52"/>
      </w:rPr>
    </w:pPr>
    <w:r w:rsidRPr="007443AD">
      <w:rPr>
        <w:rFonts w:asciiTheme="minorHAnsi" w:hAnsiTheme="minorHAnsi" w:cstheme="minorHAnsi"/>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7443AD">
      <w:rPr>
        <w:rFonts w:asciiTheme="minorHAnsi" w:hAnsiTheme="minorHAnsi" w:cstheme="minorHAnsi"/>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7443AD">
      <w:rPr>
        <w:rFonts w:asciiTheme="minorHAnsi" w:hAnsiTheme="minorHAnsi" w:cstheme="minorHAnsi"/>
        <w:color w:val="1D1D1B"/>
        <w:sz w:val="48"/>
      </w:rPr>
      <w:t xml:space="preserve">BROKER CONSULTING </w:t>
    </w:r>
    <w:r w:rsidRPr="007443AD">
      <w:rPr>
        <w:rFonts w:asciiTheme="minorHAnsi" w:hAnsiTheme="minorHAnsi" w:cstheme="minorHAnsi"/>
        <w:color w:val="CD1719"/>
        <w:sz w:val="52"/>
      </w:rPr>
      <w:t>INDEX</w:t>
    </w:r>
  </w:p>
  <w:p w14:paraId="2B920E62" w14:textId="77777777" w:rsidR="00D80B6D" w:rsidRDefault="00D80B6D">
    <w:pPr>
      <w:pStyle w:val="Zhlav"/>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5E83C" w14:textId="77777777" w:rsidR="00182E22" w:rsidRDefault="00182E22">
    <w:pPr>
      <w:pStyle w:val="Zhlav"/>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43C085E5" w14:textId="62CDD8CE" w:rsidR="000F4B6C" w:rsidRDefault="00D40C89" w:rsidP="00D40C89">
    <w:pPr>
      <w:spacing w:before="85"/>
      <w:ind w:left="1440" w:firstLine="720"/>
      <w:rPr>
        <w:rFonts w:ascii="Arial" w:hAnsi="Arial" w:cs="Arial"/>
        <w:color w:val="E52713"/>
        <w:sz w:val="28"/>
        <w:szCs w:val="28"/>
      </w:rPr>
    </w:pPr>
    <w:r w:rsidRPr="00B65A3B">
      <w:rPr>
        <w:rFonts w:ascii="Arial" w:hAnsi="Arial" w:cs="Arial"/>
        <w:color w:val="E52713"/>
        <w:sz w:val="28"/>
        <w:szCs w:val="28"/>
      </w:rPr>
      <w:t xml:space="preserve">INDEX </w:t>
    </w:r>
    <w:r>
      <w:rPr>
        <w:rFonts w:ascii="Arial" w:hAnsi="Arial" w:cs="Arial"/>
        <w:color w:val="E52713"/>
        <w:sz w:val="28"/>
        <w:szCs w:val="28"/>
      </w:rPr>
      <w:t>HYPOTEČNÍCH ÚVĚRŮ &amp; FIXINDEX</w:t>
    </w:r>
  </w:p>
  <w:p w14:paraId="0E033147" w14:textId="77777777" w:rsidR="00D40C89" w:rsidRPr="00D40C89" w:rsidRDefault="00D40C89" w:rsidP="00D40C89">
    <w:pPr>
      <w:spacing w:before="85"/>
      <w:ind w:left="1440" w:firstLine="720"/>
      <w:rPr>
        <w:rFonts w:ascii="Arial" w:hAnsi="Arial" w:cs="Arial"/>
        <w:color w:val="E52713"/>
        <w:sz w:val="28"/>
        <w:szCs w:val="28"/>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7443AD" w:rsidRDefault="009F59EE" w:rsidP="009F59EE">
    <w:pPr>
      <w:pStyle w:val="Nadpis2"/>
      <w:ind w:left="1440" w:firstLine="720"/>
      <w:rPr>
        <w:rFonts w:asciiTheme="minorHAnsi" w:hAnsiTheme="minorHAnsi" w:cstheme="minorHAnsi"/>
      </w:rPr>
    </w:pPr>
    <w:r w:rsidRPr="007443AD">
      <w:rPr>
        <w:rFonts w:asciiTheme="minorHAnsi" w:hAnsiTheme="minorHAnsi" w:cstheme="minorHAnsi"/>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7443AD">
      <w:rPr>
        <w:rFonts w:asciiTheme="minorHAnsi" w:hAnsiTheme="minorHAnsi" w:cstheme="minorHAnsi"/>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7443AD">
      <w:rPr>
        <w:rFonts w:asciiTheme="minorHAnsi" w:hAnsiTheme="minorHAnsi" w:cstheme="minorHAnsi"/>
        <w:color w:val="1D1D1B"/>
      </w:rPr>
      <w:t>BROKER CONSULTING</w:t>
    </w:r>
  </w:p>
  <w:p w14:paraId="3FF270D6" w14:textId="6799F236" w:rsidR="00D40C89" w:rsidRPr="007443AD" w:rsidRDefault="009F59EE" w:rsidP="00D40C89">
    <w:pPr>
      <w:spacing w:before="85"/>
      <w:ind w:left="1440" w:firstLine="720"/>
      <w:rPr>
        <w:rFonts w:asciiTheme="minorHAnsi" w:hAnsiTheme="minorHAnsi" w:cstheme="minorHAnsi"/>
        <w:color w:val="E52713"/>
        <w:sz w:val="28"/>
        <w:szCs w:val="28"/>
      </w:rPr>
    </w:pPr>
    <w:r w:rsidRPr="007443AD">
      <w:rPr>
        <w:rFonts w:asciiTheme="minorHAnsi" w:hAnsiTheme="minorHAnsi" w:cstheme="minorHAnsi"/>
        <w:color w:val="E52713"/>
        <w:sz w:val="28"/>
        <w:szCs w:val="28"/>
      </w:rPr>
      <w:t xml:space="preserve">INDEX </w:t>
    </w:r>
    <w:r w:rsidR="002A1185" w:rsidRPr="007443AD">
      <w:rPr>
        <w:rFonts w:asciiTheme="minorHAnsi" w:hAnsiTheme="minorHAnsi" w:cstheme="minorHAnsi"/>
        <w:color w:val="E52713"/>
        <w:sz w:val="28"/>
        <w:szCs w:val="28"/>
      </w:rPr>
      <w:t>HYPOTEČNÍCH ÚVĚRŮ</w:t>
    </w:r>
    <w:r w:rsidR="00D40C89" w:rsidRPr="007443AD">
      <w:rPr>
        <w:rFonts w:asciiTheme="minorHAnsi" w:hAnsiTheme="minorHAnsi" w:cstheme="minorHAnsi"/>
        <w:color w:val="E52713"/>
        <w:sz w:val="28"/>
        <w:szCs w:val="28"/>
      </w:rPr>
      <w:t xml:space="preserve"> &amp; FIXINDEX</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F44BEA"/>
    <w:multiLevelType w:val="hybridMultilevel"/>
    <w:tmpl w:val="1A8CC4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823025E"/>
    <w:multiLevelType w:val="hybridMultilevel"/>
    <w:tmpl w:val="ECCE2D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FE52180"/>
    <w:multiLevelType w:val="hybridMultilevel"/>
    <w:tmpl w:val="CA92D9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48631C5"/>
    <w:multiLevelType w:val="hybridMultilevel"/>
    <w:tmpl w:val="37368C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5" w15:restartNumberingAfterBreak="0">
    <w:nsid w:val="3A62021C"/>
    <w:multiLevelType w:val="hybridMultilevel"/>
    <w:tmpl w:val="40EC065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 w15:restartNumberingAfterBreak="0">
    <w:nsid w:val="45325D01"/>
    <w:multiLevelType w:val="hybridMultilevel"/>
    <w:tmpl w:val="20B04784"/>
    <w:lvl w:ilvl="0" w:tplc="67E89344">
      <w:start w:val="6"/>
      <w:numFmt w:val="bullet"/>
      <w:lvlText w:val="-"/>
      <w:lvlJc w:val="left"/>
      <w:pPr>
        <w:ind w:left="720" w:hanging="360"/>
      </w:pPr>
      <w:rPr>
        <w:rFonts w:ascii="Arial" w:eastAsia="F015TEELig"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65D60C79"/>
    <w:multiLevelType w:val="hybridMultilevel"/>
    <w:tmpl w:val="E6EECF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6914760E"/>
    <w:multiLevelType w:val="hybridMultilevel"/>
    <w:tmpl w:val="7B56EE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69E675A0"/>
    <w:multiLevelType w:val="hybridMultilevel"/>
    <w:tmpl w:val="B462C0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2B60605"/>
    <w:multiLevelType w:val="hybridMultilevel"/>
    <w:tmpl w:val="482ABF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5E63C89"/>
    <w:multiLevelType w:val="hybridMultilevel"/>
    <w:tmpl w:val="03AAFAE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2"/>
  </w:num>
  <w:num w:numId="4">
    <w:abstractNumId w:val="9"/>
  </w:num>
  <w:num w:numId="5">
    <w:abstractNumId w:val="10"/>
  </w:num>
  <w:num w:numId="6">
    <w:abstractNumId w:val="6"/>
  </w:num>
  <w:num w:numId="7">
    <w:abstractNumId w:val="12"/>
  </w:num>
  <w:num w:numId="8">
    <w:abstractNumId w:val="3"/>
  </w:num>
  <w:num w:numId="9">
    <w:abstractNumId w:val="8"/>
  </w:num>
  <w:num w:numId="10">
    <w:abstractNumId w:val="5"/>
  </w:num>
  <w:num w:numId="11">
    <w:abstractNumId w:val="11"/>
  </w:num>
  <w:num w:numId="12">
    <w:abstractNumId w:val="8"/>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306F"/>
    <w:rsid w:val="00004919"/>
    <w:rsid w:val="00005B61"/>
    <w:rsid w:val="00010EBF"/>
    <w:rsid w:val="00011DF6"/>
    <w:rsid w:val="00014FB5"/>
    <w:rsid w:val="0001597B"/>
    <w:rsid w:val="00020EC7"/>
    <w:rsid w:val="0002230E"/>
    <w:rsid w:val="000226F3"/>
    <w:rsid w:val="000262B1"/>
    <w:rsid w:val="00026F23"/>
    <w:rsid w:val="000277AC"/>
    <w:rsid w:val="00027C83"/>
    <w:rsid w:val="0003028F"/>
    <w:rsid w:val="00030E97"/>
    <w:rsid w:val="00032A79"/>
    <w:rsid w:val="00032D94"/>
    <w:rsid w:val="0003332D"/>
    <w:rsid w:val="00033FD7"/>
    <w:rsid w:val="000374D7"/>
    <w:rsid w:val="00037DAF"/>
    <w:rsid w:val="000400E4"/>
    <w:rsid w:val="000412FA"/>
    <w:rsid w:val="0004477D"/>
    <w:rsid w:val="0004487D"/>
    <w:rsid w:val="00044EC5"/>
    <w:rsid w:val="00045D86"/>
    <w:rsid w:val="00046AF6"/>
    <w:rsid w:val="0004776E"/>
    <w:rsid w:val="0005085B"/>
    <w:rsid w:val="0005423A"/>
    <w:rsid w:val="00057F54"/>
    <w:rsid w:val="000611E3"/>
    <w:rsid w:val="00061BF6"/>
    <w:rsid w:val="00070652"/>
    <w:rsid w:val="00074B2B"/>
    <w:rsid w:val="000766E7"/>
    <w:rsid w:val="00080E7A"/>
    <w:rsid w:val="00080EB3"/>
    <w:rsid w:val="00081616"/>
    <w:rsid w:val="000823D3"/>
    <w:rsid w:val="000823D6"/>
    <w:rsid w:val="00082D29"/>
    <w:rsid w:val="0008331F"/>
    <w:rsid w:val="000845CA"/>
    <w:rsid w:val="000851AC"/>
    <w:rsid w:val="000853D4"/>
    <w:rsid w:val="00087894"/>
    <w:rsid w:val="000878FB"/>
    <w:rsid w:val="0009257D"/>
    <w:rsid w:val="00092AEE"/>
    <w:rsid w:val="00092BB7"/>
    <w:rsid w:val="00092C6B"/>
    <w:rsid w:val="00094C16"/>
    <w:rsid w:val="00096425"/>
    <w:rsid w:val="00096ECA"/>
    <w:rsid w:val="0009776B"/>
    <w:rsid w:val="000A080B"/>
    <w:rsid w:val="000A3E94"/>
    <w:rsid w:val="000A6CF9"/>
    <w:rsid w:val="000B11A5"/>
    <w:rsid w:val="000B187C"/>
    <w:rsid w:val="000B6DD9"/>
    <w:rsid w:val="000C181E"/>
    <w:rsid w:val="000C2DA6"/>
    <w:rsid w:val="000C5541"/>
    <w:rsid w:val="000C6D26"/>
    <w:rsid w:val="000C7564"/>
    <w:rsid w:val="000D0013"/>
    <w:rsid w:val="000D0B6F"/>
    <w:rsid w:val="000D14E2"/>
    <w:rsid w:val="000D17B9"/>
    <w:rsid w:val="000D2CFC"/>
    <w:rsid w:val="000D4AFB"/>
    <w:rsid w:val="000D6DDC"/>
    <w:rsid w:val="000D6E9B"/>
    <w:rsid w:val="000D7158"/>
    <w:rsid w:val="000E01C2"/>
    <w:rsid w:val="000E0639"/>
    <w:rsid w:val="000E19B2"/>
    <w:rsid w:val="000E1C76"/>
    <w:rsid w:val="000E3D86"/>
    <w:rsid w:val="000E568C"/>
    <w:rsid w:val="000E5D32"/>
    <w:rsid w:val="000E6E14"/>
    <w:rsid w:val="000F4B6C"/>
    <w:rsid w:val="000F50BC"/>
    <w:rsid w:val="000F6249"/>
    <w:rsid w:val="000F6EBE"/>
    <w:rsid w:val="00101CEC"/>
    <w:rsid w:val="00103109"/>
    <w:rsid w:val="00105248"/>
    <w:rsid w:val="00106E26"/>
    <w:rsid w:val="001115A2"/>
    <w:rsid w:val="001117DE"/>
    <w:rsid w:val="00111C28"/>
    <w:rsid w:val="00113603"/>
    <w:rsid w:val="001153E3"/>
    <w:rsid w:val="00117AE4"/>
    <w:rsid w:val="00120113"/>
    <w:rsid w:val="001214E7"/>
    <w:rsid w:val="00122208"/>
    <w:rsid w:val="00122CEB"/>
    <w:rsid w:val="00123136"/>
    <w:rsid w:val="0012361F"/>
    <w:rsid w:val="00125B97"/>
    <w:rsid w:val="0012657A"/>
    <w:rsid w:val="00126BEC"/>
    <w:rsid w:val="00127234"/>
    <w:rsid w:val="0013044E"/>
    <w:rsid w:val="00131A69"/>
    <w:rsid w:val="001327CE"/>
    <w:rsid w:val="00132E53"/>
    <w:rsid w:val="00136115"/>
    <w:rsid w:val="00136D8D"/>
    <w:rsid w:val="00137003"/>
    <w:rsid w:val="0013717C"/>
    <w:rsid w:val="00140987"/>
    <w:rsid w:val="00145622"/>
    <w:rsid w:val="001516CA"/>
    <w:rsid w:val="001524FB"/>
    <w:rsid w:val="00154308"/>
    <w:rsid w:val="00154AC2"/>
    <w:rsid w:val="0015559F"/>
    <w:rsid w:val="00156082"/>
    <w:rsid w:val="00160686"/>
    <w:rsid w:val="00160E1C"/>
    <w:rsid w:val="00161352"/>
    <w:rsid w:val="00161830"/>
    <w:rsid w:val="001620E3"/>
    <w:rsid w:val="00162553"/>
    <w:rsid w:val="00162D8E"/>
    <w:rsid w:val="00164598"/>
    <w:rsid w:val="0016482C"/>
    <w:rsid w:val="0016556A"/>
    <w:rsid w:val="001675AF"/>
    <w:rsid w:val="0016771F"/>
    <w:rsid w:val="0017296F"/>
    <w:rsid w:val="001734B4"/>
    <w:rsid w:val="00174317"/>
    <w:rsid w:val="00175545"/>
    <w:rsid w:val="001767A5"/>
    <w:rsid w:val="00176E93"/>
    <w:rsid w:val="00177C18"/>
    <w:rsid w:val="00182A92"/>
    <w:rsid w:val="00182E22"/>
    <w:rsid w:val="00187310"/>
    <w:rsid w:val="00187A96"/>
    <w:rsid w:val="00192716"/>
    <w:rsid w:val="00194831"/>
    <w:rsid w:val="00194B5D"/>
    <w:rsid w:val="001A0A5C"/>
    <w:rsid w:val="001A10BF"/>
    <w:rsid w:val="001A1A56"/>
    <w:rsid w:val="001A2D08"/>
    <w:rsid w:val="001A54DD"/>
    <w:rsid w:val="001A5AC8"/>
    <w:rsid w:val="001A61A5"/>
    <w:rsid w:val="001A7D2F"/>
    <w:rsid w:val="001B1E41"/>
    <w:rsid w:val="001B2A07"/>
    <w:rsid w:val="001B2C03"/>
    <w:rsid w:val="001B3B31"/>
    <w:rsid w:val="001B4F4B"/>
    <w:rsid w:val="001B501B"/>
    <w:rsid w:val="001B58E7"/>
    <w:rsid w:val="001B6694"/>
    <w:rsid w:val="001B6D7A"/>
    <w:rsid w:val="001B7936"/>
    <w:rsid w:val="001C22FE"/>
    <w:rsid w:val="001D015A"/>
    <w:rsid w:val="001D30C7"/>
    <w:rsid w:val="001D33FA"/>
    <w:rsid w:val="001D36F0"/>
    <w:rsid w:val="001D3DFC"/>
    <w:rsid w:val="001D42DB"/>
    <w:rsid w:val="001D45F5"/>
    <w:rsid w:val="001D5EFC"/>
    <w:rsid w:val="001E02C2"/>
    <w:rsid w:val="001E0A89"/>
    <w:rsid w:val="001E13C0"/>
    <w:rsid w:val="001E1597"/>
    <w:rsid w:val="001E4209"/>
    <w:rsid w:val="001F1D14"/>
    <w:rsid w:val="001F2399"/>
    <w:rsid w:val="001F4D74"/>
    <w:rsid w:val="001F7194"/>
    <w:rsid w:val="001F71BA"/>
    <w:rsid w:val="001F7577"/>
    <w:rsid w:val="002019F3"/>
    <w:rsid w:val="0020207A"/>
    <w:rsid w:val="00202F22"/>
    <w:rsid w:val="00203BD4"/>
    <w:rsid w:val="002046F4"/>
    <w:rsid w:val="00206E92"/>
    <w:rsid w:val="00207D22"/>
    <w:rsid w:val="00212C2E"/>
    <w:rsid w:val="0021395D"/>
    <w:rsid w:val="002141AF"/>
    <w:rsid w:val="00216B81"/>
    <w:rsid w:val="00216F2E"/>
    <w:rsid w:val="00217E92"/>
    <w:rsid w:val="00220529"/>
    <w:rsid w:val="002220C9"/>
    <w:rsid w:val="00223FFD"/>
    <w:rsid w:val="00224AF1"/>
    <w:rsid w:val="00224C0C"/>
    <w:rsid w:val="00224E6E"/>
    <w:rsid w:val="00225CEC"/>
    <w:rsid w:val="00225D70"/>
    <w:rsid w:val="00232B0D"/>
    <w:rsid w:val="00233BF3"/>
    <w:rsid w:val="00233E40"/>
    <w:rsid w:val="002368F3"/>
    <w:rsid w:val="00236A37"/>
    <w:rsid w:val="00240576"/>
    <w:rsid w:val="00241313"/>
    <w:rsid w:val="00241AA2"/>
    <w:rsid w:val="00241DC1"/>
    <w:rsid w:val="0024212A"/>
    <w:rsid w:val="00242669"/>
    <w:rsid w:val="00243384"/>
    <w:rsid w:val="002447CA"/>
    <w:rsid w:val="0025080B"/>
    <w:rsid w:val="0025183C"/>
    <w:rsid w:val="00251F32"/>
    <w:rsid w:val="0025264B"/>
    <w:rsid w:val="00252DB1"/>
    <w:rsid w:val="00253ACF"/>
    <w:rsid w:val="00253C9E"/>
    <w:rsid w:val="0025428A"/>
    <w:rsid w:val="002555D2"/>
    <w:rsid w:val="00257294"/>
    <w:rsid w:val="00257978"/>
    <w:rsid w:val="002619DC"/>
    <w:rsid w:val="00263E2B"/>
    <w:rsid w:val="00266D10"/>
    <w:rsid w:val="002676E8"/>
    <w:rsid w:val="00267705"/>
    <w:rsid w:val="00270B59"/>
    <w:rsid w:val="00270DB3"/>
    <w:rsid w:val="002717C9"/>
    <w:rsid w:val="0027235F"/>
    <w:rsid w:val="00274782"/>
    <w:rsid w:val="0027691A"/>
    <w:rsid w:val="00277D20"/>
    <w:rsid w:val="00280730"/>
    <w:rsid w:val="0028081F"/>
    <w:rsid w:val="00281C61"/>
    <w:rsid w:val="00281DB8"/>
    <w:rsid w:val="00285767"/>
    <w:rsid w:val="0028607C"/>
    <w:rsid w:val="002863CE"/>
    <w:rsid w:val="0029038B"/>
    <w:rsid w:val="0029566F"/>
    <w:rsid w:val="002961B5"/>
    <w:rsid w:val="00296B24"/>
    <w:rsid w:val="002A1185"/>
    <w:rsid w:val="002A208F"/>
    <w:rsid w:val="002A498A"/>
    <w:rsid w:val="002A61B7"/>
    <w:rsid w:val="002B01AF"/>
    <w:rsid w:val="002B094E"/>
    <w:rsid w:val="002B1E20"/>
    <w:rsid w:val="002B2A94"/>
    <w:rsid w:val="002B3C6D"/>
    <w:rsid w:val="002B4265"/>
    <w:rsid w:val="002B4919"/>
    <w:rsid w:val="002B4B98"/>
    <w:rsid w:val="002B6F4E"/>
    <w:rsid w:val="002B7650"/>
    <w:rsid w:val="002C06E2"/>
    <w:rsid w:val="002C0E94"/>
    <w:rsid w:val="002C26EB"/>
    <w:rsid w:val="002C6C42"/>
    <w:rsid w:val="002C7D70"/>
    <w:rsid w:val="002D179B"/>
    <w:rsid w:val="002D23B9"/>
    <w:rsid w:val="002D3534"/>
    <w:rsid w:val="002D49F7"/>
    <w:rsid w:val="002D63BF"/>
    <w:rsid w:val="002D64A2"/>
    <w:rsid w:val="002E0400"/>
    <w:rsid w:val="002E103D"/>
    <w:rsid w:val="002E1A01"/>
    <w:rsid w:val="002E1A0D"/>
    <w:rsid w:val="002E6173"/>
    <w:rsid w:val="002E6DB6"/>
    <w:rsid w:val="002F002B"/>
    <w:rsid w:val="002F0163"/>
    <w:rsid w:val="002F06AC"/>
    <w:rsid w:val="002F09BA"/>
    <w:rsid w:val="002F46B0"/>
    <w:rsid w:val="002F485A"/>
    <w:rsid w:val="002F5550"/>
    <w:rsid w:val="002F62C4"/>
    <w:rsid w:val="002F7818"/>
    <w:rsid w:val="002F7EC2"/>
    <w:rsid w:val="003006A5"/>
    <w:rsid w:val="003015E0"/>
    <w:rsid w:val="0030207B"/>
    <w:rsid w:val="00303778"/>
    <w:rsid w:val="00303A6E"/>
    <w:rsid w:val="003046FE"/>
    <w:rsid w:val="0030751A"/>
    <w:rsid w:val="00307CF8"/>
    <w:rsid w:val="00307E95"/>
    <w:rsid w:val="00307FEB"/>
    <w:rsid w:val="003128F8"/>
    <w:rsid w:val="00313D42"/>
    <w:rsid w:val="00322E5E"/>
    <w:rsid w:val="00323B17"/>
    <w:rsid w:val="003243A6"/>
    <w:rsid w:val="003247B0"/>
    <w:rsid w:val="0032734F"/>
    <w:rsid w:val="00330918"/>
    <w:rsid w:val="003310D8"/>
    <w:rsid w:val="0033296E"/>
    <w:rsid w:val="003337A9"/>
    <w:rsid w:val="0033431C"/>
    <w:rsid w:val="0033488F"/>
    <w:rsid w:val="00340E70"/>
    <w:rsid w:val="00342F85"/>
    <w:rsid w:val="00347557"/>
    <w:rsid w:val="00352435"/>
    <w:rsid w:val="003529EF"/>
    <w:rsid w:val="00355366"/>
    <w:rsid w:val="003555BB"/>
    <w:rsid w:val="003623C4"/>
    <w:rsid w:val="003629B6"/>
    <w:rsid w:val="00362BFF"/>
    <w:rsid w:val="003640C8"/>
    <w:rsid w:val="00364C11"/>
    <w:rsid w:val="00371225"/>
    <w:rsid w:val="003721AD"/>
    <w:rsid w:val="00376086"/>
    <w:rsid w:val="003761D9"/>
    <w:rsid w:val="00380608"/>
    <w:rsid w:val="00380E0A"/>
    <w:rsid w:val="0038171D"/>
    <w:rsid w:val="00382546"/>
    <w:rsid w:val="00382EAD"/>
    <w:rsid w:val="00383DC5"/>
    <w:rsid w:val="00385EED"/>
    <w:rsid w:val="00386A43"/>
    <w:rsid w:val="00390B58"/>
    <w:rsid w:val="00391166"/>
    <w:rsid w:val="00394851"/>
    <w:rsid w:val="00395F41"/>
    <w:rsid w:val="003967DF"/>
    <w:rsid w:val="003A0F06"/>
    <w:rsid w:val="003A156E"/>
    <w:rsid w:val="003A291C"/>
    <w:rsid w:val="003A3DE2"/>
    <w:rsid w:val="003A4860"/>
    <w:rsid w:val="003A4D47"/>
    <w:rsid w:val="003A6435"/>
    <w:rsid w:val="003A7D32"/>
    <w:rsid w:val="003B0E4F"/>
    <w:rsid w:val="003B1966"/>
    <w:rsid w:val="003B221E"/>
    <w:rsid w:val="003B5B25"/>
    <w:rsid w:val="003B60CA"/>
    <w:rsid w:val="003B7BDD"/>
    <w:rsid w:val="003C0CBE"/>
    <w:rsid w:val="003C1344"/>
    <w:rsid w:val="003C3421"/>
    <w:rsid w:val="003C5D0A"/>
    <w:rsid w:val="003D1987"/>
    <w:rsid w:val="003D3431"/>
    <w:rsid w:val="003D3AE8"/>
    <w:rsid w:val="003D69A7"/>
    <w:rsid w:val="003E1308"/>
    <w:rsid w:val="003F07E8"/>
    <w:rsid w:val="003F472F"/>
    <w:rsid w:val="003F79EC"/>
    <w:rsid w:val="00400129"/>
    <w:rsid w:val="004005D9"/>
    <w:rsid w:val="00400A5A"/>
    <w:rsid w:val="00407AE9"/>
    <w:rsid w:val="004120C7"/>
    <w:rsid w:val="0041257F"/>
    <w:rsid w:val="0042193A"/>
    <w:rsid w:val="0042205E"/>
    <w:rsid w:val="004267DE"/>
    <w:rsid w:val="00430ABD"/>
    <w:rsid w:val="00431631"/>
    <w:rsid w:val="00432FD5"/>
    <w:rsid w:val="00434C5D"/>
    <w:rsid w:val="004350F6"/>
    <w:rsid w:val="00435115"/>
    <w:rsid w:val="00441028"/>
    <w:rsid w:val="004426E8"/>
    <w:rsid w:val="00444432"/>
    <w:rsid w:val="00445D0A"/>
    <w:rsid w:val="00450DBC"/>
    <w:rsid w:val="00451896"/>
    <w:rsid w:val="00451B7B"/>
    <w:rsid w:val="0045292A"/>
    <w:rsid w:val="004540ED"/>
    <w:rsid w:val="00454843"/>
    <w:rsid w:val="004564BC"/>
    <w:rsid w:val="004565C7"/>
    <w:rsid w:val="00460176"/>
    <w:rsid w:val="00461D55"/>
    <w:rsid w:val="004627B9"/>
    <w:rsid w:val="00464BF1"/>
    <w:rsid w:val="00465E53"/>
    <w:rsid w:val="00466329"/>
    <w:rsid w:val="00473219"/>
    <w:rsid w:val="004767D2"/>
    <w:rsid w:val="00477DCC"/>
    <w:rsid w:val="00477FFA"/>
    <w:rsid w:val="004813B2"/>
    <w:rsid w:val="00481D66"/>
    <w:rsid w:val="00483579"/>
    <w:rsid w:val="004835F4"/>
    <w:rsid w:val="004836B2"/>
    <w:rsid w:val="00487B6B"/>
    <w:rsid w:val="004919CC"/>
    <w:rsid w:val="004928CB"/>
    <w:rsid w:val="00492941"/>
    <w:rsid w:val="00495AFF"/>
    <w:rsid w:val="00495E14"/>
    <w:rsid w:val="00496183"/>
    <w:rsid w:val="004975D0"/>
    <w:rsid w:val="004A08FC"/>
    <w:rsid w:val="004A3439"/>
    <w:rsid w:val="004B1364"/>
    <w:rsid w:val="004B2C5B"/>
    <w:rsid w:val="004B5104"/>
    <w:rsid w:val="004B5797"/>
    <w:rsid w:val="004B5B94"/>
    <w:rsid w:val="004B6304"/>
    <w:rsid w:val="004B64B3"/>
    <w:rsid w:val="004B6AF3"/>
    <w:rsid w:val="004C0179"/>
    <w:rsid w:val="004C0CEF"/>
    <w:rsid w:val="004C0D41"/>
    <w:rsid w:val="004C10F1"/>
    <w:rsid w:val="004C3F71"/>
    <w:rsid w:val="004C61F5"/>
    <w:rsid w:val="004D14C1"/>
    <w:rsid w:val="004D2C46"/>
    <w:rsid w:val="004D3578"/>
    <w:rsid w:val="004D4D9F"/>
    <w:rsid w:val="004D6BA6"/>
    <w:rsid w:val="004E2983"/>
    <w:rsid w:val="004E2ED7"/>
    <w:rsid w:val="004E3BA4"/>
    <w:rsid w:val="004E4E81"/>
    <w:rsid w:val="004E4E9F"/>
    <w:rsid w:val="004E5FED"/>
    <w:rsid w:val="004E67DB"/>
    <w:rsid w:val="004F1934"/>
    <w:rsid w:val="004F1E84"/>
    <w:rsid w:val="00500925"/>
    <w:rsid w:val="005042D1"/>
    <w:rsid w:val="00506098"/>
    <w:rsid w:val="00506161"/>
    <w:rsid w:val="0050659B"/>
    <w:rsid w:val="00506889"/>
    <w:rsid w:val="00510050"/>
    <w:rsid w:val="00512D6B"/>
    <w:rsid w:val="00512FF6"/>
    <w:rsid w:val="005153F7"/>
    <w:rsid w:val="0052216B"/>
    <w:rsid w:val="005224C1"/>
    <w:rsid w:val="0052338B"/>
    <w:rsid w:val="00523D4C"/>
    <w:rsid w:val="00524713"/>
    <w:rsid w:val="005275F9"/>
    <w:rsid w:val="00530F68"/>
    <w:rsid w:val="0053153F"/>
    <w:rsid w:val="00532F2D"/>
    <w:rsid w:val="005339D0"/>
    <w:rsid w:val="00534E75"/>
    <w:rsid w:val="00536954"/>
    <w:rsid w:val="005379BC"/>
    <w:rsid w:val="00540606"/>
    <w:rsid w:val="00541870"/>
    <w:rsid w:val="0054297E"/>
    <w:rsid w:val="005436EC"/>
    <w:rsid w:val="005447C5"/>
    <w:rsid w:val="00544A37"/>
    <w:rsid w:val="005455B0"/>
    <w:rsid w:val="005504A7"/>
    <w:rsid w:val="0055263D"/>
    <w:rsid w:val="00552E2B"/>
    <w:rsid w:val="0055303C"/>
    <w:rsid w:val="00553369"/>
    <w:rsid w:val="00553731"/>
    <w:rsid w:val="00554574"/>
    <w:rsid w:val="0055553F"/>
    <w:rsid w:val="0056150F"/>
    <w:rsid w:val="005678E0"/>
    <w:rsid w:val="005729F4"/>
    <w:rsid w:val="005754C3"/>
    <w:rsid w:val="00575C7F"/>
    <w:rsid w:val="00576F58"/>
    <w:rsid w:val="00576F5E"/>
    <w:rsid w:val="005773B2"/>
    <w:rsid w:val="00577D19"/>
    <w:rsid w:val="0058062A"/>
    <w:rsid w:val="005834AE"/>
    <w:rsid w:val="00585920"/>
    <w:rsid w:val="0058666A"/>
    <w:rsid w:val="00586BEF"/>
    <w:rsid w:val="005875EC"/>
    <w:rsid w:val="00590434"/>
    <w:rsid w:val="00594050"/>
    <w:rsid w:val="0059432A"/>
    <w:rsid w:val="0059452A"/>
    <w:rsid w:val="005956E9"/>
    <w:rsid w:val="005963CF"/>
    <w:rsid w:val="005A0ABD"/>
    <w:rsid w:val="005A2637"/>
    <w:rsid w:val="005A37E5"/>
    <w:rsid w:val="005A4497"/>
    <w:rsid w:val="005A5BBA"/>
    <w:rsid w:val="005A5F08"/>
    <w:rsid w:val="005A60B4"/>
    <w:rsid w:val="005A7A64"/>
    <w:rsid w:val="005B0719"/>
    <w:rsid w:val="005B0E8E"/>
    <w:rsid w:val="005B2E22"/>
    <w:rsid w:val="005B31D7"/>
    <w:rsid w:val="005B485C"/>
    <w:rsid w:val="005B4E77"/>
    <w:rsid w:val="005B5427"/>
    <w:rsid w:val="005B56F7"/>
    <w:rsid w:val="005B5CA8"/>
    <w:rsid w:val="005B680B"/>
    <w:rsid w:val="005B6889"/>
    <w:rsid w:val="005B68FA"/>
    <w:rsid w:val="005B7492"/>
    <w:rsid w:val="005B7E46"/>
    <w:rsid w:val="005C0D63"/>
    <w:rsid w:val="005C41F6"/>
    <w:rsid w:val="005C48C1"/>
    <w:rsid w:val="005C7059"/>
    <w:rsid w:val="005D189A"/>
    <w:rsid w:val="005D4DA7"/>
    <w:rsid w:val="005D585C"/>
    <w:rsid w:val="005D6963"/>
    <w:rsid w:val="005E3212"/>
    <w:rsid w:val="005E45D8"/>
    <w:rsid w:val="005E4855"/>
    <w:rsid w:val="005E7AEF"/>
    <w:rsid w:val="005F18D4"/>
    <w:rsid w:val="005F2383"/>
    <w:rsid w:val="005F44A0"/>
    <w:rsid w:val="005F48A6"/>
    <w:rsid w:val="005F57A1"/>
    <w:rsid w:val="005F65A1"/>
    <w:rsid w:val="005F7741"/>
    <w:rsid w:val="00600788"/>
    <w:rsid w:val="00600BA3"/>
    <w:rsid w:val="00605C5D"/>
    <w:rsid w:val="006106F0"/>
    <w:rsid w:val="006110E7"/>
    <w:rsid w:val="00612DC2"/>
    <w:rsid w:val="006135FD"/>
    <w:rsid w:val="00613A8D"/>
    <w:rsid w:val="006212F9"/>
    <w:rsid w:val="00622494"/>
    <w:rsid w:val="00624A82"/>
    <w:rsid w:val="0062747C"/>
    <w:rsid w:val="0062751F"/>
    <w:rsid w:val="0063253B"/>
    <w:rsid w:val="00633136"/>
    <w:rsid w:val="00636E70"/>
    <w:rsid w:val="0064020E"/>
    <w:rsid w:val="006410E2"/>
    <w:rsid w:val="0064160C"/>
    <w:rsid w:val="0064209A"/>
    <w:rsid w:val="006429DE"/>
    <w:rsid w:val="00645BA9"/>
    <w:rsid w:val="00646B73"/>
    <w:rsid w:val="006501CB"/>
    <w:rsid w:val="00650A3C"/>
    <w:rsid w:val="00651415"/>
    <w:rsid w:val="00651B66"/>
    <w:rsid w:val="00651B79"/>
    <w:rsid w:val="00652695"/>
    <w:rsid w:val="006529D7"/>
    <w:rsid w:val="00652DCE"/>
    <w:rsid w:val="006545F8"/>
    <w:rsid w:val="00654F8C"/>
    <w:rsid w:val="00656312"/>
    <w:rsid w:val="0066135D"/>
    <w:rsid w:val="00661A5F"/>
    <w:rsid w:val="00663C36"/>
    <w:rsid w:val="00667012"/>
    <w:rsid w:val="00673DDB"/>
    <w:rsid w:val="00675F3B"/>
    <w:rsid w:val="0067671B"/>
    <w:rsid w:val="006768F0"/>
    <w:rsid w:val="00676C10"/>
    <w:rsid w:val="00677078"/>
    <w:rsid w:val="006775B7"/>
    <w:rsid w:val="00677C07"/>
    <w:rsid w:val="006831FB"/>
    <w:rsid w:val="00684F62"/>
    <w:rsid w:val="0068617E"/>
    <w:rsid w:val="00686E01"/>
    <w:rsid w:val="00687107"/>
    <w:rsid w:val="00692610"/>
    <w:rsid w:val="006939E4"/>
    <w:rsid w:val="00693A07"/>
    <w:rsid w:val="00695DE8"/>
    <w:rsid w:val="006978DE"/>
    <w:rsid w:val="00697A40"/>
    <w:rsid w:val="00697F28"/>
    <w:rsid w:val="006A0BD0"/>
    <w:rsid w:val="006A150C"/>
    <w:rsid w:val="006A2F6C"/>
    <w:rsid w:val="006A3BE2"/>
    <w:rsid w:val="006A6601"/>
    <w:rsid w:val="006B0A42"/>
    <w:rsid w:val="006B19DF"/>
    <w:rsid w:val="006B2EA9"/>
    <w:rsid w:val="006B3A13"/>
    <w:rsid w:val="006B3CB5"/>
    <w:rsid w:val="006C0A70"/>
    <w:rsid w:val="006C2008"/>
    <w:rsid w:val="006C2696"/>
    <w:rsid w:val="006C4076"/>
    <w:rsid w:val="006C4193"/>
    <w:rsid w:val="006C61E8"/>
    <w:rsid w:val="006D01AF"/>
    <w:rsid w:val="006D1884"/>
    <w:rsid w:val="006D1E56"/>
    <w:rsid w:val="006D65EC"/>
    <w:rsid w:val="006E074A"/>
    <w:rsid w:val="006E1C67"/>
    <w:rsid w:val="006E26DC"/>
    <w:rsid w:val="006E52B8"/>
    <w:rsid w:val="006E675F"/>
    <w:rsid w:val="006E68CA"/>
    <w:rsid w:val="006F32FB"/>
    <w:rsid w:val="006F3E66"/>
    <w:rsid w:val="00700FD6"/>
    <w:rsid w:val="00705D83"/>
    <w:rsid w:val="0071201C"/>
    <w:rsid w:val="00712177"/>
    <w:rsid w:val="00713CD7"/>
    <w:rsid w:val="00714847"/>
    <w:rsid w:val="00717F9B"/>
    <w:rsid w:val="0072112F"/>
    <w:rsid w:val="007253C3"/>
    <w:rsid w:val="00730047"/>
    <w:rsid w:val="0073009C"/>
    <w:rsid w:val="007316BB"/>
    <w:rsid w:val="00731B6F"/>
    <w:rsid w:val="00731E05"/>
    <w:rsid w:val="00736FB9"/>
    <w:rsid w:val="00737562"/>
    <w:rsid w:val="007424FC"/>
    <w:rsid w:val="007443AD"/>
    <w:rsid w:val="007540ED"/>
    <w:rsid w:val="00754B1D"/>
    <w:rsid w:val="00756671"/>
    <w:rsid w:val="00762254"/>
    <w:rsid w:val="0076333E"/>
    <w:rsid w:val="00764BFF"/>
    <w:rsid w:val="00767284"/>
    <w:rsid w:val="00771B91"/>
    <w:rsid w:val="007737E3"/>
    <w:rsid w:val="007748DA"/>
    <w:rsid w:val="0077685A"/>
    <w:rsid w:val="00776A31"/>
    <w:rsid w:val="0078013F"/>
    <w:rsid w:val="007802A4"/>
    <w:rsid w:val="007824F4"/>
    <w:rsid w:val="0078345F"/>
    <w:rsid w:val="00783AB1"/>
    <w:rsid w:val="00784109"/>
    <w:rsid w:val="00785FC5"/>
    <w:rsid w:val="0078631B"/>
    <w:rsid w:val="00786A1E"/>
    <w:rsid w:val="0078760B"/>
    <w:rsid w:val="00791A2B"/>
    <w:rsid w:val="00792EE9"/>
    <w:rsid w:val="00794BD8"/>
    <w:rsid w:val="00795445"/>
    <w:rsid w:val="0079572A"/>
    <w:rsid w:val="00795D79"/>
    <w:rsid w:val="0079732B"/>
    <w:rsid w:val="007A1121"/>
    <w:rsid w:val="007A1122"/>
    <w:rsid w:val="007A15A6"/>
    <w:rsid w:val="007A2531"/>
    <w:rsid w:val="007A278E"/>
    <w:rsid w:val="007B0955"/>
    <w:rsid w:val="007B11F2"/>
    <w:rsid w:val="007B1851"/>
    <w:rsid w:val="007B232E"/>
    <w:rsid w:val="007B358E"/>
    <w:rsid w:val="007B3C38"/>
    <w:rsid w:val="007B5E2F"/>
    <w:rsid w:val="007B6635"/>
    <w:rsid w:val="007C0099"/>
    <w:rsid w:val="007C37DF"/>
    <w:rsid w:val="007C6288"/>
    <w:rsid w:val="007C6507"/>
    <w:rsid w:val="007D05D4"/>
    <w:rsid w:val="007D06A5"/>
    <w:rsid w:val="007D085C"/>
    <w:rsid w:val="007D1100"/>
    <w:rsid w:val="007D2280"/>
    <w:rsid w:val="007D3EF7"/>
    <w:rsid w:val="007D6B5F"/>
    <w:rsid w:val="007E1111"/>
    <w:rsid w:val="007E1865"/>
    <w:rsid w:val="007E5614"/>
    <w:rsid w:val="007F0754"/>
    <w:rsid w:val="007F3198"/>
    <w:rsid w:val="007F36AF"/>
    <w:rsid w:val="007F515C"/>
    <w:rsid w:val="007F5D81"/>
    <w:rsid w:val="008009B8"/>
    <w:rsid w:val="00800CEA"/>
    <w:rsid w:val="00807AD4"/>
    <w:rsid w:val="008104E0"/>
    <w:rsid w:val="00812DCE"/>
    <w:rsid w:val="0081387C"/>
    <w:rsid w:val="00817296"/>
    <w:rsid w:val="00817512"/>
    <w:rsid w:val="00822194"/>
    <w:rsid w:val="00822D26"/>
    <w:rsid w:val="008245C1"/>
    <w:rsid w:val="008269F5"/>
    <w:rsid w:val="00830105"/>
    <w:rsid w:val="0083053E"/>
    <w:rsid w:val="00830CE8"/>
    <w:rsid w:val="008317F6"/>
    <w:rsid w:val="00831B5E"/>
    <w:rsid w:val="00831F36"/>
    <w:rsid w:val="0083256C"/>
    <w:rsid w:val="0083338E"/>
    <w:rsid w:val="00833A44"/>
    <w:rsid w:val="0083519D"/>
    <w:rsid w:val="00843016"/>
    <w:rsid w:val="00844420"/>
    <w:rsid w:val="00845A34"/>
    <w:rsid w:val="00846E1E"/>
    <w:rsid w:val="00850445"/>
    <w:rsid w:val="00850C6E"/>
    <w:rsid w:val="008543C2"/>
    <w:rsid w:val="008546D7"/>
    <w:rsid w:val="0085594F"/>
    <w:rsid w:val="0085766D"/>
    <w:rsid w:val="008630EC"/>
    <w:rsid w:val="00866791"/>
    <w:rsid w:val="00866B63"/>
    <w:rsid w:val="00870EAA"/>
    <w:rsid w:val="00874FE0"/>
    <w:rsid w:val="008769D5"/>
    <w:rsid w:val="008824B5"/>
    <w:rsid w:val="00882EE9"/>
    <w:rsid w:val="00883131"/>
    <w:rsid w:val="008834B2"/>
    <w:rsid w:val="00883A3E"/>
    <w:rsid w:val="008848CF"/>
    <w:rsid w:val="00885B2F"/>
    <w:rsid w:val="008866ED"/>
    <w:rsid w:val="008868A5"/>
    <w:rsid w:val="0089080A"/>
    <w:rsid w:val="00890A80"/>
    <w:rsid w:val="008926E5"/>
    <w:rsid w:val="008926F3"/>
    <w:rsid w:val="00892DB3"/>
    <w:rsid w:val="00893533"/>
    <w:rsid w:val="00894FAD"/>
    <w:rsid w:val="008955F6"/>
    <w:rsid w:val="008957C5"/>
    <w:rsid w:val="00896014"/>
    <w:rsid w:val="0089614B"/>
    <w:rsid w:val="00896556"/>
    <w:rsid w:val="00896BE6"/>
    <w:rsid w:val="00896FD6"/>
    <w:rsid w:val="00897BD9"/>
    <w:rsid w:val="008A04D3"/>
    <w:rsid w:val="008A0C76"/>
    <w:rsid w:val="008A618B"/>
    <w:rsid w:val="008A663F"/>
    <w:rsid w:val="008B05F2"/>
    <w:rsid w:val="008B0636"/>
    <w:rsid w:val="008B1531"/>
    <w:rsid w:val="008B2EE5"/>
    <w:rsid w:val="008B3C82"/>
    <w:rsid w:val="008B41E0"/>
    <w:rsid w:val="008B5C5C"/>
    <w:rsid w:val="008B64C9"/>
    <w:rsid w:val="008C1795"/>
    <w:rsid w:val="008C4597"/>
    <w:rsid w:val="008C4B0D"/>
    <w:rsid w:val="008C7511"/>
    <w:rsid w:val="008C75D3"/>
    <w:rsid w:val="008C79A2"/>
    <w:rsid w:val="008D01F6"/>
    <w:rsid w:val="008D1E94"/>
    <w:rsid w:val="008D373A"/>
    <w:rsid w:val="008D484C"/>
    <w:rsid w:val="008D68A5"/>
    <w:rsid w:val="008E19F3"/>
    <w:rsid w:val="008E3B44"/>
    <w:rsid w:val="008E58ED"/>
    <w:rsid w:val="008E6712"/>
    <w:rsid w:val="008F0A7A"/>
    <w:rsid w:val="008F2226"/>
    <w:rsid w:val="008F25C5"/>
    <w:rsid w:val="008F4980"/>
    <w:rsid w:val="008F6707"/>
    <w:rsid w:val="008F6AAF"/>
    <w:rsid w:val="008F715C"/>
    <w:rsid w:val="008F7A61"/>
    <w:rsid w:val="00900951"/>
    <w:rsid w:val="00901813"/>
    <w:rsid w:val="00903020"/>
    <w:rsid w:val="00906176"/>
    <w:rsid w:val="0090637E"/>
    <w:rsid w:val="00906E67"/>
    <w:rsid w:val="00914002"/>
    <w:rsid w:val="00915ADA"/>
    <w:rsid w:val="009161BE"/>
    <w:rsid w:val="00917F21"/>
    <w:rsid w:val="009213AE"/>
    <w:rsid w:val="009222C9"/>
    <w:rsid w:val="00922BC9"/>
    <w:rsid w:val="00926825"/>
    <w:rsid w:val="009268FC"/>
    <w:rsid w:val="00926A98"/>
    <w:rsid w:val="00932625"/>
    <w:rsid w:val="00932ACD"/>
    <w:rsid w:val="00933256"/>
    <w:rsid w:val="009340FD"/>
    <w:rsid w:val="00934141"/>
    <w:rsid w:val="009344C2"/>
    <w:rsid w:val="009345C9"/>
    <w:rsid w:val="0093538A"/>
    <w:rsid w:val="00941295"/>
    <w:rsid w:val="009434D0"/>
    <w:rsid w:val="0094705C"/>
    <w:rsid w:val="009514FE"/>
    <w:rsid w:val="00952F66"/>
    <w:rsid w:val="00957B41"/>
    <w:rsid w:val="00961519"/>
    <w:rsid w:val="00962FD2"/>
    <w:rsid w:val="009632AA"/>
    <w:rsid w:val="009644A2"/>
    <w:rsid w:val="00967162"/>
    <w:rsid w:val="009715F0"/>
    <w:rsid w:val="00971DE7"/>
    <w:rsid w:val="00973C62"/>
    <w:rsid w:val="0097419E"/>
    <w:rsid w:val="00974A97"/>
    <w:rsid w:val="0097696C"/>
    <w:rsid w:val="00977B41"/>
    <w:rsid w:val="00977D76"/>
    <w:rsid w:val="009808FE"/>
    <w:rsid w:val="00982987"/>
    <w:rsid w:val="00985386"/>
    <w:rsid w:val="00990318"/>
    <w:rsid w:val="0099489F"/>
    <w:rsid w:val="00994B64"/>
    <w:rsid w:val="009955B3"/>
    <w:rsid w:val="00996D72"/>
    <w:rsid w:val="009A4D99"/>
    <w:rsid w:val="009A53B7"/>
    <w:rsid w:val="009A544A"/>
    <w:rsid w:val="009A69B1"/>
    <w:rsid w:val="009A6CDB"/>
    <w:rsid w:val="009B0A81"/>
    <w:rsid w:val="009B0CA9"/>
    <w:rsid w:val="009B301F"/>
    <w:rsid w:val="009B52C2"/>
    <w:rsid w:val="009B604B"/>
    <w:rsid w:val="009C0ECA"/>
    <w:rsid w:val="009C283B"/>
    <w:rsid w:val="009C2B04"/>
    <w:rsid w:val="009C3544"/>
    <w:rsid w:val="009C45BA"/>
    <w:rsid w:val="009D2D28"/>
    <w:rsid w:val="009D4B75"/>
    <w:rsid w:val="009D6924"/>
    <w:rsid w:val="009D7AFB"/>
    <w:rsid w:val="009E055E"/>
    <w:rsid w:val="009E0C76"/>
    <w:rsid w:val="009E22C3"/>
    <w:rsid w:val="009E250D"/>
    <w:rsid w:val="009E2833"/>
    <w:rsid w:val="009E317D"/>
    <w:rsid w:val="009E3B52"/>
    <w:rsid w:val="009E3D89"/>
    <w:rsid w:val="009E5B43"/>
    <w:rsid w:val="009E6B59"/>
    <w:rsid w:val="009F097B"/>
    <w:rsid w:val="009F0DD5"/>
    <w:rsid w:val="009F2CB2"/>
    <w:rsid w:val="009F2CEE"/>
    <w:rsid w:val="009F3A56"/>
    <w:rsid w:val="009F59EE"/>
    <w:rsid w:val="009F5CD5"/>
    <w:rsid w:val="009F66D0"/>
    <w:rsid w:val="00A02D45"/>
    <w:rsid w:val="00A0581C"/>
    <w:rsid w:val="00A069E2"/>
    <w:rsid w:val="00A073C7"/>
    <w:rsid w:val="00A07431"/>
    <w:rsid w:val="00A07A9F"/>
    <w:rsid w:val="00A11B93"/>
    <w:rsid w:val="00A11C90"/>
    <w:rsid w:val="00A12821"/>
    <w:rsid w:val="00A12DE6"/>
    <w:rsid w:val="00A14FC9"/>
    <w:rsid w:val="00A2066F"/>
    <w:rsid w:val="00A21C37"/>
    <w:rsid w:val="00A23C45"/>
    <w:rsid w:val="00A25B10"/>
    <w:rsid w:val="00A26B19"/>
    <w:rsid w:val="00A33653"/>
    <w:rsid w:val="00A36D79"/>
    <w:rsid w:val="00A37A20"/>
    <w:rsid w:val="00A37AD0"/>
    <w:rsid w:val="00A4508B"/>
    <w:rsid w:val="00A4618A"/>
    <w:rsid w:val="00A53205"/>
    <w:rsid w:val="00A5429B"/>
    <w:rsid w:val="00A553A9"/>
    <w:rsid w:val="00A61F80"/>
    <w:rsid w:val="00A62566"/>
    <w:rsid w:val="00A62CCA"/>
    <w:rsid w:val="00A641DB"/>
    <w:rsid w:val="00A65B9D"/>
    <w:rsid w:val="00A70932"/>
    <w:rsid w:val="00A719A5"/>
    <w:rsid w:val="00A72732"/>
    <w:rsid w:val="00A72A74"/>
    <w:rsid w:val="00A72F83"/>
    <w:rsid w:val="00A7372B"/>
    <w:rsid w:val="00A74A1E"/>
    <w:rsid w:val="00A7509B"/>
    <w:rsid w:val="00A7796E"/>
    <w:rsid w:val="00A77F44"/>
    <w:rsid w:val="00A803EF"/>
    <w:rsid w:val="00A86656"/>
    <w:rsid w:val="00A87B14"/>
    <w:rsid w:val="00A93638"/>
    <w:rsid w:val="00A95DA9"/>
    <w:rsid w:val="00A97D07"/>
    <w:rsid w:val="00AA0737"/>
    <w:rsid w:val="00AA218A"/>
    <w:rsid w:val="00AA48E7"/>
    <w:rsid w:val="00AB0673"/>
    <w:rsid w:val="00AB3D30"/>
    <w:rsid w:val="00AB4794"/>
    <w:rsid w:val="00AB4842"/>
    <w:rsid w:val="00AB7BAF"/>
    <w:rsid w:val="00AB7CCF"/>
    <w:rsid w:val="00AC2D2E"/>
    <w:rsid w:val="00AC614D"/>
    <w:rsid w:val="00AC7F1C"/>
    <w:rsid w:val="00AD0F3F"/>
    <w:rsid w:val="00AD4EA3"/>
    <w:rsid w:val="00AD7FC9"/>
    <w:rsid w:val="00AE05ED"/>
    <w:rsid w:val="00AE44CB"/>
    <w:rsid w:val="00AE55D4"/>
    <w:rsid w:val="00AE72D7"/>
    <w:rsid w:val="00AF05BB"/>
    <w:rsid w:val="00AF1038"/>
    <w:rsid w:val="00AF113B"/>
    <w:rsid w:val="00AF2633"/>
    <w:rsid w:val="00AF74AF"/>
    <w:rsid w:val="00B01F39"/>
    <w:rsid w:val="00B037AF"/>
    <w:rsid w:val="00B05862"/>
    <w:rsid w:val="00B05A4B"/>
    <w:rsid w:val="00B07D3B"/>
    <w:rsid w:val="00B11974"/>
    <w:rsid w:val="00B1264B"/>
    <w:rsid w:val="00B12CF8"/>
    <w:rsid w:val="00B15519"/>
    <w:rsid w:val="00B15922"/>
    <w:rsid w:val="00B2198E"/>
    <w:rsid w:val="00B244B9"/>
    <w:rsid w:val="00B24985"/>
    <w:rsid w:val="00B27178"/>
    <w:rsid w:val="00B277DA"/>
    <w:rsid w:val="00B30A9E"/>
    <w:rsid w:val="00B3265A"/>
    <w:rsid w:val="00B32817"/>
    <w:rsid w:val="00B33E8E"/>
    <w:rsid w:val="00B346ED"/>
    <w:rsid w:val="00B36901"/>
    <w:rsid w:val="00B37F41"/>
    <w:rsid w:val="00B4245F"/>
    <w:rsid w:val="00B43ABC"/>
    <w:rsid w:val="00B4468E"/>
    <w:rsid w:val="00B470FB"/>
    <w:rsid w:val="00B479EB"/>
    <w:rsid w:val="00B507D2"/>
    <w:rsid w:val="00B51125"/>
    <w:rsid w:val="00B52CDF"/>
    <w:rsid w:val="00B65A3B"/>
    <w:rsid w:val="00B66DE0"/>
    <w:rsid w:val="00B72652"/>
    <w:rsid w:val="00B8133C"/>
    <w:rsid w:val="00B815A3"/>
    <w:rsid w:val="00B85C55"/>
    <w:rsid w:val="00B85CBF"/>
    <w:rsid w:val="00B90B23"/>
    <w:rsid w:val="00B91CEE"/>
    <w:rsid w:val="00B94777"/>
    <w:rsid w:val="00B9592E"/>
    <w:rsid w:val="00B95BB2"/>
    <w:rsid w:val="00B95EBA"/>
    <w:rsid w:val="00B96E03"/>
    <w:rsid w:val="00B97985"/>
    <w:rsid w:val="00BA0BC1"/>
    <w:rsid w:val="00BA1D82"/>
    <w:rsid w:val="00BA1FA3"/>
    <w:rsid w:val="00BA23D8"/>
    <w:rsid w:val="00BA27DA"/>
    <w:rsid w:val="00BA2A8A"/>
    <w:rsid w:val="00BA4230"/>
    <w:rsid w:val="00BA45FD"/>
    <w:rsid w:val="00BA5B9C"/>
    <w:rsid w:val="00BA7722"/>
    <w:rsid w:val="00BB4512"/>
    <w:rsid w:val="00BB4D49"/>
    <w:rsid w:val="00BB51F4"/>
    <w:rsid w:val="00BB56EB"/>
    <w:rsid w:val="00BB58F0"/>
    <w:rsid w:val="00BB6439"/>
    <w:rsid w:val="00BB675F"/>
    <w:rsid w:val="00BC133F"/>
    <w:rsid w:val="00BC1530"/>
    <w:rsid w:val="00BC1D75"/>
    <w:rsid w:val="00BC1D83"/>
    <w:rsid w:val="00BD05E4"/>
    <w:rsid w:val="00BD0936"/>
    <w:rsid w:val="00BD11E2"/>
    <w:rsid w:val="00BD17B0"/>
    <w:rsid w:val="00BD3267"/>
    <w:rsid w:val="00BD3715"/>
    <w:rsid w:val="00BD4630"/>
    <w:rsid w:val="00BD4EBD"/>
    <w:rsid w:val="00BD59F0"/>
    <w:rsid w:val="00BD5A47"/>
    <w:rsid w:val="00BD6E76"/>
    <w:rsid w:val="00BD702E"/>
    <w:rsid w:val="00BE07F9"/>
    <w:rsid w:val="00BE6717"/>
    <w:rsid w:val="00BF1148"/>
    <w:rsid w:val="00BF1811"/>
    <w:rsid w:val="00BF36AE"/>
    <w:rsid w:val="00BF4092"/>
    <w:rsid w:val="00BF44F1"/>
    <w:rsid w:val="00BF4CD9"/>
    <w:rsid w:val="00C00EEF"/>
    <w:rsid w:val="00C02E39"/>
    <w:rsid w:val="00C0301A"/>
    <w:rsid w:val="00C04F1A"/>
    <w:rsid w:val="00C05CCC"/>
    <w:rsid w:val="00C07088"/>
    <w:rsid w:val="00C07D5F"/>
    <w:rsid w:val="00C07F35"/>
    <w:rsid w:val="00C15993"/>
    <w:rsid w:val="00C17C49"/>
    <w:rsid w:val="00C21F84"/>
    <w:rsid w:val="00C22B1C"/>
    <w:rsid w:val="00C23E32"/>
    <w:rsid w:val="00C24B73"/>
    <w:rsid w:val="00C2555B"/>
    <w:rsid w:val="00C26D3E"/>
    <w:rsid w:val="00C30EA3"/>
    <w:rsid w:val="00C31E67"/>
    <w:rsid w:val="00C325BB"/>
    <w:rsid w:val="00C33A4A"/>
    <w:rsid w:val="00C36E55"/>
    <w:rsid w:val="00C4086A"/>
    <w:rsid w:val="00C42CA5"/>
    <w:rsid w:val="00C42FAF"/>
    <w:rsid w:val="00C456DD"/>
    <w:rsid w:val="00C47E7D"/>
    <w:rsid w:val="00C52DA0"/>
    <w:rsid w:val="00C53031"/>
    <w:rsid w:val="00C568D7"/>
    <w:rsid w:val="00C56AD1"/>
    <w:rsid w:val="00C60BBC"/>
    <w:rsid w:val="00C6365D"/>
    <w:rsid w:val="00C6644B"/>
    <w:rsid w:val="00C668FF"/>
    <w:rsid w:val="00C67861"/>
    <w:rsid w:val="00C7532A"/>
    <w:rsid w:val="00C7663D"/>
    <w:rsid w:val="00C779DC"/>
    <w:rsid w:val="00C80ADA"/>
    <w:rsid w:val="00C81DF4"/>
    <w:rsid w:val="00C83132"/>
    <w:rsid w:val="00C864DC"/>
    <w:rsid w:val="00C908E5"/>
    <w:rsid w:val="00C9118F"/>
    <w:rsid w:val="00C9156E"/>
    <w:rsid w:val="00C947C0"/>
    <w:rsid w:val="00C947CE"/>
    <w:rsid w:val="00C95072"/>
    <w:rsid w:val="00C95F04"/>
    <w:rsid w:val="00C97E6F"/>
    <w:rsid w:val="00CA079E"/>
    <w:rsid w:val="00CA135D"/>
    <w:rsid w:val="00CA1722"/>
    <w:rsid w:val="00CA1806"/>
    <w:rsid w:val="00CA22D8"/>
    <w:rsid w:val="00CA5872"/>
    <w:rsid w:val="00CA78F9"/>
    <w:rsid w:val="00CA7CAF"/>
    <w:rsid w:val="00CB0499"/>
    <w:rsid w:val="00CB06F8"/>
    <w:rsid w:val="00CB08B5"/>
    <w:rsid w:val="00CB18B1"/>
    <w:rsid w:val="00CB2736"/>
    <w:rsid w:val="00CB38CA"/>
    <w:rsid w:val="00CB5712"/>
    <w:rsid w:val="00CB6969"/>
    <w:rsid w:val="00CB6F2B"/>
    <w:rsid w:val="00CB7254"/>
    <w:rsid w:val="00CC0CB0"/>
    <w:rsid w:val="00CC1067"/>
    <w:rsid w:val="00CC3D3D"/>
    <w:rsid w:val="00CC3DF9"/>
    <w:rsid w:val="00CC65C5"/>
    <w:rsid w:val="00CC73AB"/>
    <w:rsid w:val="00CD0325"/>
    <w:rsid w:val="00CD12BC"/>
    <w:rsid w:val="00CD3324"/>
    <w:rsid w:val="00CD46EA"/>
    <w:rsid w:val="00CD4A18"/>
    <w:rsid w:val="00CD575C"/>
    <w:rsid w:val="00CD6257"/>
    <w:rsid w:val="00CD6E1E"/>
    <w:rsid w:val="00CD7A9C"/>
    <w:rsid w:val="00CE0770"/>
    <w:rsid w:val="00CE0BEA"/>
    <w:rsid w:val="00CE1E44"/>
    <w:rsid w:val="00CE37D5"/>
    <w:rsid w:val="00CE5086"/>
    <w:rsid w:val="00CE6C6E"/>
    <w:rsid w:val="00CE76FD"/>
    <w:rsid w:val="00CE7991"/>
    <w:rsid w:val="00CF177F"/>
    <w:rsid w:val="00CF2033"/>
    <w:rsid w:val="00CF5DF2"/>
    <w:rsid w:val="00CF6C98"/>
    <w:rsid w:val="00D0061B"/>
    <w:rsid w:val="00D012CF"/>
    <w:rsid w:val="00D016C3"/>
    <w:rsid w:val="00D01832"/>
    <w:rsid w:val="00D01DC0"/>
    <w:rsid w:val="00D02C28"/>
    <w:rsid w:val="00D02E81"/>
    <w:rsid w:val="00D0526B"/>
    <w:rsid w:val="00D07AA2"/>
    <w:rsid w:val="00D1081A"/>
    <w:rsid w:val="00D15569"/>
    <w:rsid w:val="00D15619"/>
    <w:rsid w:val="00D15A44"/>
    <w:rsid w:val="00D160DE"/>
    <w:rsid w:val="00D21C96"/>
    <w:rsid w:val="00D30074"/>
    <w:rsid w:val="00D30854"/>
    <w:rsid w:val="00D31127"/>
    <w:rsid w:val="00D320FC"/>
    <w:rsid w:val="00D333B4"/>
    <w:rsid w:val="00D3359F"/>
    <w:rsid w:val="00D35FF4"/>
    <w:rsid w:val="00D40C89"/>
    <w:rsid w:val="00D41337"/>
    <w:rsid w:val="00D422E9"/>
    <w:rsid w:val="00D47B55"/>
    <w:rsid w:val="00D47B8A"/>
    <w:rsid w:val="00D50703"/>
    <w:rsid w:val="00D531E4"/>
    <w:rsid w:val="00D53C47"/>
    <w:rsid w:val="00D53E59"/>
    <w:rsid w:val="00D55534"/>
    <w:rsid w:val="00D60057"/>
    <w:rsid w:val="00D60444"/>
    <w:rsid w:val="00D605B1"/>
    <w:rsid w:val="00D60D98"/>
    <w:rsid w:val="00D6181D"/>
    <w:rsid w:val="00D61D5F"/>
    <w:rsid w:val="00D61FAA"/>
    <w:rsid w:val="00D62038"/>
    <w:rsid w:val="00D628D2"/>
    <w:rsid w:val="00D62FEC"/>
    <w:rsid w:val="00D639EE"/>
    <w:rsid w:val="00D65C4E"/>
    <w:rsid w:val="00D6662D"/>
    <w:rsid w:val="00D67EA6"/>
    <w:rsid w:val="00D71C06"/>
    <w:rsid w:val="00D71EA0"/>
    <w:rsid w:val="00D72152"/>
    <w:rsid w:val="00D72157"/>
    <w:rsid w:val="00D721F1"/>
    <w:rsid w:val="00D73F33"/>
    <w:rsid w:val="00D74A93"/>
    <w:rsid w:val="00D76337"/>
    <w:rsid w:val="00D77A56"/>
    <w:rsid w:val="00D80B6D"/>
    <w:rsid w:val="00D80C55"/>
    <w:rsid w:val="00D80F78"/>
    <w:rsid w:val="00D8120C"/>
    <w:rsid w:val="00D84488"/>
    <w:rsid w:val="00D844C8"/>
    <w:rsid w:val="00D84B7D"/>
    <w:rsid w:val="00D84F78"/>
    <w:rsid w:val="00D8513A"/>
    <w:rsid w:val="00D85BBB"/>
    <w:rsid w:val="00D85FB4"/>
    <w:rsid w:val="00D879CA"/>
    <w:rsid w:val="00D906BE"/>
    <w:rsid w:val="00D943AD"/>
    <w:rsid w:val="00D94687"/>
    <w:rsid w:val="00D9690A"/>
    <w:rsid w:val="00DA2C91"/>
    <w:rsid w:val="00DA5316"/>
    <w:rsid w:val="00DA7B87"/>
    <w:rsid w:val="00DB0343"/>
    <w:rsid w:val="00DB342A"/>
    <w:rsid w:val="00DB3E19"/>
    <w:rsid w:val="00DB63D9"/>
    <w:rsid w:val="00DB6CA5"/>
    <w:rsid w:val="00DB7121"/>
    <w:rsid w:val="00DB7E77"/>
    <w:rsid w:val="00DC0BD6"/>
    <w:rsid w:val="00DC0F17"/>
    <w:rsid w:val="00DC30D0"/>
    <w:rsid w:val="00DC37CE"/>
    <w:rsid w:val="00DC422E"/>
    <w:rsid w:val="00DC72C4"/>
    <w:rsid w:val="00DD0B4E"/>
    <w:rsid w:val="00DD1F5E"/>
    <w:rsid w:val="00DD2DD1"/>
    <w:rsid w:val="00DD4803"/>
    <w:rsid w:val="00DD639C"/>
    <w:rsid w:val="00DD67DA"/>
    <w:rsid w:val="00DD7940"/>
    <w:rsid w:val="00DE1840"/>
    <w:rsid w:val="00DE1B89"/>
    <w:rsid w:val="00DE476A"/>
    <w:rsid w:val="00DE5007"/>
    <w:rsid w:val="00DE59C6"/>
    <w:rsid w:val="00DF26B9"/>
    <w:rsid w:val="00DF2E5A"/>
    <w:rsid w:val="00DF3A69"/>
    <w:rsid w:val="00DF4305"/>
    <w:rsid w:val="00DF4D81"/>
    <w:rsid w:val="00DF658B"/>
    <w:rsid w:val="00E00DC6"/>
    <w:rsid w:val="00E04B02"/>
    <w:rsid w:val="00E058A3"/>
    <w:rsid w:val="00E05E9B"/>
    <w:rsid w:val="00E07417"/>
    <w:rsid w:val="00E10ABF"/>
    <w:rsid w:val="00E130CB"/>
    <w:rsid w:val="00E151F3"/>
    <w:rsid w:val="00E1723B"/>
    <w:rsid w:val="00E17539"/>
    <w:rsid w:val="00E23A7D"/>
    <w:rsid w:val="00E244E6"/>
    <w:rsid w:val="00E2695D"/>
    <w:rsid w:val="00E27028"/>
    <w:rsid w:val="00E32995"/>
    <w:rsid w:val="00E32C50"/>
    <w:rsid w:val="00E3404F"/>
    <w:rsid w:val="00E41A6D"/>
    <w:rsid w:val="00E41E9C"/>
    <w:rsid w:val="00E423C3"/>
    <w:rsid w:val="00E4323F"/>
    <w:rsid w:val="00E4469C"/>
    <w:rsid w:val="00E450AB"/>
    <w:rsid w:val="00E47059"/>
    <w:rsid w:val="00E5280E"/>
    <w:rsid w:val="00E52CEE"/>
    <w:rsid w:val="00E53A7F"/>
    <w:rsid w:val="00E54A8E"/>
    <w:rsid w:val="00E563FC"/>
    <w:rsid w:val="00E569BC"/>
    <w:rsid w:val="00E57F9B"/>
    <w:rsid w:val="00E60634"/>
    <w:rsid w:val="00E607C0"/>
    <w:rsid w:val="00E61348"/>
    <w:rsid w:val="00E6211E"/>
    <w:rsid w:val="00E6319B"/>
    <w:rsid w:val="00E6550B"/>
    <w:rsid w:val="00E65551"/>
    <w:rsid w:val="00E6726D"/>
    <w:rsid w:val="00E70FBC"/>
    <w:rsid w:val="00E74000"/>
    <w:rsid w:val="00E7623C"/>
    <w:rsid w:val="00E773C0"/>
    <w:rsid w:val="00E80764"/>
    <w:rsid w:val="00E80FCB"/>
    <w:rsid w:val="00E81433"/>
    <w:rsid w:val="00E81C95"/>
    <w:rsid w:val="00E845C0"/>
    <w:rsid w:val="00E852A3"/>
    <w:rsid w:val="00E86628"/>
    <w:rsid w:val="00E914B7"/>
    <w:rsid w:val="00E92775"/>
    <w:rsid w:val="00E93103"/>
    <w:rsid w:val="00EA0295"/>
    <w:rsid w:val="00EA0314"/>
    <w:rsid w:val="00EA0C1C"/>
    <w:rsid w:val="00EA477A"/>
    <w:rsid w:val="00EA5CA0"/>
    <w:rsid w:val="00EA5D92"/>
    <w:rsid w:val="00EB083E"/>
    <w:rsid w:val="00EB307B"/>
    <w:rsid w:val="00EB5354"/>
    <w:rsid w:val="00EB7780"/>
    <w:rsid w:val="00EC2DC7"/>
    <w:rsid w:val="00EC3779"/>
    <w:rsid w:val="00EC65E8"/>
    <w:rsid w:val="00EC71DE"/>
    <w:rsid w:val="00EC7F0E"/>
    <w:rsid w:val="00ED2D1F"/>
    <w:rsid w:val="00ED58E9"/>
    <w:rsid w:val="00ED700E"/>
    <w:rsid w:val="00ED79D6"/>
    <w:rsid w:val="00EE1831"/>
    <w:rsid w:val="00EE3DAD"/>
    <w:rsid w:val="00EF2177"/>
    <w:rsid w:val="00EF2F7C"/>
    <w:rsid w:val="00EF3FC0"/>
    <w:rsid w:val="00EF42FC"/>
    <w:rsid w:val="00EF61B5"/>
    <w:rsid w:val="00F009B3"/>
    <w:rsid w:val="00F00A40"/>
    <w:rsid w:val="00F00A6E"/>
    <w:rsid w:val="00F05773"/>
    <w:rsid w:val="00F0773E"/>
    <w:rsid w:val="00F115D1"/>
    <w:rsid w:val="00F12CED"/>
    <w:rsid w:val="00F12DCE"/>
    <w:rsid w:val="00F13496"/>
    <w:rsid w:val="00F13B2F"/>
    <w:rsid w:val="00F14346"/>
    <w:rsid w:val="00F14982"/>
    <w:rsid w:val="00F163E9"/>
    <w:rsid w:val="00F22A26"/>
    <w:rsid w:val="00F23C0F"/>
    <w:rsid w:val="00F2598D"/>
    <w:rsid w:val="00F26166"/>
    <w:rsid w:val="00F26D3E"/>
    <w:rsid w:val="00F2720A"/>
    <w:rsid w:val="00F32739"/>
    <w:rsid w:val="00F32845"/>
    <w:rsid w:val="00F336A2"/>
    <w:rsid w:val="00F34643"/>
    <w:rsid w:val="00F36BA0"/>
    <w:rsid w:val="00F411C5"/>
    <w:rsid w:val="00F44AEB"/>
    <w:rsid w:val="00F45620"/>
    <w:rsid w:val="00F5304D"/>
    <w:rsid w:val="00F532E2"/>
    <w:rsid w:val="00F5470D"/>
    <w:rsid w:val="00F555FB"/>
    <w:rsid w:val="00F5638B"/>
    <w:rsid w:val="00F56493"/>
    <w:rsid w:val="00F60301"/>
    <w:rsid w:val="00F628BC"/>
    <w:rsid w:val="00F628FC"/>
    <w:rsid w:val="00F7033F"/>
    <w:rsid w:val="00F70DD4"/>
    <w:rsid w:val="00F7277F"/>
    <w:rsid w:val="00F72E32"/>
    <w:rsid w:val="00F73B85"/>
    <w:rsid w:val="00F747EC"/>
    <w:rsid w:val="00F76218"/>
    <w:rsid w:val="00F829B7"/>
    <w:rsid w:val="00F82DF0"/>
    <w:rsid w:val="00F84A4F"/>
    <w:rsid w:val="00F84ACE"/>
    <w:rsid w:val="00F8617B"/>
    <w:rsid w:val="00F863D7"/>
    <w:rsid w:val="00F9173C"/>
    <w:rsid w:val="00F94474"/>
    <w:rsid w:val="00F975AD"/>
    <w:rsid w:val="00FA05C2"/>
    <w:rsid w:val="00FA2D1E"/>
    <w:rsid w:val="00FA35EB"/>
    <w:rsid w:val="00FA6EE9"/>
    <w:rsid w:val="00FB18D0"/>
    <w:rsid w:val="00FB2241"/>
    <w:rsid w:val="00FB2315"/>
    <w:rsid w:val="00FB2ED6"/>
    <w:rsid w:val="00FB3591"/>
    <w:rsid w:val="00FB412B"/>
    <w:rsid w:val="00FB42E5"/>
    <w:rsid w:val="00FB58C3"/>
    <w:rsid w:val="00FB59EE"/>
    <w:rsid w:val="00FB6B8F"/>
    <w:rsid w:val="00FC2522"/>
    <w:rsid w:val="00FC3C77"/>
    <w:rsid w:val="00FC5B56"/>
    <w:rsid w:val="00FD181C"/>
    <w:rsid w:val="00FD4B12"/>
    <w:rsid w:val="00FD5009"/>
    <w:rsid w:val="00FD55C9"/>
    <w:rsid w:val="00FD62DC"/>
    <w:rsid w:val="00FD64DF"/>
    <w:rsid w:val="00FD65D3"/>
    <w:rsid w:val="00FD6A70"/>
    <w:rsid w:val="00FE06B1"/>
    <w:rsid w:val="00FE1D87"/>
    <w:rsid w:val="00FE1EC8"/>
    <w:rsid w:val="00FE3560"/>
    <w:rsid w:val="00FE3E09"/>
    <w:rsid w:val="00FE4FBF"/>
    <w:rsid w:val="00FE78CB"/>
    <w:rsid w:val="00FF1E5A"/>
    <w:rsid w:val="00FF6AA1"/>
    <w:rsid w:val="00FF6F6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E563FC"/>
    <w:rPr>
      <w:i/>
      <w:iCs/>
    </w:rPr>
  </w:style>
  <w:style w:type="character" w:styleId="Siln">
    <w:name w:val="Strong"/>
    <w:basedOn w:val="Standardnpsmoodstavce"/>
    <w:uiPriority w:val="22"/>
    <w:qFormat/>
    <w:rsid w:val="00A553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8548">
      <w:bodyDiv w:val="1"/>
      <w:marLeft w:val="0"/>
      <w:marRight w:val="0"/>
      <w:marTop w:val="0"/>
      <w:marBottom w:val="0"/>
      <w:divBdr>
        <w:top w:val="none" w:sz="0" w:space="0" w:color="auto"/>
        <w:left w:val="none" w:sz="0" w:space="0" w:color="auto"/>
        <w:bottom w:val="none" w:sz="0" w:space="0" w:color="auto"/>
        <w:right w:val="none" w:sz="0" w:space="0" w:color="auto"/>
      </w:divBdr>
    </w:div>
    <w:div w:id="26149915">
      <w:bodyDiv w:val="1"/>
      <w:marLeft w:val="0"/>
      <w:marRight w:val="0"/>
      <w:marTop w:val="0"/>
      <w:marBottom w:val="0"/>
      <w:divBdr>
        <w:top w:val="none" w:sz="0" w:space="0" w:color="auto"/>
        <w:left w:val="none" w:sz="0" w:space="0" w:color="auto"/>
        <w:bottom w:val="none" w:sz="0" w:space="0" w:color="auto"/>
        <w:right w:val="none" w:sz="0" w:space="0" w:color="auto"/>
      </w:divBdr>
    </w:div>
    <w:div w:id="61872337">
      <w:bodyDiv w:val="1"/>
      <w:marLeft w:val="0"/>
      <w:marRight w:val="0"/>
      <w:marTop w:val="0"/>
      <w:marBottom w:val="0"/>
      <w:divBdr>
        <w:top w:val="none" w:sz="0" w:space="0" w:color="auto"/>
        <w:left w:val="none" w:sz="0" w:space="0" w:color="auto"/>
        <w:bottom w:val="none" w:sz="0" w:space="0" w:color="auto"/>
        <w:right w:val="none" w:sz="0" w:space="0" w:color="auto"/>
      </w:divBdr>
    </w:div>
    <w:div w:id="84084129">
      <w:bodyDiv w:val="1"/>
      <w:marLeft w:val="0"/>
      <w:marRight w:val="0"/>
      <w:marTop w:val="0"/>
      <w:marBottom w:val="0"/>
      <w:divBdr>
        <w:top w:val="none" w:sz="0" w:space="0" w:color="auto"/>
        <w:left w:val="none" w:sz="0" w:space="0" w:color="auto"/>
        <w:bottom w:val="none" w:sz="0" w:space="0" w:color="auto"/>
        <w:right w:val="none" w:sz="0" w:space="0" w:color="auto"/>
      </w:divBdr>
    </w:div>
    <w:div w:id="116265840">
      <w:bodyDiv w:val="1"/>
      <w:marLeft w:val="0"/>
      <w:marRight w:val="0"/>
      <w:marTop w:val="0"/>
      <w:marBottom w:val="0"/>
      <w:divBdr>
        <w:top w:val="none" w:sz="0" w:space="0" w:color="auto"/>
        <w:left w:val="none" w:sz="0" w:space="0" w:color="auto"/>
        <w:bottom w:val="none" w:sz="0" w:space="0" w:color="auto"/>
        <w:right w:val="none" w:sz="0" w:space="0" w:color="auto"/>
      </w:divBdr>
    </w:div>
    <w:div w:id="136192622">
      <w:bodyDiv w:val="1"/>
      <w:marLeft w:val="0"/>
      <w:marRight w:val="0"/>
      <w:marTop w:val="0"/>
      <w:marBottom w:val="0"/>
      <w:divBdr>
        <w:top w:val="none" w:sz="0" w:space="0" w:color="auto"/>
        <w:left w:val="none" w:sz="0" w:space="0" w:color="auto"/>
        <w:bottom w:val="none" w:sz="0" w:space="0" w:color="auto"/>
        <w:right w:val="none" w:sz="0" w:space="0" w:color="auto"/>
      </w:divBdr>
    </w:div>
    <w:div w:id="172575859">
      <w:bodyDiv w:val="1"/>
      <w:marLeft w:val="0"/>
      <w:marRight w:val="0"/>
      <w:marTop w:val="0"/>
      <w:marBottom w:val="0"/>
      <w:divBdr>
        <w:top w:val="none" w:sz="0" w:space="0" w:color="auto"/>
        <w:left w:val="none" w:sz="0" w:space="0" w:color="auto"/>
        <w:bottom w:val="none" w:sz="0" w:space="0" w:color="auto"/>
        <w:right w:val="none" w:sz="0" w:space="0" w:color="auto"/>
      </w:divBdr>
    </w:div>
    <w:div w:id="225344068">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494489309">
      <w:bodyDiv w:val="1"/>
      <w:marLeft w:val="0"/>
      <w:marRight w:val="0"/>
      <w:marTop w:val="0"/>
      <w:marBottom w:val="0"/>
      <w:divBdr>
        <w:top w:val="none" w:sz="0" w:space="0" w:color="auto"/>
        <w:left w:val="none" w:sz="0" w:space="0" w:color="auto"/>
        <w:bottom w:val="none" w:sz="0" w:space="0" w:color="auto"/>
        <w:right w:val="none" w:sz="0" w:space="0" w:color="auto"/>
      </w:divBdr>
    </w:div>
    <w:div w:id="524488455">
      <w:bodyDiv w:val="1"/>
      <w:marLeft w:val="0"/>
      <w:marRight w:val="0"/>
      <w:marTop w:val="0"/>
      <w:marBottom w:val="0"/>
      <w:divBdr>
        <w:top w:val="none" w:sz="0" w:space="0" w:color="auto"/>
        <w:left w:val="none" w:sz="0" w:space="0" w:color="auto"/>
        <w:bottom w:val="none" w:sz="0" w:space="0" w:color="auto"/>
        <w:right w:val="none" w:sz="0" w:space="0" w:color="auto"/>
      </w:divBdr>
    </w:div>
    <w:div w:id="539055257">
      <w:bodyDiv w:val="1"/>
      <w:marLeft w:val="0"/>
      <w:marRight w:val="0"/>
      <w:marTop w:val="0"/>
      <w:marBottom w:val="0"/>
      <w:divBdr>
        <w:top w:val="none" w:sz="0" w:space="0" w:color="auto"/>
        <w:left w:val="none" w:sz="0" w:space="0" w:color="auto"/>
        <w:bottom w:val="none" w:sz="0" w:space="0" w:color="auto"/>
        <w:right w:val="none" w:sz="0" w:space="0" w:color="auto"/>
      </w:divBdr>
    </w:div>
    <w:div w:id="580876104">
      <w:bodyDiv w:val="1"/>
      <w:marLeft w:val="0"/>
      <w:marRight w:val="0"/>
      <w:marTop w:val="0"/>
      <w:marBottom w:val="0"/>
      <w:divBdr>
        <w:top w:val="none" w:sz="0" w:space="0" w:color="auto"/>
        <w:left w:val="none" w:sz="0" w:space="0" w:color="auto"/>
        <w:bottom w:val="none" w:sz="0" w:space="0" w:color="auto"/>
        <w:right w:val="none" w:sz="0" w:space="0" w:color="auto"/>
      </w:divBdr>
    </w:div>
    <w:div w:id="584384584">
      <w:bodyDiv w:val="1"/>
      <w:marLeft w:val="0"/>
      <w:marRight w:val="0"/>
      <w:marTop w:val="0"/>
      <w:marBottom w:val="0"/>
      <w:divBdr>
        <w:top w:val="none" w:sz="0" w:space="0" w:color="auto"/>
        <w:left w:val="none" w:sz="0" w:space="0" w:color="auto"/>
        <w:bottom w:val="none" w:sz="0" w:space="0" w:color="auto"/>
        <w:right w:val="none" w:sz="0" w:space="0" w:color="auto"/>
      </w:divBdr>
    </w:div>
    <w:div w:id="588000337">
      <w:bodyDiv w:val="1"/>
      <w:marLeft w:val="0"/>
      <w:marRight w:val="0"/>
      <w:marTop w:val="0"/>
      <w:marBottom w:val="0"/>
      <w:divBdr>
        <w:top w:val="none" w:sz="0" w:space="0" w:color="auto"/>
        <w:left w:val="none" w:sz="0" w:space="0" w:color="auto"/>
        <w:bottom w:val="none" w:sz="0" w:space="0" w:color="auto"/>
        <w:right w:val="none" w:sz="0" w:space="0" w:color="auto"/>
      </w:divBdr>
    </w:div>
    <w:div w:id="641467723">
      <w:bodyDiv w:val="1"/>
      <w:marLeft w:val="0"/>
      <w:marRight w:val="0"/>
      <w:marTop w:val="0"/>
      <w:marBottom w:val="0"/>
      <w:divBdr>
        <w:top w:val="none" w:sz="0" w:space="0" w:color="auto"/>
        <w:left w:val="none" w:sz="0" w:space="0" w:color="auto"/>
        <w:bottom w:val="none" w:sz="0" w:space="0" w:color="auto"/>
        <w:right w:val="none" w:sz="0" w:space="0" w:color="auto"/>
      </w:divBdr>
    </w:div>
    <w:div w:id="645667381">
      <w:bodyDiv w:val="1"/>
      <w:marLeft w:val="0"/>
      <w:marRight w:val="0"/>
      <w:marTop w:val="0"/>
      <w:marBottom w:val="0"/>
      <w:divBdr>
        <w:top w:val="none" w:sz="0" w:space="0" w:color="auto"/>
        <w:left w:val="none" w:sz="0" w:space="0" w:color="auto"/>
        <w:bottom w:val="none" w:sz="0" w:space="0" w:color="auto"/>
        <w:right w:val="none" w:sz="0" w:space="0" w:color="auto"/>
      </w:divBdr>
    </w:div>
    <w:div w:id="664868236">
      <w:bodyDiv w:val="1"/>
      <w:marLeft w:val="0"/>
      <w:marRight w:val="0"/>
      <w:marTop w:val="0"/>
      <w:marBottom w:val="0"/>
      <w:divBdr>
        <w:top w:val="none" w:sz="0" w:space="0" w:color="auto"/>
        <w:left w:val="none" w:sz="0" w:space="0" w:color="auto"/>
        <w:bottom w:val="none" w:sz="0" w:space="0" w:color="auto"/>
        <w:right w:val="none" w:sz="0" w:space="0" w:color="auto"/>
      </w:divBdr>
    </w:div>
    <w:div w:id="675570253">
      <w:bodyDiv w:val="1"/>
      <w:marLeft w:val="0"/>
      <w:marRight w:val="0"/>
      <w:marTop w:val="0"/>
      <w:marBottom w:val="0"/>
      <w:divBdr>
        <w:top w:val="none" w:sz="0" w:space="0" w:color="auto"/>
        <w:left w:val="none" w:sz="0" w:space="0" w:color="auto"/>
        <w:bottom w:val="none" w:sz="0" w:space="0" w:color="auto"/>
        <w:right w:val="none" w:sz="0" w:space="0" w:color="auto"/>
      </w:divBdr>
    </w:div>
    <w:div w:id="703022082">
      <w:bodyDiv w:val="1"/>
      <w:marLeft w:val="0"/>
      <w:marRight w:val="0"/>
      <w:marTop w:val="0"/>
      <w:marBottom w:val="0"/>
      <w:divBdr>
        <w:top w:val="none" w:sz="0" w:space="0" w:color="auto"/>
        <w:left w:val="none" w:sz="0" w:space="0" w:color="auto"/>
        <w:bottom w:val="none" w:sz="0" w:space="0" w:color="auto"/>
        <w:right w:val="none" w:sz="0" w:space="0" w:color="auto"/>
      </w:divBdr>
    </w:div>
    <w:div w:id="742989099">
      <w:bodyDiv w:val="1"/>
      <w:marLeft w:val="0"/>
      <w:marRight w:val="0"/>
      <w:marTop w:val="0"/>
      <w:marBottom w:val="0"/>
      <w:divBdr>
        <w:top w:val="none" w:sz="0" w:space="0" w:color="auto"/>
        <w:left w:val="none" w:sz="0" w:space="0" w:color="auto"/>
        <w:bottom w:val="none" w:sz="0" w:space="0" w:color="auto"/>
        <w:right w:val="none" w:sz="0" w:space="0" w:color="auto"/>
      </w:divBdr>
    </w:div>
    <w:div w:id="753823787">
      <w:bodyDiv w:val="1"/>
      <w:marLeft w:val="0"/>
      <w:marRight w:val="0"/>
      <w:marTop w:val="0"/>
      <w:marBottom w:val="0"/>
      <w:divBdr>
        <w:top w:val="none" w:sz="0" w:space="0" w:color="auto"/>
        <w:left w:val="none" w:sz="0" w:space="0" w:color="auto"/>
        <w:bottom w:val="none" w:sz="0" w:space="0" w:color="auto"/>
        <w:right w:val="none" w:sz="0" w:space="0" w:color="auto"/>
      </w:divBdr>
    </w:div>
    <w:div w:id="858007546">
      <w:bodyDiv w:val="1"/>
      <w:marLeft w:val="0"/>
      <w:marRight w:val="0"/>
      <w:marTop w:val="0"/>
      <w:marBottom w:val="0"/>
      <w:divBdr>
        <w:top w:val="none" w:sz="0" w:space="0" w:color="auto"/>
        <w:left w:val="none" w:sz="0" w:space="0" w:color="auto"/>
        <w:bottom w:val="none" w:sz="0" w:space="0" w:color="auto"/>
        <w:right w:val="none" w:sz="0" w:space="0" w:color="auto"/>
      </w:divBdr>
    </w:div>
    <w:div w:id="867060497">
      <w:bodyDiv w:val="1"/>
      <w:marLeft w:val="0"/>
      <w:marRight w:val="0"/>
      <w:marTop w:val="0"/>
      <w:marBottom w:val="0"/>
      <w:divBdr>
        <w:top w:val="none" w:sz="0" w:space="0" w:color="auto"/>
        <w:left w:val="none" w:sz="0" w:space="0" w:color="auto"/>
        <w:bottom w:val="none" w:sz="0" w:space="0" w:color="auto"/>
        <w:right w:val="none" w:sz="0" w:space="0" w:color="auto"/>
      </w:divBdr>
    </w:div>
    <w:div w:id="899173101">
      <w:bodyDiv w:val="1"/>
      <w:marLeft w:val="0"/>
      <w:marRight w:val="0"/>
      <w:marTop w:val="0"/>
      <w:marBottom w:val="0"/>
      <w:divBdr>
        <w:top w:val="none" w:sz="0" w:space="0" w:color="auto"/>
        <w:left w:val="none" w:sz="0" w:space="0" w:color="auto"/>
        <w:bottom w:val="none" w:sz="0" w:space="0" w:color="auto"/>
        <w:right w:val="none" w:sz="0" w:space="0" w:color="auto"/>
      </w:divBdr>
    </w:div>
    <w:div w:id="914245166">
      <w:bodyDiv w:val="1"/>
      <w:marLeft w:val="0"/>
      <w:marRight w:val="0"/>
      <w:marTop w:val="0"/>
      <w:marBottom w:val="0"/>
      <w:divBdr>
        <w:top w:val="none" w:sz="0" w:space="0" w:color="auto"/>
        <w:left w:val="none" w:sz="0" w:space="0" w:color="auto"/>
        <w:bottom w:val="none" w:sz="0" w:space="0" w:color="auto"/>
        <w:right w:val="none" w:sz="0" w:space="0" w:color="auto"/>
      </w:divBdr>
    </w:div>
    <w:div w:id="925654466">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031762177">
      <w:bodyDiv w:val="1"/>
      <w:marLeft w:val="0"/>
      <w:marRight w:val="0"/>
      <w:marTop w:val="0"/>
      <w:marBottom w:val="0"/>
      <w:divBdr>
        <w:top w:val="none" w:sz="0" w:space="0" w:color="auto"/>
        <w:left w:val="none" w:sz="0" w:space="0" w:color="auto"/>
        <w:bottom w:val="none" w:sz="0" w:space="0" w:color="auto"/>
        <w:right w:val="none" w:sz="0" w:space="0" w:color="auto"/>
      </w:divBdr>
    </w:div>
    <w:div w:id="1056513043">
      <w:bodyDiv w:val="1"/>
      <w:marLeft w:val="0"/>
      <w:marRight w:val="0"/>
      <w:marTop w:val="0"/>
      <w:marBottom w:val="0"/>
      <w:divBdr>
        <w:top w:val="none" w:sz="0" w:space="0" w:color="auto"/>
        <w:left w:val="none" w:sz="0" w:space="0" w:color="auto"/>
        <w:bottom w:val="none" w:sz="0" w:space="0" w:color="auto"/>
        <w:right w:val="none" w:sz="0" w:space="0" w:color="auto"/>
      </w:divBdr>
    </w:div>
    <w:div w:id="1074353678">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102065241">
      <w:bodyDiv w:val="1"/>
      <w:marLeft w:val="0"/>
      <w:marRight w:val="0"/>
      <w:marTop w:val="0"/>
      <w:marBottom w:val="0"/>
      <w:divBdr>
        <w:top w:val="none" w:sz="0" w:space="0" w:color="auto"/>
        <w:left w:val="none" w:sz="0" w:space="0" w:color="auto"/>
        <w:bottom w:val="none" w:sz="0" w:space="0" w:color="auto"/>
        <w:right w:val="none" w:sz="0" w:space="0" w:color="auto"/>
      </w:divBdr>
    </w:div>
    <w:div w:id="1129516099">
      <w:bodyDiv w:val="1"/>
      <w:marLeft w:val="0"/>
      <w:marRight w:val="0"/>
      <w:marTop w:val="0"/>
      <w:marBottom w:val="0"/>
      <w:divBdr>
        <w:top w:val="none" w:sz="0" w:space="0" w:color="auto"/>
        <w:left w:val="none" w:sz="0" w:space="0" w:color="auto"/>
        <w:bottom w:val="none" w:sz="0" w:space="0" w:color="auto"/>
        <w:right w:val="none" w:sz="0" w:space="0" w:color="auto"/>
      </w:divBdr>
    </w:div>
    <w:div w:id="1180124350">
      <w:bodyDiv w:val="1"/>
      <w:marLeft w:val="0"/>
      <w:marRight w:val="0"/>
      <w:marTop w:val="0"/>
      <w:marBottom w:val="0"/>
      <w:divBdr>
        <w:top w:val="none" w:sz="0" w:space="0" w:color="auto"/>
        <w:left w:val="none" w:sz="0" w:space="0" w:color="auto"/>
        <w:bottom w:val="none" w:sz="0" w:space="0" w:color="auto"/>
        <w:right w:val="none" w:sz="0" w:space="0" w:color="auto"/>
      </w:divBdr>
    </w:div>
    <w:div w:id="1202398645">
      <w:bodyDiv w:val="1"/>
      <w:marLeft w:val="0"/>
      <w:marRight w:val="0"/>
      <w:marTop w:val="0"/>
      <w:marBottom w:val="0"/>
      <w:divBdr>
        <w:top w:val="none" w:sz="0" w:space="0" w:color="auto"/>
        <w:left w:val="none" w:sz="0" w:space="0" w:color="auto"/>
        <w:bottom w:val="none" w:sz="0" w:space="0" w:color="auto"/>
        <w:right w:val="none" w:sz="0" w:space="0" w:color="auto"/>
      </w:divBdr>
    </w:div>
    <w:div w:id="1203983725">
      <w:bodyDiv w:val="1"/>
      <w:marLeft w:val="0"/>
      <w:marRight w:val="0"/>
      <w:marTop w:val="0"/>
      <w:marBottom w:val="0"/>
      <w:divBdr>
        <w:top w:val="none" w:sz="0" w:space="0" w:color="auto"/>
        <w:left w:val="none" w:sz="0" w:space="0" w:color="auto"/>
        <w:bottom w:val="none" w:sz="0" w:space="0" w:color="auto"/>
        <w:right w:val="none" w:sz="0" w:space="0" w:color="auto"/>
      </w:divBdr>
    </w:div>
    <w:div w:id="1208882320">
      <w:bodyDiv w:val="1"/>
      <w:marLeft w:val="0"/>
      <w:marRight w:val="0"/>
      <w:marTop w:val="0"/>
      <w:marBottom w:val="0"/>
      <w:divBdr>
        <w:top w:val="none" w:sz="0" w:space="0" w:color="auto"/>
        <w:left w:val="none" w:sz="0" w:space="0" w:color="auto"/>
        <w:bottom w:val="none" w:sz="0" w:space="0" w:color="auto"/>
        <w:right w:val="none" w:sz="0" w:space="0" w:color="auto"/>
      </w:divBdr>
    </w:div>
    <w:div w:id="1216889717">
      <w:bodyDiv w:val="1"/>
      <w:marLeft w:val="0"/>
      <w:marRight w:val="0"/>
      <w:marTop w:val="0"/>
      <w:marBottom w:val="0"/>
      <w:divBdr>
        <w:top w:val="none" w:sz="0" w:space="0" w:color="auto"/>
        <w:left w:val="none" w:sz="0" w:space="0" w:color="auto"/>
        <w:bottom w:val="none" w:sz="0" w:space="0" w:color="auto"/>
        <w:right w:val="none" w:sz="0" w:space="0" w:color="auto"/>
      </w:divBdr>
    </w:div>
    <w:div w:id="1240212790">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285886793">
      <w:bodyDiv w:val="1"/>
      <w:marLeft w:val="0"/>
      <w:marRight w:val="0"/>
      <w:marTop w:val="0"/>
      <w:marBottom w:val="0"/>
      <w:divBdr>
        <w:top w:val="none" w:sz="0" w:space="0" w:color="auto"/>
        <w:left w:val="none" w:sz="0" w:space="0" w:color="auto"/>
        <w:bottom w:val="none" w:sz="0" w:space="0" w:color="auto"/>
        <w:right w:val="none" w:sz="0" w:space="0" w:color="auto"/>
      </w:divBdr>
    </w:div>
    <w:div w:id="1339623275">
      <w:bodyDiv w:val="1"/>
      <w:marLeft w:val="0"/>
      <w:marRight w:val="0"/>
      <w:marTop w:val="0"/>
      <w:marBottom w:val="0"/>
      <w:divBdr>
        <w:top w:val="none" w:sz="0" w:space="0" w:color="auto"/>
        <w:left w:val="none" w:sz="0" w:space="0" w:color="auto"/>
        <w:bottom w:val="none" w:sz="0" w:space="0" w:color="auto"/>
        <w:right w:val="none" w:sz="0" w:space="0" w:color="auto"/>
      </w:divBdr>
    </w:div>
    <w:div w:id="1358702177">
      <w:bodyDiv w:val="1"/>
      <w:marLeft w:val="0"/>
      <w:marRight w:val="0"/>
      <w:marTop w:val="0"/>
      <w:marBottom w:val="0"/>
      <w:divBdr>
        <w:top w:val="none" w:sz="0" w:space="0" w:color="auto"/>
        <w:left w:val="none" w:sz="0" w:space="0" w:color="auto"/>
        <w:bottom w:val="none" w:sz="0" w:space="0" w:color="auto"/>
        <w:right w:val="none" w:sz="0" w:space="0" w:color="auto"/>
      </w:divBdr>
    </w:div>
    <w:div w:id="1370837486">
      <w:bodyDiv w:val="1"/>
      <w:marLeft w:val="0"/>
      <w:marRight w:val="0"/>
      <w:marTop w:val="0"/>
      <w:marBottom w:val="0"/>
      <w:divBdr>
        <w:top w:val="none" w:sz="0" w:space="0" w:color="auto"/>
        <w:left w:val="none" w:sz="0" w:space="0" w:color="auto"/>
        <w:bottom w:val="none" w:sz="0" w:space="0" w:color="auto"/>
        <w:right w:val="none" w:sz="0" w:space="0" w:color="auto"/>
      </w:divBdr>
    </w:div>
    <w:div w:id="1394231548">
      <w:bodyDiv w:val="1"/>
      <w:marLeft w:val="0"/>
      <w:marRight w:val="0"/>
      <w:marTop w:val="0"/>
      <w:marBottom w:val="0"/>
      <w:divBdr>
        <w:top w:val="none" w:sz="0" w:space="0" w:color="auto"/>
        <w:left w:val="none" w:sz="0" w:space="0" w:color="auto"/>
        <w:bottom w:val="none" w:sz="0" w:space="0" w:color="auto"/>
        <w:right w:val="none" w:sz="0" w:space="0" w:color="auto"/>
      </w:divBdr>
    </w:div>
    <w:div w:id="1414161234">
      <w:bodyDiv w:val="1"/>
      <w:marLeft w:val="0"/>
      <w:marRight w:val="0"/>
      <w:marTop w:val="0"/>
      <w:marBottom w:val="0"/>
      <w:divBdr>
        <w:top w:val="none" w:sz="0" w:space="0" w:color="auto"/>
        <w:left w:val="none" w:sz="0" w:space="0" w:color="auto"/>
        <w:bottom w:val="none" w:sz="0" w:space="0" w:color="auto"/>
        <w:right w:val="none" w:sz="0" w:space="0" w:color="auto"/>
      </w:divBdr>
    </w:div>
    <w:div w:id="1438479073">
      <w:bodyDiv w:val="1"/>
      <w:marLeft w:val="0"/>
      <w:marRight w:val="0"/>
      <w:marTop w:val="0"/>
      <w:marBottom w:val="0"/>
      <w:divBdr>
        <w:top w:val="none" w:sz="0" w:space="0" w:color="auto"/>
        <w:left w:val="none" w:sz="0" w:space="0" w:color="auto"/>
        <w:bottom w:val="none" w:sz="0" w:space="0" w:color="auto"/>
        <w:right w:val="none" w:sz="0" w:space="0" w:color="auto"/>
      </w:divBdr>
    </w:div>
    <w:div w:id="1470200845">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30217791">
      <w:bodyDiv w:val="1"/>
      <w:marLeft w:val="0"/>
      <w:marRight w:val="0"/>
      <w:marTop w:val="0"/>
      <w:marBottom w:val="0"/>
      <w:divBdr>
        <w:top w:val="none" w:sz="0" w:space="0" w:color="auto"/>
        <w:left w:val="none" w:sz="0" w:space="0" w:color="auto"/>
        <w:bottom w:val="none" w:sz="0" w:space="0" w:color="auto"/>
        <w:right w:val="none" w:sz="0" w:space="0" w:color="auto"/>
      </w:divBdr>
    </w:div>
    <w:div w:id="1609041497">
      <w:bodyDiv w:val="1"/>
      <w:marLeft w:val="0"/>
      <w:marRight w:val="0"/>
      <w:marTop w:val="0"/>
      <w:marBottom w:val="0"/>
      <w:divBdr>
        <w:top w:val="none" w:sz="0" w:space="0" w:color="auto"/>
        <w:left w:val="none" w:sz="0" w:space="0" w:color="auto"/>
        <w:bottom w:val="none" w:sz="0" w:space="0" w:color="auto"/>
        <w:right w:val="none" w:sz="0" w:space="0" w:color="auto"/>
      </w:divBdr>
    </w:div>
    <w:div w:id="1644502417">
      <w:bodyDiv w:val="1"/>
      <w:marLeft w:val="0"/>
      <w:marRight w:val="0"/>
      <w:marTop w:val="0"/>
      <w:marBottom w:val="0"/>
      <w:divBdr>
        <w:top w:val="none" w:sz="0" w:space="0" w:color="auto"/>
        <w:left w:val="none" w:sz="0" w:space="0" w:color="auto"/>
        <w:bottom w:val="none" w:sz="0" w:space="0" w:color="auto"/>
        <w:right w:val="none" w:sz="0" w:space="0" w:color="auto"/>
      </w:divBdr>
    </w:div>
    <w:div w:id="1695886480">
      <w:bodyDiv w:val="1"/>
      <w:marLeft w:val="0"/>
      <w:marRight w:val="0"/>
      <w:marTop w:val="0"/>
      <w:marBottom w:val="0"/>
      <w:divBdr>
        <w:top w:val="none" w:sz="0" w:space="0" w:color="auto"/>
        <w:left w:val="none" w:sz="0" w:space="0" w:color="auto"/>
        <w:bottom w:val="none" w:sz="0" w:space="0" w:color="auto"/>
        <w:right w:val="none" w:sz="0" w:space="0" w:color="auto"/>
      </w:divBdr>
    </w:div>
    <w:div w:id="1712606406">
      <w:bodyDiv w:val="1"/>
      <w:marLeft w:val="0"/>
      <w:marRight w:val="0"/>
      <w:marTop w:val="0"/>
      <w:marBottom w:val="0"/>
      <w:divBdr>
        <w:top w:val="none" w:sz="0" w:space="0" w:color="auto"/>
        <w:left w:val="none" w:sz="0" w:space="0" w:color="auto"/>
        <w:bottom w:val="none" w:sz="0" w:space="0" w:color="auto"/>
        <w:right w:val="none" w:sz="0" w:space="0" w:color="auto"/>
      </w:divBdr>
    </w:div>
    <w:div w:id="1726222585">
      <w:bodyDiv w:val="1"/>
      <w:marLeft w:val="0"/>
      <w:marRight w:val="0"/>
      <w:marTop w:val="0"/>
      <w:marBottom w:val="0"/>
      <w:divBdr>
        <w:top w:val="none" w:sz="0" w:space="0" w:color="auto"/>
        <w:left w:val="none" w:sz="0" w:space="0" w:color="auto"/>
        <w:bottom w:val="none" w:sz="0" w:space="0" w:color="auto"/>
        <w:right w:val="none" w:sz="0" w:space="0" w:color="auto"/>
      </w:divBdr>
    </w:div>
    <w:div w:id="1733112470">
      <w:bodyDiv w:val="1"/>
      <w:marLeft w:val="0"/>
      <w:marRight w:val="0"/>
      <w:marTop w:val="0"/>
      <w:marBottom w:val="0"/>
      <w:divBdr>
        <w:top w:val="none" w:sz="0" w:space="0" w:color="auto"/>
        <w:left w:val="none" w:sz="0" w:space="0" w:color="auto"/>
        <w:bottom w:val="none" w:sz="0" w:space="0" w:color="auto"/>
        <w:right w:val="none" w:sz="0" w:space="0" w:color="auto"/>
      </w:divBdr>
    </w:div>
    <w:div w:id="1737900709">
      <w:bodyDiv w:val="1"/>
      <w:marLeft w:val="0"/>
      <w:marRight w:val="0"/>
      <w:marTop w:val="0"/>
      <w:marBottom w:val="0"/>
      <w:divBdr>
        <w:top w:val="none" w:sz="0" w:space="0" w:color="auto"/>
        <w:left w:val="none" w:sz="0" w:space="0" w:color="auto"/>
        <w:bottom w:val="none" w:sz="0" w:space="0" w:color="auto"/>
        <w:right w:val="none" w:sz="0" w:space="0" w:color="auto"/>
      </w:divBdr>
    </w:div>
    <w:div w:id="1761415458">
      <w:bodyDiv w:val="1"/>
      <w:marLeft w:val="0"/>
      <w:marRight w:val="0"/>
      <w:marTop w:val="0"/>
      <w:marBottom w:val="0"/>
      <w:divBdr>
        <w:top w:val="none" w:sz="0" w:space="0" w:color="auto"/>
        <w:left w:val="none" w:sz="0" w:space="0" w:color="auto"/>
        <w:bottom w:val="none" w:sz="0" w:space="0" w:color="auto"/>
        <w:right w:val="none" w:sz="0" w:space="0" w:color="auto"/>
      </w:divBdr>
    </w:div>
    <w:div w:id="1840151224">
      <w:bodyDiv w:val="1"/>
      <w:marLeft w:val="0"/>
      <w:marRight w:val="0"/>
      <w:marTop w:val="0"/>
      <w:marBottom w:val="0"/>
      <w:divBdr>
        <w:top w:val="none" w:sz="0" w:space="0" w:color="auto"/>
        <w:left w:val="none" w:sz="0" w:space="0" w:color="auto"/>
        <w:bottom w:val="none" w:sz="0" w:space="0" w:color="auto"/>
        <w:right w:val="none" w:sz="0" w:space="0" w:color="auto"/>
      </w:divBdr>
    </w:div>
    <w:div w:id="1865820393">
      <w:bodyDiv w:val="1"/>
      <w:marLeft w:val="0"/>
      <w:marRight w:val="0"/>
      <w:marTop w:val="0"/>
      <w:marBottom w:val="0"/>
      <w:divBdr>
        <w:top w:val="none" w:sz="0" w:space="0" w:color="auto"/>
        <w:left w:val="none" w:sz="0" w:space="0" w:color="auto"/>
        <w:bottom w:val="none" w:sz="0" w:space="0" w:color="auto"/>
        <w:right w:val="none" w:sz="0" w:space="0" w:color="auto"/>
      </w:divBdr>
    </w:div>
    <w:div w:id="1899173014">
      <w:bodyDiv w:val="1"/>
      <w:marLeft w:val="0"/>
      <w:marRight w:val="0"/>
      <w:marTop w:val="0"/>
      <w:marBottom w:val="0"/>
      <w:divBdr>
        <w:top w:val="none" w:sz="0" w:space="0" w:color="auto"/>
        <w:left w:val="none" w:sz="0" w:space="0" w:color="auto"/>
        <w:bottom w:val="none" w:sz="0" w:space="0" w:color="auto"/>
        <w:right w:val="none" w:sz="0" w:space="0" w:color="auto"/>
      </w:divBdr>
    </w:div>
    <w:div w:id="1929188920">
      <w:bodyDiv w:val="1"/>
      <w:marLeft w:val="0"/>
      <w:marRight w:val="0"/>
      <w:marTop w:val="0"/>
      <w:marBottom w:val="0"/>
      <w:divBdr>
        <w:top w:val="none" w:sz="0" w:space="0" w:color="auto"/>
        <w:left w:val="none" w:sz="0" w:space="0" w:color="auto"/>
        <w:bottom w:val="none" w:sz="0" w:space="0" w:color="auto"/>
        <w:right w:val="none" w:sz="0" w:space="0" w:color="auto"/>
      </w:divBdr>
    </w:div>
    <w:div w:id="2009283326">
      <w:bodyDiv w:val="1"/>
      <w:marLeft w:val="0"/>
      <w:marRight w:val="0"/>
      <w:marTop w:val="0"/>
      <w:marBottom w:val="0"/>
      <w:divBdr>
        <w:top w:val="none" w:sz="0" w:space="0" w:color="auto"/>
        <w:left w:val="none" w:sz="0" w:space="0" w:color="auto"/>
        <w:bottom w:val="none" w:sz="0" w:space="0" w:color="auto"/>
        <w:right w:val="none" w:sz="0" w:space="0" w:color="auto"/>
      </w:divBdr>
    </w:div>
    <w:div w:id="2080667806">
      <w:bodyDiv w:val="1"/>
      <w:marLeft w:val="0"/>
      <w:marRight w:val="0"/>
      <w:marTop w:val="0"/>
      <w:marBottom w:val="0"/>
      <w:divBdr>
        <w:top w:val="none" w:sz="0" w:space="0" w:color="auto"/>
        <w:left w:val="none" w:sz="0" w:space="0" w:color="auto"/>
        <w:bottom w:val="none" w:sz="0" w:space="0" w:color="auto"/>
        <w:right w:val="none" w:sz="0" w:space="0" w:color="auto"/>
      </w:divBdr>
    </w:div>
    <w:div w:id="2095472261">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Broker.Consulting/" TargetMode="External"/><Relationship Id="rId18" Type="http://schemas.openxmlformats.org/officeDocument/2006/relationships/header" Target="header2.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footer" Target="footer2.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header" Target="header5.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hyperlink" Target="http://okpointy.cz" TargetMode="External"/><Relationship Id="rId19" Type="http://schemas.openxmlformats.org/officeDocument/2006/relationships/footer" Target="footer1.xml"/><Relationship Id="rId31" Type="http://schemas.openxmlformats.org/officeDocument/2006/relationships/hyperlink" Target="mailto:lenka.kuzelova@bcas.cz" TargetMode="Externa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hyperlink" Target="https://www.bcas.cz/o-nas/broker-consulting-index-hypotecnich-uveru/" TargetMode="Externa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572980-F394-4931-BA3F-7EA7CEE8F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3</Pages>
  <Words>1075</Words>
  <Characters>6349</Characters>
  <Application>Microsoft Office Word</Application>
  <DocSecurity>0</DocSecurity>
  <Lines>52</Lines>
  <Paragraphs>14</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Lenka Kuželová</cp:lastModifiedBy>
  <cp:revision>12</cp:revision>
  <cp:lastPrinted>2023-03-06T11:31:00Z</cp:lastPrinted>
  <dcterms:created xsi:type="dcterms:W3CDTF">2024-09-30T07:40:00Z</dcterms:created>
  <dcterms:modified xsi:type="dcterms:W3CDTF">2024-10-02T07:07:00Z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