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Theme="minorHAnsi" w:hAnsiTheme="minorHAnsi" w:cstheme="minorHAnsi"/>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BC331D" w:rsidRDefault="00D80B6D" w:rsidP="00D80B6D">
          <w:pPr>
            <w:spacing w:before="230"/>
            <w:ind w:left="165"/>
            <w:jc w:val="center"/>
            <w:rPr>
              <w:rFonts w:asciiTheme="minorHAnsi" w:hAnsiTheme="minorHAnsi" w:cstheme="minorHAnsi"/>
              <w:color w:val="CD1719"/>
              <w:sz w:val="24"/>
            </w:rPr>
          </w:pPr>
          <w:r w:rsidRPr="00BC331D">
            <w:rPr>
              <w:rFonts w:asciiTheme="minorHAnsi" w:hAnsiTheme="minorHAnsi" w:cstheme="minorHAnsi"/>
              <w:color w:val="1D1D1B"/>
              <w:sz w:val="24"/>
            </w:rPr>
            <w:t xml:space="preserve">INDEX HYPOTEČNÍCH ÚVĚRŮ </w:t>
          </w:r>
          <w:r w:rsidRPr="00BC331D">
            <w:rPr>
              <w:rFonts w:asciiTheme="minorHAnsi" w:hAnsiTheme="minorHAnsi" w:cstheme="minorHAnsi"/>
              <w:color w:val="CD1719"/>
              <w:sz w:val="24"/>
            </w:rPr>
            <w:t xml:space="preserve">| </w:t>
          </w:r>
          <w:r w:rsidRPr="00BC331D">
            <w:rPr>
              <w:rFonts w:asciiTheme="minorHAnsi" w:hAnsiTheme="minorHAnsi" w:cstheme="minorHAnsi"/>
              <w:color w:val="1D1D1B"/>
              <w:sz w:val="24"/>
            </w:rPr>
            <w:t xml:space="preserve">FIXINDEX </w:t>
          </w:r>
        </w:p>
        <w:p w14:paraId="6D3B5ACD" w14:textId="14F47C98" w:rsidR="00BC331D" w:rsidRPr="00BC331D" w:rsidRDefault="00BC331D" w:rsidP="00D80B6D">
          <w:pPr>
            <w:spacing w:before="230"/>
            <w:ind w:left="165"/>
            <w:jc w:val="center"/>
            <w:rPr>
              <w:rFonts w:asciiTheme="minorHAnsi" w:hAnsiTheme="minorHAnsi" w:cstheme="minorHAnsi"/>
              <w:color w:val="1D1D1B"/>
              <w:sz w:val="24"/>
            </w:rPr>
          </w:pPr>
          <w:r w:rsidRPr="00BC331D">
            <w:rPr>
              <w:rFonts w:asciiTheme="minorHAnsi" w:hAnsiTheme="minorHAnsi" w:cstheme="minorHAnsi"/>
              <w:color w:val="1D1D1B"/>
              <w:sz w:val="24"/>
            </w:rPr>
            <w:t>REALINDEX</w:t>
          </w:r>
        </w:p>
        <w:p w14:paraId="32900BCE" w14:textId="16FEEC9E" w:rsidR="00D80B6D" w:rsidRPr="00BC331D" w:rsidRDefault="00A252BA" w:rsidP="00D80B6D">
          <w:pPr>
            <w:spacing w:before="230"/>
            <w:ind w:left="165"/>
            <w:jc w:val="center"/>
            <w:rPr>
              <w:rFonts w:asciiTheme="minorHAnsi" w:hAnsiTheme="minorHAnsi" w:cstheme="minorHAnsi"/>
              <w:color w:val="1D1D1B"/>
              <w:sz w:val="24"/>
            </w:rPr>
          </w:pPr>
          <w:r w:rsidRPr="00BC331D">
            <w:rPr>
              <w:rFonts w:asciiTheme="minorHAnsi" w:hAnsiTheme="minorHAnsi" w:cstheme="minorHAnsi"/>
              <w:color w:val="1D1D1B"/>
              <w:sz w:val="24"/>
            </w:rPr>
            <w:t>POV</w:t>
          </w:r>
          <w:r w:rsidR="00D80B6D" w:rsidRPr="00BC331D">
            <w:rPr>
              <w:rFonts w:asciiTheme="minorHAnsi" w:hAnsiTheme="minorHAnsi" w:cstheme="minorHAnsi"/>
              <w:color w:val="1D1D1B"/>
              <w:sz w:val="24"/>
            </w:rPr>
            <w:t xml:space="preserve">INDEX </w:t>
          </w:r>
        </w:p>
        <w:p w14:paraId="35B1FBE8" w14:textId="77777777" w:rsidR="00BC331D" w:rsidRPr="00BC331D" w:rsidRDefault="00BC331D" w:rsidP="00BC331D">
          <w:pPr>
            <w:spacing w:before="240" w:line="288" w:lineRule="exact"/>
            <w:ind w:left="162"/>
            <w:jc w:val="center"/>
            <w:rPr>
              <w:rFonts w:asciiTheme="minorHAnsi" w:hAnsiTheme="minorHAnsi" w:cstheme="minorHAnsi"/>
              <w:color w:val="1D1D1B"/>
              <w:sz w:val="24"/>
            </w:rPr>
          </w:pPr>
          <w:r w:rsidRPr="00BC331D">
            <w:rPr>
              <w:rFonts w:asciiTheme="minorHAnsi" w:hAnsiTheme="minorHAnsi" w:cstheme="minorHAnsi"/>
              <w:color w:val="1D1D1B"/>
              <w:sz w:val="24"/>
            </w:rPr>
            <w:t>INDEX PODÍLOVÝCH FONDŮ</w:t>
          </w:r>
        </w:p>
        <w:p w14:paraId="5B21B8A6" w14:textId="616329FC" w:rsidR="00D80B6D" w:rsidRPr="00BC331D" w:rsidRDefault="00D80B6D" w:rsidP="00BC331D">
          <w:pPr>
            <w:spacing w:before="230"/>
            <w:jc w:val="center"/>
            <w:rPr>
              <w:rFonts w:asciiTheme="minorHAnsi" w:hAnsiTheme="minorHAnsi" w:cstheme="minorHAnsi"/>
              <w:b/>
              <w:color w:val="CD1719"/>
              <w:sz w:val="24"/>
            </w:rPr>
          </w:pPr>
          <w:r w:rsidRPr="00BC331D">
            <w:rPr>
              <w:rFonts w:asciiTheme="minorHAnsi" w:hAnsiTheme="minorHAnsi" w:cstheme="minorHAnsi"/>
              <w:b/>
              <w:color w:val="1D1D1B"/>
              <w:sz w:val="24"/>
            </w:rPr>
            <w:t>INDEX SPOTŘEBITELSKÝCH ÚVĚRŮ</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BC331D" w:rsidRDefault="0068617E" w:rsidP="00D80B6D">
          <w:pPr>
            <w:pStyle w:val="Zkladntext"/>
            <w:jc w:val="both"/>
            <w:rPr>
              <w:rFonts w:asciiTheme="minorHAnsi" w:hAnsiTheme="minorHAnsi" w:cstheme="minorHAnsi"/>
              <w:b/>
              <w:sz w:val="20"/>
              <w:highlight w:val="yellow"/>
            </w:rPr>
          </w:pPr>
        </w:p>
        <w:p w14:paraId="11132A3F" w14:textId="53DE594E" w:rsidR="00D80B6D" w:rsidRPr="00BC331D" w:rsidRDefault="00D80B6D" w:rsidP="00D80B6D">
          <w:pPr>
            <w:pStyle w:val="Zkladntext"/>
            <w:jc w:val="both"/>
            <w:rPr>
              <w:rFonts w:asciiTheme="minorHAnsi" w:hAnsiTheme="minorHAnsi" w:cstheme="minorHAnsi"/>
              <w:b/>
              <w:sz w:val="20"/>
            </w:rPr>
          </w:pPr>
          <w:r w:rsidRPr="00BC331D">
            <w:rPr>
              <w:rFonts w:asciiTheme="minorHAnsi" w:hAnsiTheme="minorHAnsi" w:cstheme="minorHAnsi"/>
              <w:b/>
              <w:sz w:val="20"/>
            </w:rPr>
            <w:t>O společnosti Broker Consulting</w:t>
          </w:r>
        </w:p>
        <w:p w14:paraId="27485CC6" w14:textId="77777777" w:rsidR="00D80B6D" w:rsidRPr="00BC331D" w:rsidRDefault="00D80B6D" w:rsidP="00D80B6D">
          <w:pPr>
            <w:jc w:val="both"/>
            <w:rPr>
              <w:rFonts w:asciiTheme="minorHAnsi" w:hAnsiTheme="minorHAnsi" w:cstheme="minorHAnsi"/>
              <w:sz w:val="20"/>
            </w:rPr>
          </w:pPr>
        </w:p>
        <w:p w14:paraId="36418F0F" w14:textId="6B62FFBE" w:rsidR="007F5903" w:rsidRDefault="007F5903" w:rsidP="007F5903">
          <w:pPr>
            <w:jc w:val="both"/>
            <w:rPr>
              <w:rStyle w:val="dn"/>
              <w:rFonts w:asciiTheme="minorHAnsi" w:hAnsiTheme="minorHAnsi" w:cstheme="minorHAnsi"/>
              <w:sz w:val="20"/>
              <w:szCs w:val="20"/>
            </w:rPr>
          </w:pPr>
          <w:r>
            <w:rPr>
              <w:rFonts w:asciiTheme="minorHAnsi" w:hAnsiTheme="minorHAnsi" w:cstheme="minorHAnsi"/>
              <w:sz w:val="20"/>
              <w:szCs w:val="20"/>
            </w:rPr>
            <w:t>Broker Consulting je jednou z největších společností na českém a slovenském trhu, která poskytuje služby v oblasti financí a realit. Od rok</w:t>
          </w:r>
          <w:r w:rsidR="003B4BD8">
            <w:rPr>
              <w:rFonts w:asciiTheme="minorHAnsi" w:hAnsiTheme="minorHAnsi" w:cstheme="minorHAnsi"/>
              <w:sz w:val="20"/>
              <w:szCs w:val="20"/>
            </w:rPr>
            <w:t>u 1998 získala důvěru více než 7</w:t>
          </w:r>
          <w:r>
            <w:rPr>
              <w:rFonts w:asciiTheme="minorHAnsi" w:hAnsiTheme="minorHAnsi" w:cstheme="minorHAnsi"/>
              <w:sz w:val="20"/>
              <w:szCs w:val="20"/>
            </w:rPr>
            <w:t xml:space="preserve">00 000 klientů. Poskytuje také služby přes 4 000 firmám. Distribuci služeb zajišťuje přibližně 2 000 konzultantů (profesionální konzultanti, zaměstnanci, konzultanti v zapracování v ČR i SR) ve více než 150 kancelářích a na několika desítkách poboček Broker Point Premium.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Broker Point Premium, jehož přináší společnost Broker Consulting, která za vedení franšízy a její podporu získala ocenění </w:t>
          </w:r>
          <w:r>
            <w:rPr>
              <w:rFonts w:asciiTheme="minorHAnsi" w:hAnsiTheme="minorHAnsi" w:cstheme="minorHAnsi"/>
              <w:b/>
              <w:color w:val="FF0000"/>
              <w:sz w:val="20"/>
              <w:szCs w:val="20"/>
            </w:rPr>
            <w:t>Franchisor roku 2022</w:t>
          </w:r>
          <w:r>
            <w:rPr>
              <w:rFonts w:asciiTheme="minorHAnsi" w:hAnsiTheme="minorHAnsi" w:cstheme="minorHAnsi"/>
              <w:color w:val="FF0000"/>
              <w:sz w:val="20"/>
              <w:szCs w:val="20"/>
            </w:rPr>
            <w:t xml:space="preserve"> </w:t>
          </w:r>
          <w:r>
            <w:rPr>
              <w:rFonts w:asciiTheme="minorHAnsi" w:hAnsiTheme="minorHAnsi" w:cstheme="minorHAnsi"/>
              <w:sz w:val="20"/>
              <w:szCs w:val="20"/>
            </w:rPr>
            <w:t xml:space="preserve">od České asociace franchisingu. </w:t>
          </w:r>
          <w:r>
            <w:rPr>
              <w:rStyle w:val="dn"/>
              <w:rFonts w:asciiTheme="minorHAnsi" w:hAnsiTheme="minorHAnsi" w:cstheme="minorHAnsi"/>
              <w:sz w:val="20"/>
              <w:szCs w:val="20"/>
            </w:rPr>
            <w:t xml:space="preserve">Více na </w:t>
          </w:r>
          <w:hyperlink r:id="rId9" w:history="1">
            <w:r>
              <w:rPr>
                <w:rStyle w:val="Hypertextovodkaz"/>
                <w:rFonts w:asciiTheme="minorHAnsi" w:hAnsiTheme="minorHAnsi" w:cstheme="minorHAnsi"/>
                <w:sz w:val="20"/>
                <w:szCs w:val="20"/>
              </w:rPr>
              <w:t>bcas.cz</w:t>
            </w:r>
          </w:hyperlink>
          <w:r>
            <w:rPr>
              <w:rStyle w:val="Hypertextovodkaz"/>
              <w:rFonts w:asciiTheme="minorHAnsi" w:hAnsiTheme="minorHAnsi" w:cstheme="minorHAnsi"/>
              <w:sz w:val="20"/>
              <w:szCs w:val="20"/>
            </w:rPr>
            <w:t xml:space="preserve">, </w:t>
          </w:r>
          <w:hyperlink r:id="rId10" w:history="1">
            <w:r>
              <w:rPr>
                <w:rStyle w:val="Hypertextovodkaz"/>
                <w:rFonts w:asciiTheme="minorHAnsi" w:hAnsiTheme="minorHAnsi" w:cstheme="minorHAnsi"/>
                <w:sz w:val="20"/>
                <w:szCs w:val="20"/>
              </w:rPr>
              <w:t>brokerpointy.cz</w:t>
            </w:r>
          </w:hyperlink>
          <w:r>
            <w:rPr>
              <w:rStyle w:val="Hypertextovodkaz"/>
              <w:rFonts w:asciiTheme="minorHAnsi" w:hAnsiTheme="minorHAnsi" w:cstheme="minorHAnsi"/>
              <w:sz w:val="20"/>
              <w:szCs w:val="20"/>
            </w:rPr>
            <w:t>, brokerpoint</w:t>
          </w:r>
          <w:hyperlink r:id="rId11" w:history="1">
            <w:r>
              <w:rPr>
                <w:rStyle w:val="Hypertextovodkaz"/>
                <w:rFonts w:asciiTheme="minorHAnsi" w:hAnsiTheme="minorHAnsi" w:cstheme="minorHAnsi"/>
                <w:sz w:val="20"/>
                <w:szCs w:val="20"/>
              </w:rPr>
              <w:t>.tv</w:t>
            </w:r>
          </w:hyperlink>
          <w:r>
            <w:rPr>
              <w:rStyle w:val="dn"/>
              <w:rFonts w:asciiTheme="minorHAnsi" w:hAnsiTheme="minorHAnsi" w:cstheme="minorHAnsi"/>
              <w:sz w:val="20"/>
              <w:szCs w:val="20"/>
            </w:rPr>
            <w:t xml:space="preserve"> a na </w:t>
          </w:r>
          <w:hyperlink r:id="rId12" w:history="1">
            <w:r>
              <w:rPr>
                <w:rStyle w:val="Hypertextovodkaz"/>
                <w:rFonts w:asciiTheme="minorHAnsi" w:hAnsiTheme="minorHAnsi" w:cstheme="minorHAnsi"/>
                <w:sz w:val="20"/>
                <w:szCs w:val="20"/>
              </w:rPr>
              <w:t>realityspolu.cz</w:t>
            </w:r>
          </w:hyperlink>
          <w:r>
            <w:rPr>
              <w:rStyle w:val="Hypertextovodkaz"/>
              <w:rFonts w:asciiTheme="minorHAnsi" w:hAnsiTheme="minorHAnsi" w:cstheme="minorHAnsi"/>
              <w:sz w:val="20"/>
              <w:szCs w:val="20"/>
            </w:rPr>
            <w:t xml:space="preserve">. </w:t>
          </w:r>
          <w:r>
            <w:rPr>
              <w:rStyle w:val="dn"/>
              <w:rFonts w:asciiTheme="minorHAnsi" w:hAnsiTheme="minorHAnsi" w:cstheme="minorHAnsi"/>
              <w:sz w:val="20"/>
              <w:szCs w:val="20"/>
            </w:rPr>
            <w:t xml:space="preserve">Navštivte také náš </w:t>
          </w:r>
          <w:hyperlink r:id="rId13" w:history="1">
            <w:r>
              <w:rPr>
                <w:rStyle w:val="Hypertextovodkaz"/>
                <w:rFonts w:asciiTheme="minorHAnsi" w:hAnsiTheme="minorHAnsi" w:cstheme="minorHAnsi"/>
                <w:sz w:val="20"/>
                <w:szCs w:val="20"/>
              </w:rPr>
              <w:t>Facebook</w:t>
            </w:r>
          </w:hyperlink>
          <w:r>
            <w:rPr>
              <w:rStyle w:val="dn"/>
              <w:rFonts w:asciiTheme="minorHAnsi" w:hAnsiTheme="minorHAnsi" w:cstheme="minorHAnsi"/>
              <w:sz w:val="20"/>
              <w:szCs w:val="20"/>
            </w:rPr>
            <w:t xml:space="preserve">, </w:t>
          </w:r>
          <w:hyperlink r:id="rId14" w:history="1">
            <w:r>
              <w:rPr>
                <w:rStyle w:val="Hypertextovodkaz"/>
                <w:rFonts w:asciiTheme="minorHAnsi" w:hAnsiTheme="minorHAnsi" w:cstheme="minorHAnsi"/>
                <w:sz w:val="20"/>
                <w:szCs w:val="20"/>
              </w:rPr>
              <w:t>LinkedIN</w:t>
            </w:r>
          </w:hyperlink>
          <w:r>
            <w:rPr>
              <w:rStyle w:val="dn"/>
              <w:rFonts w:asciiTheme="minorHAnsi" w:hAnsiTheme="minorHAnsi" w:cstheme="minorHAnsi"/>
              <w:sz w:val="20"/>
              <w:szCs w:val="20"/>
            </w:rPr>
            <w:t xml:space="preserve"> Broker Consulting, Twitter </w:t>
          </w:r>
          <w:r>
            <w:rPr>
              <w:rFonts w:asciiTheme="minorHAnsi" w:hAnsiTheme="minorHAnsi" w:cstheme="minorHAnsi"/>
              <w:sz w:val="20"/>
              <w:szCs w:val="20"/>
              <w:shd w:val="clear" w:color="auto" w:fill="FFFFFF"/>
            </w:rPr>
            <w:t xml:space="preserve">@BC_oficialni, </w:t>
          </w:r>
          <w:r>
            <w:rPr>
              <w:rStyle w:val="dn"/>
              <w:rFonts w:asciiTheme="minorHAnsi" w:hAnsiTheme="minorHAnsi" w:cstheme="minorHAnsi"/>
              <w:sz w:val="20"/>
              <w:szCs w:val="20"/>
            </w:rPr>
            <w:t xml:space="preserve"> </w:t>
          </w:r>
          <w:hyperlink r:id="rId15" w:history="1">
            <w:r>
              <w:rPr>
                <w:rStyle w:val="Hypertextovodkaz"/>
                <w:rFonts w:asciiTheme="minorHAnsi" w:hAnsiTheme="minorHAnsi" w:cstheme="minorHAnsi"/>
                <w:sz w:val="20"/>
                <w:szCs w:val="20"/>
              </w:rPr>
              <w:t>Facebook</w:t>
            </w:r>
          </w:hyperlink>
          <w:r>
            <w:rPr>
              <w:rStyle w:val="dn"/>
              <w:rFonts w:asciiTheme="minorHAnsi" w:hAnsiTheme="minorHAnsi" w:cstheme="minorHAnsi"/>
              <w:sz w:val="20"/>
              <w:szCs w:val="20"/>
            </w:rPr>
            <w:t xml:space="preserve"> a </w:t>
          </w:r>
          <w:hyperlink r:id="rId16" w:history="1">
            <w:r>
              <w:rPr>
                <w:rStyle w:val="Hypertextovodkaz"/>
                <w:rFonts w:asciiTheme="minorHAnsi" w:hAnsiTheme="minorHAnsi" w:cstheme="minorHAnsi"/>
                <w:sz w:val="20"/>
                <w:szCs w:val="20"/>
              </w:rPr>
              <w:t>LinkedI</w:t>
            </w:r>
          </w:hyperlink>
          <w:r>
            <w:rPr>
              <w:rStyle w:val="Hypertextovodkaz"/>
              <w:rFonts w:asciiTheme="minorHAnsi" w:hAnsiTheme="minorHAnsi" w:cstheme="minorHAnsi"/>
              <w:sz w:val="20"/>
              <w:szCs w:val="20"/>
            </w:rPr>
            <w:t>N</w:t>
          </w:r>
          <w:r>
            <w:rPr>
              <w:rStyle w:val="dn"/>
              <w:rFonts w:asciiTheme="minorHAnsi" w:hAnsiTheme="minorHAnsi" w:cstheme="minorHAnsi"/>
              <w:sz w:val="20"/>
              <w:szCs w:val="20"/>
            </w:rPr>
            <w:t xml:space="preserve"> Broker Point Premium.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7"/>
              <w:footerReference w:type="default" r:id="rId18"/>
              <w:pgSz w:w="11910" w:h="16840"/>
              <w:pgMar w:top="960" w:right="740" w:bottom="0" w:left="720" w:header="708" w:footer="708" w:gutter="0"/>
              <w:cols w:space="708"/>
            </w:sectPr>
          </w:pPr>
        </w:p>
        <w:p w14:paraId="35539C65" w14:textId="7A3AAC27" w:rsidR="00D31127" w:rsidRPr="00EF6D8C" w:rsidRDefault="00655AC3" w:rsidP="0025264B">
          <w:pPr>
            <w:rPr>
              <w:rFonts w:asciiTheme="minorHAnsi" w:hAnsiTheme="minorHAnsi" w:cstheme="minorHAnsi"/>
              <w:b/>
              <w:sz w:val="20"/>
              <w:szCs w:val="20"/>
              <w:highlight w:val="yellow"/>
            </w:rPr>
            <w:sectPr w:rsidR="00D31127" w:rsidRPr="00EF6D8C"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p>
      </w:sdtContent>
    </w:sdt>
    <w:p w14:paraId="6A10485D" w14:textId="649FD664" w:rsidR="00704D83" w:rsidRPr="00EF6D8C" w:rsidRDefault="00704D83" w:rsidP="0053728E">
      <w:pPr>
        <w:rPr>
          <w:rFonts w:asciiTheme="minorHAnsi" w:hAnsiTheme="minorHAnsi" w:cstheme="minorHAnsi"/>
          <w:b/>
          <w:sz w:val="28"/>
          <w:szCs w:val="28"/>
        </w:rPr>
      </w:pPr>
    </w:p>
    <w:p w14:paraId="5144663E" w14:textId="3C08B263" w:rsidR="00AA5141" w:rsidRPr="0043345B" w:rsidRDefault="00934B3E" w:rsidP="0043345B">
      <w:pPr>
        <w:pStyle w:val="Odstavecseseznamem"/>
        <w:spacing w:after="200"/>
        <w:ind w:left="0" w:right="40" w:firstLine="0"/>
        <w:jc w:val="center"/>
        <w:rPr>
          <w:rFonts w:asciiTheme="minorHAnsi" w:hAnsiTheme="minorHAnsi" w:cstheme="minorHAnsi"/>
          <w:b/>
          <w:sz w:val="25"/>
          <w:szCs w:val="25"/>
        </w:rPr>
      </w:pPr>
      <w:r>
        <w:rPr>
          <w:rFonts w:asciiTheme="minorHAnsi" w:hAnsiTheme="minorHAnsi" w:cstheme="minorHAnsi"/>
          <w:b/>
          <w:sz w:val="25"/>
          <w:szCs w:val="25"/>
        </w:rPr>
        <w:t xml:space="preserve">Průměrná </w:t>
      </w:r>
      <w:r w:rsidR="005141D4">
        <w:rPr>
          <w:rFonts w:asciiTheme="minorHAnsi" w:hAnsiTheme="minorHAnsi" w:cstheme="minorHAnsi"/>
          <w:b/>
          <w:sz w:val="25"/>
          <w:szCs w:val="25"/>
        </w:rPr>
        <w:t xml:space="preserve">úroková </w:t>
      </w:r>
      <w:r>
        <w:rPr>
          <w:rFonts w:asciiTheme="minorHAnsi" w:hAnsiTheme="minorHAnsi" w:cstheme="minorHAnsi"/>
          <w:b/>
          <w:sz w:val="25"/>
          <w:szCs w:val="25"/>
        </w:rPr>
        <w:t>sazba</w:t>
      </w:r>
      <w:r w:rsidR="005141D4">
        <w:rPr>
          <w:rFonts w:asciiTheme="minorHAnsi" w:hAnsiTheme="minorHAnsi" w:cstheme="minorHAnsi"/>
          <w:b/>
          <w:sz w:val="25"/>
          <w:szCs w:val="25"/>
        </w:rPr>
        <w:t xml:space="preserve"> spotřebitelských úvěrů</w:t>
      </w:r>
      <w:r w:rsidR="00954814">
        <w:rPr>
          <w:rFonts w:asciiTheme="minorHAnsi" w:hAnsiTheme="minorHAnsi" w:cstheme="minorHAnsi"/>
          <w:b/>
          <w:sz w:val="25"/>
          <w:szCs w:val="25"/>
        </w:rPr>
        <w:t xml:space="preserve"> vzrostla</w:t>
      </w:r>
      <w:r w:rsidR="005141D4">
        <w:rPr>
          <w:rFonts w:asciiTheme="minorHAnsi" w:hAnsiTheme="minorHAnsi" w:cstheme="minorHAnsi"/>
          <w:b/>
          <w:sz w:val="25"/>
          <w:szCs w:val="25"/>
        </w:rPr>
        <w:t xml:space="preserve"> </w:t>
      </w:r>
      <w:r>
        <w:rPr>
          <w:rFonts w:asciiTheme="minorHAnsi" w:hAnsiTheme="minorHAnsi" w:cstheme="minorHAnsi"/>
          <w:b/>
          <w:sz w:val="25"/>
          <w:szCs w:val="25"/>
        </w:rPr>
        <w:t>na téměř devět procent</w:t>
      </w:r>
    </w:p>
    <w:p w14:paraId="396A42F7" w14:textId="613C20C8" w:rsidR="00934B3E" w:rsidRDefault="00934B3E" w:rsidP="009A63A0">
      <w:pPr>
        <w:pStyle w:val="Odstavecseseznamem"/>
        <w:numPr>
          <w:ilvl w:val="0"/>
          <w:numId w:val="4"/>
        </w:numPr>
        <w:ind w:left="357" w:right="40" w:hanging="357"/>
        <w:jc w:val="both"/>
        <w:rPr>
          <w:rFonts w:asciiTheme="minorHAnsi" w:eastAsiaTheme="minorHAnsi" w:hAnsiTheme="minorHAnsi" w:cstheme="minorHAnsi"/>
          <w:b/>
          <w:lang w:bidi="ar-SA"/>
        </w:rPr>
      </w:pPr>
      <w:r>
        <w:rPr>
          <w:rFonts w:asciiTheme="minorHAnsi" w:eastAsiaTheme="minorHAnsi" w:hAnsiTheme="minorHAnsi" w:cstheme="minorHAnsi"/>
          <w:b/>
          <w:lang w:bidi="ar-SA"/>
        </w:rPr>
        <w:t>Broker Consulting Index ukázal na zvýšení</w:t>
      </w:r>
      <w:r w:rsidR="0020668E">
        <w:rPr>
          <w:rFonts w:asciiTheme="minorHAnsi" w:eastAsiaTheme="minorHAnsi" w:hAnsiTheme="minorHAnsi" w:cstheme="minorHAnsi"/>
          <w:b/>
          <w:lang w:bidi="ar-SA"/>
        </w:rPr>
        <w:t xml:space="preserve"> úrokových</w:t>
      </w:r>
      <w:r>
        <w:rPr>
          <w:rFonts w:asciiTheme="minorHAnsi" w:eastAsiaTheme="minorHAnsi" w:hAnsiTheme="minorHAnsi" w:cstheme="minorHAnsi"/>
          <w:b/>
          <w:lang w:bidi="ar-SA"/>
        </w:rPr>
        <w:t xml:space="preserve"> sazeb půjček na cokoliv.</w:t>
      </w:r>
    </w:p>
    <w:p w14:paraId="4D1BC642" w14:textId="14DA0278" w:rsidR="00934B3E" w:rsidRDefault="005141D4" w:rsidP="009A63A0">
      <w:pPr>
        <w:pStyle w:val="Odstavecseseznamem"/>
        <w:numPr>
          <w:ilvl w:val="0"/>
          <w:numId w:val="4"/>
        </w:numPr>
        <w:ind w:left="357" w:right="40" w:hanging="357"/>
        <w:jc w:val="both"/>
        <w:rPr>
          <w:rFonts w:asciiTheme="minorHAnsi" w:eastAsiaTheme="minorHAnsi" w:hAnsiTheme="minorHAnsi" w:cstheme="minorHAnsi"/>
          <w:b/>
          <w:lang w:bidi="ar-SA"/>
        </w:rPr>
      </w:pPr>
      <w:r>
        <w:rPr>
          <w:rFonts w:asciiTheme="minorHAnsi" w:eastAsiaTheme="minorHAnsi" w:hAnsiTheme="minorHAnsi" w:cstheme="minorHAnsi"/>
          <w:b/>
          <w:lang w:bidi="ar-SA"/>
        </w:rPr>
        <w:t>Průměrná hodnota</w:t>
      </w:r>
      <w:r w:rsidR="009E2575">
        <w:rPr>
          <w:rFonts w:asciiTheme="minorHAnsi" w:eastAsiaTheme="minorHAnsi" w:hAnsiTheme="minorHAnsi" w:cstheme="minorHAnsi"/>
          <w:b/>
          <w:lang w:bidi="ar-SA"/>
        </w:rPr>
        <w:t xml:space="preserve"> </w:t>
      </w:r>
      <w:r>
        <w:rPr>
          <w:rFonts w:asciiTheme="minorHAnsi" w:eastAsiaTheme="minorHAnsi" w:hAnsiTheme="minorHAnsi" w:cstheme="minorHAnsi"/>
          <w:b/>
          <w:lang w:bidi="ar-SA"/>
        </w:rPr>
        <w:t xml:space="preserve">v srpnu </w:t>
      </w:r>
      <w:r w:rsidR="00934B3E">
        <w:rPr>
          <w:rFonts w:asciiTheme="minorHAnsi" w:eastAsiaTheme="minorHAnsi" w:hAnsiTheme="minorHAnsi" w:cstheme="minorHAnsi"/>
          <w:b/>
          <w:lang w:bidi="ar-SA"/>
        </w:rPr>
        <w:t>dosáhla</w:t>
      </w:r>
      <w:r>
        <w:rPr>
          <w:rFonts w:asciiTheme="minorHAnsi" w:eastAsiaTheme="minorHAnsi" w:hAnsiTheme="minorHAnsi" w:cstheme="minorHAnsi"/>
          <w:b/>
          <w:lang w:bidi="ar-SA"/>
        </w:rPr>
        <w:t xml:space="preserve">, dle </w:t>
      </w:r>
      <w:proofErr w:type="gramStart"/>
      <w:r>
        <w:rPr>
          <w:rFonts w:asciiTheme="minorHAnsi" w:eastAsiaTheme="minorHAnsi" w:hAnsiTheme="minorHAnsi" w:cstheme="minorHAnsi"/>
          <w:b/>
          <w:lang w:bidi="ar-SA"/>
        </w:rPr>
        <w:t>Broker</w:t>
      </w:r>
      <w:proofErr w:type="gramEnd"/>
      <w:r>
        <w:rPr>
          <w:rFonts w:asciiTheme="minorHAnsi" w:eastAsiaTheme="minorHAnsi" w:hAnsiTheme="minorHAnsi" w:cstheme="minorHAnsi"/>
          <w:b/>
          <w:lang w:bidi="ar-SA"/>
        </w:rPr>
        <w:t xml:space="preserve"> Consulting Indexu,</w:t>
      </w:r>
      <w:r w:rsidR="00934B3E">
        <w:rPr>
          <w:rFonts w:asciiTheme="minorHAnsi" w:eastAsiaTheme="minorHAnsi" w:hAnsiTheme="minorHAnsi" w:cstheme="minorHAnsi"/>
          <w:b/>
          <w:lang w:bidi="ar-SA"/>
        </w:rPr>
        <w:t xml:space="preserve"> </w:t>
      </w:r>
      <w:r w:rsidR="009E2575">
        <w:rPr>
          <w:rFonts w:asciiTheme="minorHAnsi" w:eastAsiaTheme="minorHAnsi" w:hAnsiTheme="minorHAnsi" w:cstheme="minorHAnsi"/>
          <w:b/>
          <w:lang w:bidi="ar-SA"/>
        </w:rPr>
        <w:t>na 8,94 procenta.</w:t>
      </w:r>
    </w:p>
    <w:p w14:paraId="70083414" w14:textId="6EED6785" w:rsidR="00C22046" w:rsidRPr="00374618" w:rsidRDefault="00201E92" w:rsidP="00374618">
      <w:pPr>
        <w:pStyle w:val="Odstavecseseznamem"/>
        <w:numPr>
          <w:ilvl w:val="0"/>
          <w:numId w:val="4"/>
        </w:numPr>
        <w:ind w:left="357" w:right="40" w:hanging="357"/>
        <w:jc w:val="both"/>
        <w:rPr>
          <w:rFonts w:asciiTheme="minorHAnsi" w:eastAsiaTheme="minorHAnsi" w:hAnsiTheme="minorHAnsi" w:cstheme="minorHAnsi"/>
          <w:b/>
          <w:lang w:bidi="ar-SA"/>
        </w:rPr>
      </w:pPr>
      <w:r>
        <w:rPr>
          <w:rFonts w:asciiTheme="minorHAnsi" w:eastAsiaTheme="minorHAnsi" w:hAnsiTheme="minorHAnsi" w:cstheme="minorHAnsi"/>
          <w:b/>
          <w:lang w:bidi="ar-SA"/>
        </w:rPr>
        <w:t>Půjčky je možné sloučit do jedné a získat tak možné výhody.</w:t>
      </w:r>
      <w:r w:rsidR="00934B3E">
        <w:rPr>
          <w:rFonts w:asciiTheme="minorHAnsi" w:eastAsiaTheme="minorHAnsi" w:hAnsiTheme="minorHAnsi" w:cstheme="minorHAnsi"/>
          <w:b/>
          <w:lang w:bidi="ar-SA"/>
        </w:rPr>
        <w:t xml:space="preserve"> </w:t>
      </w:r>
    </w:p>
    <w:p w14:paraId="197D6C4A" w14:textId="21D5C144" w:rsidR="002F59DF" w:rsidRDefault="002F59DF" w:rsidP="0043345B">
      <w:pPr>
        <w:spacing w:after="200"/>
        <w:jc w:val="both"/>
        <w:rPr>
          <w:rFonts w:asciiTheme="minorHAnsi" w:hAnsiTheme="minorHAnsi" w:cstheme="minorHAnsi"/>
          <w:i/>
          <w:sz w:val="21"/>
          <w:szCs w:val="21"/>
        </w:rPr>
      </w:pPr>
    </w:p>
    <w:p w14:paraId="613B3BB8" w14:textId="613CEFA3" w:rsidR="00954814" w:rsidRPr="00B50DC6" w:rsidRDefault="008C3A59" w:rsidP="00B50DC6">
      <w:pPr>
        <w:pStyle w:val="Normlnweb"/>
        <w:jc w:val="both"/>
        <w:rPr>
          <w:rFonts w:asciiTheme="minorHAnsi" w:eastAsia="Times New Roman" w:hAnsiTheme="minorHAnsi" w:cstheme="minorHAnsi"/>
          <w:sz w:val="21"/>
          <w:szCs w:val="21"/>
        </w:rPr>
      </w:pPr>
      <w:r w:rsidRPr="00B50DC6">
        <w:rPr>
          <w:rFonts w:asciiTheme="minorHAnsi" w:hAnsiTheme="minorHAnsi" w:cstheme="minorHAnsi"/>
          <w:i/>
          <w:sz w:val="21"/>
          <w:szCs w:val="21"/>
        </w:rPr>
        <w:t>Praha,</w:t>
      </w:r>
      <w:r w:rsidR="001D66D5" w:rsidRPr="00B50DC6">
        <w:rPr>
          <w:rFonts w:asciiTheme="minorHAnsi" w:hAnsiTheme="minorHAnsi" w:cstheme="minorHAnsi"/>
          <w:i/>
          <w:sz w:val="21"/>
          <w:szCs w:val="21"/>
        </w:rPr>
        <w:t xml:space="preserve"> </w:t>
      </w:r>
      <w:r w:rsidR="00934B3E" w:rsidRPr="00B50DC6">
        <w:rPr>
          <w:rFonts w:asciiTheme="minorHAnsi" w:hAnsiTheme="minorHAnsi" w:cstheme="minorHAnsi"/>
          <w:i/>
          <w:sz w:val="21"/>
          <w:szCs w:val="21"/>
        </w:rPr>
        <w:t>2</w:t>
      </w:r>
      <w:r w:rsidR="00F465B7">
        <w:rPr>
          <w:rFonts w:asciiTheme="minorHAnsi" w:hAnsiTheme="minorHAnsi" w:cstheme="minorHAnsi"/>
          <w:i/>
          <w:sz w:val="21"/>
          <w:szCs w:val="21"/>
        </w:rPr>
        <w:t>6</w:t>
      </w:r>
      <w:bookmarkStart w:id="0" w:name="_GoBack"/>
      <w:bookmarkEnd w:id="0"/>
      <w:r w:rsidR="00934B3E" w:rsidRPr="00B50DC6">
        <w:rPr>
          <w:rFonts w:asciiTheme="minorHAnsi" w:hAnsiTheme="minorHAnsi" w:cstheme="minorHAnsi"/>
          <w:i/>
          <w:sz w:val="21"/>
          <w:szCs w:val="21"/>
        </w:rPr>
        <w:t>. září</w:t>
      </w:r>
      <w:r w:rsidR="003E5B34" w:rsidRPr="00B50DC6">
        <w:rPr>
          <w:rFonts w:asciiTheme="minorHAnsi" w:hAnsiTheme="minorHAnsi" w:cstheme="minorHAnsi"/>
          <w:i/>
          <w:sz w:val="21"/>
          <w:szCs w:val="21"/>
        </w:rPr>
        <w:t xml:space="preserve"> 2024</w:t>
      </w:r>
      <w:r w:rsidR="009462A7" w:rsidRPr="00B50DC6">
        <w:rPr>
          <w:rFonts w:asciiTheme="minorHAnsi" w:hAnsiTheme="minorHAnsi" w:cstheme="minorHAnsi"/>
          <w:i/>
          <w:sz w:val="21"/>
          <w:szCs w:val="21"/>
        </w:rPr>
        <w:t xml:space="preserve"> - </w:t>
      </w:r>
      <w:r w:rsidR="00F21D05" w:rsidRPr="00B50DC6">
        <w:rPr>
          <w:rFonts w:asciiTheme="minorHAnsi" w:hAnsiTheme="minorHAnsi" w:cstheme="minorHAnsi"/>
          <w:b/>
          <w:sz w:val="21"/>
          <w:szCs w:val="21"/>
        </w:rPr>
        <w:t xml:space="preserve"> </w:t>
      </w:r>
      <w:r w:rsidR="00954814" w:rsidRPr="00B50DC6">
        <w:rPr>
          <w:rFonts w:asciiTheme="minorHAnsi" w:eastAsia="Times New Roman" w:hAnsiTheme="minorHAnsi" w:cstheme="minorHAnsi"/>
          <w:b/>
          <w:sz w:val="21"/>
          <w:szCs w:val="21"/>
        </w:rPr>
        <w:t>Průměrná úroková sazba u spotřebitelských úvěrů v srpnu dosáhla, podle Broker Consulting Indexu, na 8,94 procenta. To představuje nárůst o 1,39 procenta oproti předchozímu měsíci. Po šesti měsících se tak sazby vrátily na stejnou úroveň jako v únoru. Odborníci nepředpokládají výrazný pohyb sazeb ani v následujících měsících, s výjimkou krátkodobých akcí jednotlivých bank.</w:t>
      </w:r>
    </w:p>
    <w:p w14:paraId="386EDE62" w14:textId="77777777" w:rsidR="00954814" w:rsidRPr="00954814" w:rsidRDefault="00954814" w:rsidP="00B50DC6">
      <w:pPr>
        <w:widowControl/>
        <w:autoSpaceDE/>
        <w:autoSpaceDN/>
        <w:spacing w:before="100" w:beforeAutospacing="1" w:after="100" w:afterAutospacing="1"/>
        <w:jc w:val="both"/>
        <w:rPr>
          <w:rFonts w:asciiTheme="minorHAnsi" w:eastAsia="Times New Roman" w:hAnsiTheme="minorHAnsi" w:cstheme="minorHAnsi"/>
          <w:sz w:val="21"/>
          <w:szCs w:val="21"/>
          <w:lang w:bidi="ar-SA"/>
        </w:rPr>
      </w:pPr>
      <w:r w:rsidRPr="00954814">
        <w:rPr>
          <w:rFonts w:asciiTheme="minorHAnsi" w:eastAsia="Times New Roman" w:hAnsiTheme="minorHAnsi" w:cstheme="minorHAnsi"/>
          <w:i/>
          <w:sz w:val="21"/>
          <w:szCs w:val="21"/>
          <w:lang w:bidi="ar-SA"/>
        </w:rPr>
        <w:t xml:space="preserve">„Mírné výkyvy úrokových sazeb jsou většinou důsledkem sezónních nabídek bank, které bývají časté například v období Vánoc nebo letních prázdnin,“ </w:t>
      </w:r>
      <w:r w:rsidRPr="00954814">
        <w:rPr>
          <w:rFonts w:asciiTheme="minorHAnsi" w:eastAsia="Times New Roman" w:hAnsiTheme="minorHAnsi" w:cstheme="minorHAnsi"/>
          <w:sz w:val="21"/>
          <w:szCs w:val="21"/>
          <w:lang w:bidi="ar-SA"/>
        </w:rPr>
        <w:t xml:space="preserve">uvádí </w:t>
      </w:r>
      <w:r w:rsidRPr="00954814">
        <w:rPr>
          <w:rFonts w:asciiTheme="minorHAnsi" w:eastAsia="Times New Roman" w:hAnsiTheme="minorHAnsi" w:cstheme="minorHAnsi"/>
          <w:b/>
          <w:sz w:val="21"/>
          <w:szCs w:val="21"/>
          <w:lang w:bidi="ar-SA"/>
        </w:rPr>
        <w:t>Michaela Pudilová, analytička spotřebitelských a hypotečních úvěrů ze společnosti Broker Consulting.</w:t>
      </w:r>
    </w:p>
    <w:p w14:paraId="10561598" w14:textId="683D9628" w:rsidR="00954814" w:rsidRPr="00954814" w:rsidRDefault="00954814" w:rsidP="00B50DC6">
      <w:pPr>
        <w:widowControl/>
        <w:autoSpaceDE/>
        <w:autoSpaceDN/>
        <w:spacing w:before="100" w:beforeAutospacing="1" w:after="100" w:afterAutospacing="1"/>
        <w:jc w:val="both"/>
        <w:rPr>
          <w:rFonts w:asciiTheme="minorHAnsi" w:eastAsia="Times New Roman" w:hAnsiTheme="minorHAnsi" w:cstheme="minorHAnsi"/>
          <w:sz w:val="21"/>
          <w:szCs w:val="21"/>
          <w:lang w:bidi="ar-SA"/>
        </w:rPr>
      </w:pPr>
      <w:r w:rsidRPr="00954814">
        <w:rPr>
          <w:rFonts w:asciiTheme="minorHAnsi" w:eastAsia="Times New Roman" w:hAnsiTheme="minorHAnsi" w:cstheme="minorHAnsi"/>
          <w:sz w:val="21"/>
          <w:szCs w:val="21"/>
          <w:lang w:bidi="ar-SA"/>
        </w:rPr>
        <w:t>V meziročním srovnání letošní srpnová sazba představuje nárůst o více než půl procentního bodu ve srovnání s loňsk</w:t>
      </w:r>
      <w:r w:rsidRPr="00B50DC6">
        <w:rPr>
          <w:rFonts w:asciiTheme="minorHAnsi" w:eastAsia="Times New Roman" w:hAnsiTheme="minorHAnsi" w:cstheme="minorHAnsi"/>
          <w:sz w:val="21"/>
          <w:szCs w:val="21"/>
          <w:lang w:bidi="ar-SA"/>
        </w:rPr>
        <w:t>ým srpnem, kdy byla sazba 8,42 procenta</w:t>
      </w:r>
      <w:r w:rsidRPr="00954814">
        <w:rPr>
          <w:rFonts w:asciiTheme="minorHAnsi" w:eastAsia="Times New Roman" w:hAnsiTheme="minorHAnsi" w:cstheme="minorHAnsi"/>
          <w:sz w:val="21"/>
          <w:szCs w:val="21"/>
          <w:lang w:bidi="ar-SA"/>
        </w:rPr>
        <w:t>. Nejvýhodnější sazby letošního roku jsme zaznamenali v dubnu (7,51 %) a červenci (7,55 %), kdy se držely pod osmi procenty. Kromě srpna dosáhl Index nejvyšších hodnot také v únoru, kdy prů</w:t>
      </w:r>
      <w:r w:rsidR="00B50DC6" w:rsidRPr="00B50DC6">
        <w:rPr>
          <w:rFonts w:asciiTheme="minorHAnsi" w:eastAsia="Times New Roman" w:hAnsiTheme="minorHAnsi" w:cstheme="minorHAnsi"/>
          <w:sz w:val="21"/>
          <w:szCs w:val="21"/>
          <w:lang w:bidi="ar-SA"/>
        </w:rPr>
        <w:t>měrná sazba činila rovněž 8,94 procenta</w:t>
      </w:r>
      <w:r w:rsidRPr="00954814">
        <w:rPr>
          <w:rFonts w:asciiTheme="minorHAnsi" w:eastAsia="Times New Roman" w:hAnsiTheme="minorHAnsi" w:cstheme="minorHAnsi"/>
          <w:sz w:val="21"/>
          <w:szCs w:val="21"/>
          <w:lang w:bidi="ar-SA"/>
        </w:rPr>
        <w:t>.</w:t>
      </w:r>
    </w:p>
    <w:p w14:paraId="24716A53" w14:textId="71375ADA" w:rsidR="00954814" w:rsidRDefault="00954814" w:rsidP="00F56253">
      <w:pPr>
        <w:spacing w:after="200"/>
        <w:jc w:val="both"/>
        <w:rPr>
          <w:rFonts w:asciiTheme="minorHAnsi" w:hAnsiTheme="minorHAnsi" w:cstheme="minorHAnsi"/>
          <w:b/>
          <w:sz w:val="21"/>
          <w:szCs w:val="21"/>
        </w:rPr>
      </w:pPr>
    </w:p>
    <w:p w14:paraId="3908DAF2" w14:textId="59508925" w:rsidR="00F800F5" w:rsidRDefault="00F800F5" w:rsidP="00D50B73">
      <w:pPr>
        <w:spacing w:after="120"/>
        <w:jc w:val="both"/>
        <w:rPr>
          <w:rFonts w:asciiTheme="minorHAnsi" w:hAnsiTheme="minorHAnsi" w:cstheme="minorHAnsi"/>
          <w:sz w:val="21"/>
          <w:szCs w:val="21"/>
        </w:rPr>
      </w:pPr>
      <w:r>
        <w:rPr>
          <w:rFonts w:asciiTheme="minorHAnsi" w:hAnsiTheme="minorHAnsi" w:cstheme="minorHAnsi"/>
          <w:noProof/>
          <w:sz w:val="21"/>
          <w:szCs w:val="21"/>
          <w:lang w:bidi="ar-SA"/>
        </w:rPr>
        <w:drawing>
          <wp:inline distT="0" distB="0" distL="0" distR="0" wp14:anchorId="01AA25DD" wp14:editId="3584B601">
            <wp:extent cx="6540500" cy="2890335"/>
            <wp:effectExtent l="0" t="0" r="0" b="571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png"/>
                    <pic:cNvPicPr/>
                  </pic:nvPicPr>
                  <pic:blipFill>
                    <a:blip r:embed="rId25">
                      <a:extLst>
                        <a:ext uri="{28A0092B-C50C-407E-A947-70E740481C1C}">
                          <a14:useLocalDpi xmlns:a14="http://schemas.microsoft.com/office/drawing/2010/main" val="0"/>
                        </a:ext>
                      </a:extLst>
                    </a:blip>
                    <a:stretch>
                      <a:fillRect/>
                    </a:stretch>
                  </pic:blipFill>
                  <pic:spPr>
                    <a:xfrm>
                      <a:off x="0" y="0"/>
                      <a:ext cx="6578120" cy="2906960"/>
                    </a:xfrm>
                    <a:prstGeom prst="rect">
                      <a:avLst/>
                    </a:prstGeom>
                  </pic:spPr>
                </pic:pic>
              </a:graphicData>
            </a:graphic>
          </wp:inline>
        </w:drawing>
      </w:r>
    </w:p>
    <w:p w14:paraId="65671D6A" w14:textId="3911E5C9" w:rsidR="007630EF" w:rsidRDefault="007630EF" w:rsidP="00D50B73">
      <w:pPr>
        <w:spacing w:after="120"/>
        <w:jc w:val="both"/>
        <w:rPr>
          <w:rFonts w:asciiTheme="minorHAnsi" w:hAnsiTheme="minorHAnsi" w:cstheme="minorHAnsi"/>
          <w:sz w:val="21"/>
          <w:szCs w:val="21"/>
        </w:rPr>
      </w:pPr>
    </w:p>
    <w:p w14:paraId="7EA9171F" w14:textId="24764E6D" w:rsidR="00C92177" w:rsidRPr="00C92177" w:rsidRDefault="00C92177" w:rsidP="00C92177">
      <w:pPr>
        <w:spacing w:after="120"/>
        <w:jc w:val="both"/>
        <w:rPr>
          <w:rFonts w:asciiTheme="minorHAnsi" w:hAnsiTheme="minorHAnsi" w:cstheme="minorHAnsi"/>
          <w:b/>
          <w:sz w:val="21"/>
          <w:szCs w:val="21"/>
        </w:rPr>
      </w:pPr>
      <w:r w:rsidRPr="00C92177">
        <w:rPr>
          <w:rFonts w:asciiTheme="minorHAnsi" w:hAnsiTheme="minorHAnsi" w:cstheme="minorHAnsi"/>
          <w:b/>
          <w:sz w:val="21"/>
          <w:szCs w:val="21"/>
        </w:rPr>
        <w:t>Konsolidace úvěrů</w:t>
      </w:r>
    </w:p>
    <w:p w14:paraId="2D55FC59" w14:textId="5DCDA900" w:rsidR="00C92177" w:rsidRPr="00C92177" w:rsidRDefault="00C92177" w:rsidP="00C92177">
      <w:pPr>
        <w:widowControl/>
        <w:autoSpaceDE/>
        <w:autoSpaceDN/>
        <w:spacing w:before="100" w:beforeAutospacing="1" w:after="100" w:afterAutospacing="1"/>
        <w:jc w:val="both"/>
        <w:rPr>
          <w:rFonts w:asciiTheme="minorHAnsi" w:eastAsia="Times New Roman" w:hAnsiTheme="minorHAnsi" w:cstheme="minorHAnsi"/>
          <w:b/>
          <w:sz w:val="21"/>
          <w:szCs w:val="21"/>
          <w:lang w:bidi="ar-SA"/>
        </w:rPr>
      </w:pPr>
      <w:r w:rsidRPr="00C92177">
        <w:rPr>
          <w:rFonts w:asciiTheme="minorHAnsi" w:eastAsia="Times New Roman" w:hAnsiTheme="minorHAnsi" w:cstheme="minorHAnsi"/>
          <w:sz w:val="21"/>
          <w:szCs w:val="21"/>
          <w:lang w:bidi="ar-SA"/>
        </w:rPr>
        <w:t xml:space="preserve">Jednou z oblíbených služeb, které banky nabízejí, je konsolidace úvěrů. Ta umožňuje sloučit více půjček do jedné, což přináší nejen přehlednější správu financí, ale často také výhodnější úrokovou sazbu. </w:t>
      </w:r>
      <w:r w:rsidRPr="00C92177">
        <w:rPr>
          <w:rFonts w:asciiTheme="minorHAnsi" w:eastAsia="Times New Roman" w:hAnsiTheme="minorHAnsi" w:cstheme="minorHAnsi"/>
          <w:i/>
          <w:sz w:val="21"/>
          <w:szCs w:val="21"/>
          <w:lang w:bidi="ar-SA"/>
        </w:rPr>
        <w:t>„Klient si nemusí dělat starosti s různými termíny sp</w:t>
      </w:r>
      <w:r w:rsidR="00954814">
        <w:rPr>
          <w:rFonts w:asciiTheme="minorHAnsi" w:eastAsia="Times New Roman" w:hAnsiTheme="minorHAnsi" w:cstheme="minorHAnsi"/>
          <w:i/>
          <w:sz w:val="21"/>
          <w:szCs w:val="21"/>
          <w:lang w:bidi="ar-SA"/>
        </w:rPr>
        <w:t xml:space="preserve">latnosti či úrokovými sazbami, </w:t>
      </w:r>
      <w:r w:rsidRPr="00C92177">
        <w:rPr>
          <w:rFonts w:asciiTheme="minorHAnsi" w:eastAsia="Times New Roman" w:hAnsiTheme="minorHAnsi" w:cstheme="minorHAnsi"/>
          <w:i/>
          <w:sz w:val="21"/>
          <w:szCs w:val="21"/>
          <w:lang w:bidi="ar-SA"/>
        </w:rPr>
        <w:t>vše se zjednoduší do jedné měsíční splátky,“</w:t>
      </w:r>
      <w:r w:rsidRPr="00C92177">
        <w:rPr>
          <w:rFonts w:asciiTheme="minorHAnsi" w:eastAsia="Times New Roman" w:hAnsiTheme="minorHAnsi" w:cstheme="minorHAnsi"/>
          <w:sz w:val="21"/>
          <w:szCs w:val="21"/>
          <w:lang w:bidi="ar-SA"/>
        </w:rPr>
        <w:t xml:space="preserve"> vysvětluje </w:t>
      </w:r>
      <w:r w:rsidRPr="00C92177">
        <w:rPr>
          <w:rFonts w:asciiTheme="minorHAnsi" w:eastAsia="Times New Roman" w:hAnsiTheme="minorHAnsi" w:cstheme="minorHAnsi"/>
          <w:b/>
          <w:sz w:val="21"/>
          <w:szCs w:val="21"/>
          <w:lang w:bidi="ar-SA"/>
        </w:rPr>
        <w:t>Michaela Pudilová ze společnosti Broker Consulting.</w:t>
      </w:r>
    </w:p>
    <w:p w14:paraId="56BEAF96" w14:textId="77777777" w:rsidR="00C92177" w:rsidRPr="00C92177" w:rsidRDefault="00C92177" w:rsidP="00C92177">
      <w:pPr>
        <w:widowControl/>
        <w:autoSpaceDE/>
        <w:autoSpaceDN/>
        <w:spacing w:before="100" w:beforeAutospacing="1" w:after="100" w:afterAutospacing="1"/>
        <w:jc w:val="both"/>
        <w:rPr>
          <w:rFonts w:asciiTheme="minorHAnsi" w:eastAsia="Times New Roman" w:hAnsiTheme="minorHAnsi" w:cstheme="minorHAnsi"/>
          <w:sz w:val="21"/>
          <w:szCs w:val="21"/>
          <w:lang w:bidi="ar-SA"/>
        </w:rPr>
      </w:pPr>
      <w:r w:rsidRPr="00C92177">
        <w:rPr>
          <w:rFonts w:asciiTheme="minorHAnsi" w:eastAsia="Times New Roman" w:hAnsiTheme="minorHAnsi" w:cstheme="minorHAnsi"/>
          <w:sz w:val="21"/>
          <w:szCs w:val="21"/>
          <w:lang w:bidi="ar-SA"/>
        </w:rPr>
        <w:t>Banky obvykle umožňují konsolidovat širokou škálu půjček, od spotřebitelských úvěrů až po kreditní karty a kontokorenty. Důležité však je, že konsolidace představuje nový úvěrový produkt, což znamená, že klient musí být schopný řádně splácet.</w:t>
      </w:r>
    </w:p>
    <w:p w14:paraId="68B4AD0F" w14:textId="4E2CB38B" w:rsidR="00C92177" w:rsidRPr="00954814" w:rsidRDefault="00C92177" w:rsidP="00954814">
      <w:pPr>
        <w:widowControl/>
        <w:autoSpaceDE/>
        <w:autoSpaceDN/>
        <w:spacing w:before="100" w:beforeAutospacing="1" w:after="100" w:afterAutospacing="1"/>
        <w:jc w:val="both"/>
        <w:rPr>
          <w:rFonts w:asciiTheme="minorHAnsi" w:eastAsia="Times New Roman" w:hAnsiTheme="minorHAnsi" w:cstheme="minorHAnsi"/>
          <w:b/>
          <w:sz w:val="21"/>
          <w:szCs w:val="21"/>
          <w:lang w:bidi="ar-SA"/>
        </w:rPr>
      </w:pPr>
      <w:r w:rsidRPr="00C92177">
        <w:rPr>
          <w:rFonts w:asciiTheme="minorHAnsi" w:eastAsia="Times New Roman" w:hAnsiTheme="minorHAnsi" w:cstheme="minorHAnsi"/>
          <w:i/>
          <w:sz w:val="21"/>
          <w:szCs w:val="21"/>
          <w:lang w:bidi="ar-SA"/>
        </w:rPr>
        <w:lastRenderedPageBreak/>
        <w:t>„Je třeba mít na paměti, že konsolidace zahrnuje splacení a zrušení původních půjček. Pro mnoho lidí to může být klíč k lepší finanční stabilitě, ale je nezbytné zvážit podmínky a osobní finanční situaci před tím, než se</w:t>
      </w:r>
      <w:r w:rsidR="00954814">
        <w:rPr>
          <w:rFonts w:asciiTheme="minorHAnsi" w:eastAsia="Times New Roman" w:hAnsiTheme="minorHAnsi" w:cstheme="minorHAnsi"/>
          <w:i/>
          <w:sz w:val="21"/>
          <w:szCs w:val="21"/>
          <w:lang w:bidi="ar-SA"/>
        </w:rPr>
        <w:t xml:space="preserve"> k tomuto kroku rozhodneme</w:t>
      </w:r>
      <w:r w:rsidRPr="00C92177">
        <w:rPr>
          <w:rFonts w:asciiTheme="minorHAnsi" w:eastAsia="Times New Roman" w:hAnsiTheme="minorHAnsi" w:cstheme="minorHAnsi"/>
          <w:i/>
          <w:sz w:val="21"/>
          <w:szCs w:val="21"/>
          <w:lang w:bidi="ar-SA"/>
        </w:rPr>
        <w:t>,“</w:t>
      </w:r>
      <w:r w:rsidRPr="00C92177">
        <w:rPr>
          <w:rFonts w:asciiTheme="minorHAnsi" w:eastAsia="Times New Roman" w:hAnsiTheme="minorHAnsi" w:cstheme="minorHAnsi"/>
          <w:sz w:val="21"/>
          <w:szCs w:val="21"/>
          <w:lang w:bidi="ar-SA"/>
        </w:rPr>
        <w:t xml:space="preserve"> dodává </w:t>
      </w:r>
      <w:r w:rsidRPr="00C92177">
        <w:rPr>
          <w:rFonts w:asciiTheme="minorHAnsi" w:eastAsia="Times New Roman" w:hAnsiTheme="minorHAnsi" w:cstheme="minorHAnsi"/>
          <w:b/>
          <w:sz w:val="21"/>
          <w:szCs w:val="21"/>
          <w:lang w:bidi="ar-SA"/>
        </w:rPr>
        <w:t>Michaela Pudilová.</w:t>
      </w:r>
    </w:p>
    <w:p w14:paraId="71E49D39" w14:textId="77777777" w:rsidR="00C76BF4" w:rsidRPr="00EF6D8C" w:rsidRDefault="00C76BF4" w:rsidP="00DF7709">
      <w:pPr>
        <w:pBdr>
          <w:bottom w:val="single" w:sz="4" w:space="1" w:color="auto"/>
        </w:pBdr>
        <w:jc w:val="both"/>
        <w:rPr>
          <w:rFonts w:asciiTheme="minorHAnsi" w:hAnsiTheme="minorHAnsi" w:cstheme="minorHAnsi"/>
          <w:bCs/>
          <w:sz w:val="2"/>
          <w:szCs w:val="2"/>
        </w:rPr>
      </w:pPr>
    </w:p>
    <w:p w14:paraId="4CF17F9A" w14:textId="4F3C8C79" w:rsidR="00C10C80" w:rsidRPr="00EF6D8C" w:rsidRDefault="008F3C6D" w:rsidP="00EE3451">
      <w:pPr>
        <w:spacing w:before="120"/>
        <w:rPr>
          <w:rFonts w:asciiTheme="minorHAnsi" w:hAnsiTheme="minorHAnsi" w:cstheme="minorHAnsi"/>
          <w:b/>
          <w:sz w:val="21"/>
          <w:szCs w:val="21"/>
        </w:rPr>
      </w:pPr>
      <w:r w:rsidRPr="00EF6D8C">
        <w:rPr>
          <w:rFonts w:asciiTheme="minorHAnsi" w:hAnsiTheme="minorHAnsi" w:cstheme="minorHAnsi"/>
          <w:b/>
          <w:sz w:val="21"/>
          <w:szCs w:val="21"/>
        </w:rPr>
        <w:t>Broker Consulting Index spotřebitelských úvěrů</w:t>
      </w:r>
      <w:r w:rsidRPr="00EF6D8C">
        <w:rPr>
          <w:rFonts w:asciiTheme="minorHAnsi" w:hAnsiTheme="minorHAnsi" w:cstheme="minorHAnsi"/>
          <w:sz w:val="21"/>
          <w:szCs w:val="21"/>
        </w:rPr>
        <w:t xml:space="preserve"> je analytický nástroj, který ukazuje průměrnou úrokovou sazbu </w:t>
      </w:r>
      <w:r w:rsidR="00BE768F" w:rsidRPr="00EF6D8C">
        <w:rPr>
          <w:rFonts w:asciiTheme="minorHAnsi" w:hAnsiTheme="minorHAnsi" w:cstheme="minorHAnsi"/>
          <w:sz w:val="21"/>
          <w:szCs w:val="21"/>
        </w:rPr>
        <w:br/>
      </w:r>
      <w:r w:rsidRPr="00EF6D8C">
        <w:rPr>
          <w:rFonts w:asciiTheme="minorHAnsi" w:hAnsiTheme="minorHAnsi" w:cstheme="minorHAnsi"/>
          <w:sz w:val="21"/>
          <w:szCs w:val="21"/>
        </w:rPr>
        <w:t>u spotřebitelských úvěrů, jež zprostředkovali konzultanti Brok</w:t>
      </w:r>
      <w:r w:rsidR="00BB537C">
        <w:rPr>
          <w:rFonts w:asciiTheme="minorHAnsi" w:hAnsiTheme="minorHAnsi" w:cstheme="minorHAnsi"/>
          <w:sz w:val="21"/>
          <w:szCs w:val="21"/>
        </w:rPr>
        <w:t>er Consulting a pobočky Broker Point či Broker Point Premium,</w:t>
      </w:r>
      <w:r w:rsidRPr="00EF6D8C">
        <w:rPr>
          <w:rFonts w:asciiTheme="minorHAnsi" w:hAnsiTheme="minorHAnsi" w:cstheme="minorHAnsi"/>
          <w:sz w:val="21"/>
          <w:szCs w:val="21"/>
        </w:rPr>
        <w:t xml:space="preserve"> u kteréhokoli poskytovatele bankovních úvěrů. Jedná se o vážený aritmetický průměr, kdy hlavní vahou je objem úvěru. Tedy čím vyšší úvěr, tím jeho sazba do Indexu vstupuje větší vahou. Výhodou metody výpočtu je to, že se do stati</w:t>
      </w:r>
      <w:r w:rsidR="009066E9" w:rsidRPr="00EF6D8C">
        <w:rPr>
          <w:rFonts w:asciiTheme="minorHAnsi" w:hAnsiTheme="minorHAnsi" w:cstheme="minorHAnsi"/>
          <w:sz w:val="21"/>
          <w:szCs w:val="21"/>
        </w:rPr>
        <w:t xml:space="preserve">stiky dostávají pouze  skutečně schválené </w:t>
      </w:r>
      <w:r w:rsidRPr="00EF6D8C">
        <w:rPr>
          <w:rFonts w:asciiTheme="minorHAnsi" w:hAnsiTheme="minorHAnsi" w:cstheme="minorHAnsi"/>
          <w:sz w:val="21"/>
          <w:szCs w:val="21"/>
        </w:rPr>
        <w:t xml:space="preserve">úvěry, a to bez výjimky všechny. Nemůže tak </w:t>
      </w:r>
      <w:r w:rsidR="00EE3451" w:rsidRPr="00EF6D8C">
        <w:rPr>
          <w:rFonts w:asciiTheme="minorHAnsi" w:hAnsiTheme="minorHAnsi" w:cstheme="minorHAnsi"/>
          <w:sz w:val="21"/>
          <w:szCs w:val="21"/>
        </w:rPr>
        <w:t>dojít ke zkreslení informací a i</w:t>
      </w:r>
      <w:r w:rsidRPr="00EF6D8C">
        <w:rPr>
          <w:rFonts w:asciiTheme="minorHAnsi" w:hAnsiTheme="minorHAnsi" w:cstheme="minorHAnsi"/>
          <w:sz w:val="21"/>
          <w:szCs w:val="21"/>
        </w:rPr>
        <w:t>ndex není závislý na datech dodávaných třetími stranami.</w:t>
      </w:r>
      <w:r w:rsidRPr="00EF6D8C">
        <w:rPr>
          <w:rFonts w:asciiTheme="minorHAnsi" w:hAnsiTheme="minorHAnsi" w:cstheme="minorHAnsi"/>
          <w:b/>
          <w:sz w:val="21"/>
          <w:szCs w:val="21"/>
        </w:rPr>
        <w:tab/>
      </w:r>
    </w:p>
    <w:p w14:paraId="2FA3FD44" w14:textId="1E7A17D8" w:rsidR="008F3C6D" w:rsidRPr="00EF6D8C" w:rsidRDefault="008F3C6D" w:rsidP="00EE3451">
      <w:pPr>
        <w:spacing w:before="120" w:after="120"/>
        <w:rPr>
          <w:rFonts w:asciiTheme="minorHAnsi" w:hAnsiTheme="minorHAnsi" w:cstheme="minorHAnsi"/>
          <w:b/>
          <w:sz w:val="21"/>
          <w:szCs w:val="21"/>
        </w:rPr>
      </w:pPr>
      <w:r w:rsidRPr="00EF6D8C">
        <w:rPr>
          <w:rFonts w:asciiTheme="minorHAnsi" w:hAnsiTheme="minorHAnsi" w:cstheme="minorHAnsi"/>
          <w:b/>
          <w:sz w:val="21"/>
          <w:szCs w:val="21"/>
        </w:rPr>
        <w:t>Proč je dobré Index sledovat</w:t>
      </w:r>
      <w:r w:rsidRPr="00EF6D8C">
        <w:rPr>
          <w:rFonts w:asciiTheme="minorHAnsi" w:hAnsiTheme="minorHAnsi" w:cstheme="minorHAnsi"/>
          <w:b/>
          <w:sz w:val="21"/>
          <w:szCs w:val="21"/>
        </w:rPr>
        <w:tab/>
      </w:r>
    </w:p>
    <w:p w14:paraId="0979CE30" w14:textId="0F07CF11" w:rsidR="008B3925" w:rsidRPr="00EF6D8C" w:rsidRDefault="008F3C6D" w:rsidP="00EF6D8C">
      <w:pPr>
        <w:pBdr>
          <w:bottom w:val="single" w:sz="4" w:space="1" w:color="auto"/>
        </w:pBdr>
        <w:spacing w:after="120"/>
        <w:rPr>
          <w:rFonts w:asciiTheme="minorHAnsi" w:hAnsiTheme="minorHAnsi" w:cstheme="minorHAnsi"/>
          <w:sz w:val="21"/>
          <w:szCs w:val="21"/>
        </w:rPr>
      </w:pPr>
      <w:r w:rsidRPr="00EF6D8C">
        <w:rPr>
          <w:rFonts w:asciiTheme="minorHAnsi" w:hAnsiTheme="minorHAnsi" w:cstheme="minorHAnsi"/>
          <w:sz w:val="21"/>
          <w:szCs w:val="21"/>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w:t>
      </w:r>
      <w:r w:rsidR="00FE619E" w:rsidRPr="00EF6D8C">
        <w:rPr>
          <w:rFonts w:asciiTheme="minorHAnsi" w:hAnsiTheme="minorHAnsi" w:cstheme="minorHAnsi"/>
          <w:sz w:val="21"/>
          <w:szCs w:val="21"/>
        </w:rPr>
        <w:t>,</w:t>
      </w:r>
      <w:r w:rsidRPr="00EF6D8C">
        <w:rPr>
          <w:rFonts w:asciiTheme="minorHAnsi" w:hAnsiTheme="minorHAnsi" w:cstheme="minorHAnsi"/>
          <w:sz w:val="21"/>
          <w:szCs w:val="21"/>
        </w:rPr>
        <w:t xml:space="preserve"> a úroková sazba je výrazněji vyšší než aktuální index, je potřeba zpozornět.</w:t>
      </w:r>
      <w:r w:rsidRPr="00EF6D8C">
        <w:rPr>
          <w:rFonts w:asciiTheme="minorHAnsi" w:hAnsiTheme="minorHAnsi" w:cstheme="minorHAnsi"/>
          <w:sz w:val="21"/>
          <w:szCs w:val="21"/>
        </w:rPr>
        <w:tab/>
      </w:r>
    </w:p>
    <w:p w14:paraId="5F16FECD" w14:textId="69AB3698" w:rsidR="008F3C6D" w:rsidRPr="00EF6D8C" w:rsidRDefault="008F3C6D" w:rsidP="008F3C6D">
      <w:pPr>
        <w:jc w:val="both"/>
        <w:rPr>
          <w:rFonts w:asciiTheme="minorHAnsi" w:hAnsiTheme="minorHAnsi" w:cstheme="minorHAnsi"/>
          <w:sz w:val="21"/>
          <w:szCs w:val="21"/>
        </w:rPr>
      </w:pPr>
    </w:p>
    <w:p w14:paraId="685A4AD2" w14:textId="23A7A74E" w:rsidR="00B51F55" w:rsidRPr="00EF6D8C" w:rsidRDefault="00B51F55" w:rsidP="00EF6D8C">
      <w:pPr>
        <w:spacing w:after="120"/>
        <w:rPr>
          <w:rFonts w:asciiTheme="minorHAnsi" w:hAnsiTheme="minorHAnsi" w:cstheme="minorHAnsi"/>
          <w:sz w:val="21"/>
          <w:szCs w:val="21"/>
        </w:rPr>
      </w:pPr>
      <w:r w:rsidRPr="00EF6D8C">
        <w:rPr>
          <w:rFonts w:asciiTheme="minorHAnsi" w:hAnsiTheme="minorHAnsi" w:cstheme="minorHAnsi"/>
          <w:b/>
          <w:sz w:val="21"/>
          <w:szCs w:val="21"/>
        </w:rPr>
        <w:t>Poznámka pro média:</w:t>
      </w:r>
      <w:r w:rsidRPr="00EF6D8C">
        <w:rPr>
          <w:rFonts w:asciiTheme="minorHAnsi" w:hAnsiTheme="minorHAnsi" w:cstheme="minorHAnsi"/>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Indexy</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je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možné</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volně</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spacing w:val="2"/>
          <w:w w:val="105"/>
          <w:sz w:val="21"/>
          <w:szCs w:val="21"/>
        </w:rPr>
        <w:t>publikovat</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pouze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s</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označením</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spacing w:val="-3"/>
          <w:w w:val="105"/>
          <w:sz w:val="21"/>
          <w:szCs w:val="21"/>
        </w:rPr>
        <w:t>(</w:t>
      </w:r>
      <w:r w:rsidRPr="00EF6D8C">
        <w:rPr>
          <w:rFonts w:asciiTheme="minorHAnsi" w:hAnsiTheme="minorHAnsi" w:cstheme="minorHAnsi"/>
          <w:i/>
          <w:color w:val="1D1D1B"/>
          <w:spacing w:val="-3"/>
          <w:w w:val="105"/>
          <w:sz w:val="21"/>
          <w:szCs w:val="21"/>
        </w:rPr>
        <w:t>např.</w:t>
      </w:r>
      <w:r w:rsidRPr="00EF6D8C">
        <w:rPr>
          <w:rFonts w:asciiTheme="minorHAnsi" w:hAnsiTheme="minorHAnsi" w:cstheme="minorHAnsi"/>
          <w:i/>
          <w:color w:val="1D1D1B"/>
          <w:spacing w:val="-8"/>
          <w:w w:val="105"/>
          <w:sz w:val="21"/>
          <w:szCs w:val="21"/>
        </w:rPr>
        <w:t xml:space="preserve"> </w:t>
      </w:r>
      <w:r w:rsidRPr="00EF6D8C">
        <w:rPr>
          <w:rFonts w:asciiTheme="minorHAnsi" w:hAnsiTheme="minorHAnsi" w:cstheme="minorHAnsi"/>
          <w:i/>
          <w:color w:val="1D1D1B"/>
          <w:w w:val="105"/>
          <w:sz w:val="21"/>
          <w:szCs w:val="21"/>
        </w:rPr>
        <w:t>Broker</w:t>
      </w:r>
      <w:r w:rsidRPr="00EF6D8C">
        <w:rPr>
          <w:rFonts w:asciiTheme="minorHAnsi" w:hAnsiTheme="minorHAnsi" w:cstheme="minorHAnsi"/>
          <w:i/>
          <w:color w:val="1D1D1B"/>
          <w:spacing w:val="-9"/>
          <w:w w:val="105"/>
          <w:sz w:val="21"/>
          <w:szCs w:val="21"/>
        </w:rPr>
        <w:t xml:space="preserve"> </w:t>
      </w:r>
      <w:r w:rsidRPr="00EF6D8C">
        <w:rPr>
          <w:rFonts w:asciiTheme="minorHAnsi" w:hAnsiTheme="minorHAnsi" w:cstheme="minorHAnsi"/>
          <w:i/>
          <w:color w:val="1D1D1B"/>
          <w:w w:val="105"/>
          <w:sz w:val="21"/>
          <w:szCs w:val="21"/>
        </w:rPr>
        <w:t>Consulting</w:t>
      </w:r>
      <w:r w:rsidRPr="00EF6D8C">
        <w:rPr>
          <w:rFonts w:asciiTheme="minorHAnsi" w:hAnsiTheme="minorHAnsi" w:cstheme="minorHAnsi"/>
          <w:i/>
          <w:color w:val="1D1D1B"/>
          <w:spacing w:val="-8"/>
          <w:w w:val="105"/>
          <w:sz w:val="21"/>
          <w:szCs w:val="21"/>
        </w:rPr>
        <w:t xml:space="preserve"> Index </w:t>
      </w:r>
      <w:r w:rsidRPr="00EF6D8C">
        <w:rPr>
          <w:rFonts w:asciiTheme="minorHAnsi" w:hAnsiTheme="minorHAnsi" w:cstheme="minorHAnsi"/>
          <w:i/>
          <w:color w:val="1D1D1B"/>
          <w:w w:val="105"/>
          <w:sz w:val="21"/>
          <w:szCs w:val="21"/>
        </w:rPr>
        <w:t>hypoteční</w:t>
      </w:r>
      <w:r w:rsidRPr="00EF6D8C">
        <w:rPr>
          <w:rFonts w:asciiTheme="minorHAnsi" w:hAnsiTheme="minorHAnsi" w:cstheme="minorHAnsi"/>
          <w:i/>
          <w:color w:val="1D1D1B"/>
          <w:spacing w:val="-9"/>
          <w:w w:val="105"/>
          <w:sz w:val="21"/>
          <w:szCs w:val="21"/>
        </w:rPr>
        <w:t>ch úvěrů</w:t>
      </w:r>
      <w:r w:rsidRPr="00EF6D8C">
        <w:rPr>
          <w:rFonts w:asciiTheme="minorHAnsi" w:hAnsiTheme="minorHAnsi" w:cstheme="minorHAnsi"/>
          <w:i/>
          <w:color w:val="1D1D1B"/>
          <w:w w:val="105"/>
          <w:sz w:val="21"/>
          <w:szCs w:val="21"/>
        </w:rPr>
        <w:t xml:space="preserve">). Více informací najdete též na webu </w:t>
      </w:r>
      <w:r w:rsidRPr="00EF6D8C">
        <w:rPr>
          <w:rStyle w:val="Hypertextovodkaz"/>
          <w:rFonts w:asciiTheme="minorHAnsi" w:hAnsiTheme="minorHAnsi" w:cstheme="minorHAnsi"/>
          <w:i/>
          <w:w w:val="105"/>
          <w:sz w:val="21"/>
          <w:szCs w:val="21"/>
        </w:rPr>
        <w:t>https://www.bcas.cz/onas/pro-media/</w:t>
      </w:r>
      <w:r w:rsidRPr="00EF6D8C">
        <w:rPr>
          <w:rFonts w:asciiTheme="minorHAnsi" w:hAnsiTheme="minorHAnsi" w:cstheme="minorHAnsi"/>
          <w:i/>
          <w:color w:val="1D1D1B"/>
          <w:w w:val="105"/>
          <w:sz w:val="21"/>
          <w:szCs w:val="21"/>
        </w:rPr>
        <w:t xml:space="preserve">. </w:t>
      </w:r>
    </w:p>
    <w:p w14:paraId="5245244C" w14:textId="59FD1ED6" w:rsidR="007563D8" w:rsidRPr="00EF6D8C" w:rsidRDefault="007563D8" w:rsidP="00A2244B">
      <w:pPr>
        <w:rPr>
          <w:rFonts w:asciiTheme="minorHAnsi" w:hAnsiTheme="minorHAnsi" w:cstheme="minorHAnsi"/>
          <w:b/>
          <w:color w:val="1D1D1B"/>
          <w:w w:val="105"/>
          <w:sz w:val="21"/>
          <w:szCs w:val="21"/>
        </w:rPr>
      </w:pPr>
      <w:r w:rsidRPr="00EF6D8C">
        <w:rPr>
          <w:rFonts w:asciiTheme="minorHAnsi" w:hAnsiTheme="minorHAnsi" w:cstheme="minorHAnsi"/>
          <w:b/>
          <w:color w:val="FF0000"/>
          <w:w w:val="105"/>
          <w:sz w:val="21"/>
          <w:szCs w:val="21"/>
        </w:rPr>
        <w:t>Broker Consulting Indexy je nyní možné sledovat v interaktivní formě na webu</w:t>
      </w:r>
      <w:r w:rsidRPr="00EF6D8C">
        <w:rPr>
          <w:rFonts w:asciiTheme="minorHAnsi" w:hAnsiTheme="minorHAnsi" w:cstheme="minorHAnsi"/>
          <w:color w:val="1D1D1B"/>
          <w:w w:val="105"/>
          <w:sz w:val="21"/>
          <w:szCs w:val="21"/>
        </w:rPr>
        <w:t>. Zde lze zároveň exportovat zdrojová data ke grafům. Vice dostupné na odkaze</w:t>
      </w:r>
      <w:r w:rsidRPr="00EF6D8C">
        <w:rPr>
          <w:rFonts w:asciiTheme="minorHAnsi" w:hAnsiTheme="minorHAnsi" w:cstheme="minorHAnsi"/>
          <w:b/>
          <w:color w:val="1D1D1B"/>
          <w:w w:val="105"/>
          <w:sz w:val="21"/>
          <w:szCs w:val="21"/>
        </w:rPr>
        <w:t xml:space="preserve">: </w:t>
      </w:r>
      <w:hyperlink r:id="rId26" w:history="1">
        <w:r w:rsidRPr="00EF6D8C">
          <w:rPr>
            <w:rStyle w:val="Hypertextovodkaz"/>
            <w:rFonts w:asciiTheme="minorHAnsi" w:hAnsiTheme="minorHAnsi" w:cstheme="minorHAnsi"/>
            <w:b/>
            <w:sz w:val="21"/>
            <w:szCs w:val="21"/>
          </w:rPr>
          <w:t>https://www.bcas.cz/o-nas/broker-consulting-index-spotrebitelskych-uveru/</w:t>
        </w:r>
      </w:hyperlink>
      <w:r w:rsidRPr="00EF6D8C">
        <w:rPr>
          <w:rFonts w:asciiTheme="minorHAnsi" w:hAnsiTheme="minorHAnsi" w:cstheme="minorHAnsi"/>
          <w:b/>
          <w:sz w:val="21"/>
          <w:szCs w:val="21"/>
        </w:rPr>
        <w:t xml:space="preserve">. </w:t>
      </w:r>
    </w:p>
    <w:p w14:paraId="3FDF8955" w14:textId="399F6C6F" w:rsidR="00EF6D8C" w:rsidRPr="00EF6D8C" w:rsidRDefault="008F3C6D" w:rsidP="00EF6D8C">
      <w:pPr>
        <w:spacing w:before="120"/>
        <w:rPr>
          <w:rFonts w:asciiTheme="minorHAnsi" w:eastAsia="Calibri" w:hAnsiTheme="minorHAnsi" w:cstheme="minorHAnsi"/>
          <w:b/>
          <w:bCs/>
          <w:noProof/>
          <w:sz w:val="21"/>
          <w:szCs w:val="21"/>
        </w:rPr>
      </w:pPr>
      <w:r w:rsidRPr="00EF6D8C">
        <w:rPr>
          <w:rFonts w:asciiTheme="minorHAnsi" w:eastAsia="Calibri" w:hAnsiTheme="minorHAnsi" w:cstheme="minorHAnsi"/>
          <w:b/>
          <w:bCs/>
          <w:noProof/>
          <w:sz w:val="21"/>
          <w:szCs w:val="21"/>
        </w:rPr>
        <w:t>Kontakt pro média:</w:t>
      </w:r>
    </w:p>
    <w:p w14:paraId="3450A3C2" w14:textId="77777777" w:rsidR="00624358" w:rsidRPr="00AD79CC" w:rsidRDefault="00624358" w:rsidP="00624358">
      <w:pPr>
        <w:pStyle w:val="Bezmezer"/>
        <w:rPr>
          <w:rFonts w:eastAsia="F015TEELig" w:cstheme="minorHAnsi"/>
          <w:sz w:val="21"/>
          <w:szCs w:val="21"/>
        </w:rPr>
      </w:pPr>
      <w:r>
        <w:rPr>
          <w:rFonts w:eastAsia="Calibri" w:cstheme="minorHAnsi"/>
          <w:bCs/>
          <w:noProof/>
          <w:sz w:val="21"/>
          <w:szCs w:val="21"/>
        </w:rPr>
        <w:t xml:space="preserve">Lenka Kuželová, </w:t>
      </w:r>
      <w:r w:rsidRPr="00AD79CC">
        <w:rPr>
          <w:rFonts w:eastAsia="F015TEELig" w:cstheme="minorHAnsi"/>
          <w:sz w:val="21"/>
          <w:szCs w:val="21"/>
        </w:rPr>
        <w:t xml:space="preserve">Specialistka PR </w:t>
      </w:r>
    </w:p>
    <w:p w14:paraId="14A711EF" w14:textId="77777777" w:rsidR="00624358" w:rsidRPr="00AD79CC" w:rsidRDefault="00624358" w:rsidP="00624358">
      <w:pPr>
        <w:pStyle w:val="Bezmezer"/>
        <w:rPr>
          <w:rFonts w:eastAsia="F015TEELig" w:cstheme="minorHAnsi"/>
          <w:sz w:val="21"/>
          <w:szCs w:val="21"/>
        </w:rPr>
      </w:pPr>
      <w:r>
        <w:rPr>
          <w:rFonts w:eastAsia="F015TEELig" w:cstheme="minorHAnsi"/>
          <w:sz w:val="21"/>
          <w:szCs w:val="21"/>
        </w:rPr>
        <w:t>Mobil: +420 731 929 990</w:t>
      </w:r>
      <w:r w:rsidRPr="00AD79CC">
        <w:rPr>
          <w:rFonts w:eastAsia="F015TEELig" w:cstheme="minorHAnsi"/>
          <w:sz w:val="21"/>
          <w:szCs w:val="21"/>
        </w:rPr>
        <w:t>, e-mail:</w:t>
      </w:r>
      <w:r w:rsidRPr="00AD79CC">
        <w:rPr>
          <w:rFonts w:eastAsia="Calibri" w:cstheme="minorHAnsi"/>
          <w:noProof/>
          <w:sz w:val="21"/>
          <w:szCs w:val="21"/>
        </w:rPr>
        <w:t xml:space="preserve"> </w:t>
      </w:r>
      <w:hyperlink r:id="rId27" w:history="1">
        <w:r w:rsidRPr="00DE288C">
          <w:rPr>
            <w:rStyle w:val="Hypertextovodkaz"/>
            <w:rFonts w:eastAsia="Calibri" w:cstheme="minorHAnsi"/>
            <w:noProof/>
            <w:sz w:val="21"/>
            <w:szCs w:val="21"/>
          </w:rPr>
          <w:t>lenka.kuzelova@bcas.cz</w:t>
        </w:r>
      </w:hyperlink>
      <w:r>
        <w:rPr>
          <w:rFonts w:eastAsia="Calibri" w:cstheme="minorHAnsi"/>
          <w:noProof/>
          <w:sz w:val="21"/>
          <w:szCs w:val="21"/>
        </w:rPr>
        <w:t xml:space="preserve"> </w:t>
      </w:r>
    </w:p>
    <w:p w14:paraId="12134AC2" w14:textId="4F708FE7" w:rsidR="008F3C6D" w:rsidRPr="00EF6D8C" w:rsidRDefault="008F3C6D" w:rsidP="00EF6D8C">
      <w:pPr>
        <w:rPr>
          <w:rFonts w:asciiTheme="minorHAnsi" w:eastAsiaTheme="minorEastAsia" w:hAnsiTheme="minorHAnsi" w:cstheme="minorHAnsi"/>
          <w:noProof/>
          <w:color w:val="000000" w:themeColor="text1"/>
          <w:sz w:val="21"/>
          <w:szCs w:val="21"/>
          <w:lang w:bidi="ar-SA"/>
        </w:rPr>
      </w:pPr>
    </w:p>
    <w:sectPr w:rsidR="008F3C6D" w:rsidRPr="00EF6D8C"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1B55A8" w14:textId="77777777" w:rsidR="00655AC3" w:rsidRDefault="00655AC3">
      <w:r>
        <w:separator/>
      </w:r>
    </w:p>
  </w:endnote>
  <w:endnote w:type="continuationSeparator" w:id="0">
    <w:p w14:paraId="77B6BE0A" w14:textId="77777777" w:rsidR="00655AC3" w:rsidRDefault="00655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655AC3"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6264E4"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655AC3"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6264E4"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655AC3"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6264E4"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481555" w14:textId="77777777" w:rsidR="00655AC3" w:rsidRDefault="00655AC3">
      <w:r>
        <w:separator/>
      </w:r>
    </w:p>
  </w:footnote>
  <w:footnote w:type="continuationSeparator" w:id="0">
    <w:p w14:paraId="635BDBD6" w14:textId="77777777" w:rsidR="00655AC3" w:rsidRDefault="00655AC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BC331D" w:rsidRDefault="00D80B6D" w:rsidP="00E95698">
    <w:pPr>
      <w:tabs>
        <w:tab w:val="left" w:pos="8633"/>
      </w:tabs>
      <w:spacing w:before="80"/>
      <w:ind w:firstLine="2880"/>
      <w:rPr>
        <w:rFonts w:asciiTheme="minorHAnsi" w:hAnsiTheme="minorHAnsi" w:cstheme="minorHAnsi"/>
        <w:sz w:val="52"/>
      </w:rPr>
    </w:pPr>
    <w:r w:rsidRPr="00BC331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BC331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BC331D">
      <w:rPr>
        <w:rFonts w:asciiTheme="minorHAnsi" w:hAnsiTheme="minorHAnsi" w:cstheme="minorHAnsi"/>
        <w:color w:val="1D1D1B"/>
        <w:sz w:val="48"/>
      </w:rPr>
      <w:t xml:space="preserve">BROKER CONSULTING </w:t>
    </w:r>
    <w:r w:rsidRPr="00BC331D">
      <w:rPr>
        <w:rFonts w:asciiTheme="minorHAnsi" w:hAnsiTheme="minorHAnsi" w:cstheme="minorHAnsi"/>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53FBB"/>
    <w:multiLevelType w:val="hybridMultilevel"/>
    <w:tmpl w:val="09B0E60C"/>
    <w:lvl w:ilvl="0" w:tplc="21DECE18">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D8E0C12"/>
    <w:multiLevelType w:val="hybridMultilevel"/>
    <w:tmpl w:val="7C44D2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3" w15:restartNumberingAfterBreak="0">
    <w:nsid w:val="3DFD5456"/>
    <w:multiLevelType w:val="hybridMultilevel"/>
    <w:tmpl w:val="414C92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58C4F68"/>
    <w:multiLevelType w:val="hybridMultilevel"/>
    <w:tmpl w:val="1B0AB248"/>
    <w:lvl w:ilvl="0" w:tplc="21DECE18">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39C3D22"/>
    <w:multiLevelType w:val="hybridMultilevel"/>
    <w:tmpl w:val="011C0E20"/>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F062222"/>
    <w:multiLevelType w:val="hybridMultilevel"/>
    <w:tmpl w:val="8C283B0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15:restartNumberingAfterBreak="0">
    <w:nsid w:val="6786571F"/>
    <w:multiLevelType w:val="hybridMultilevel"/>
    <w:tmpl w:val="1B086EF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75E63C89"/>
    <w:multiLevelType w:val="hybridMultilevel"/>
    <w:tmpl w:val="FF200B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0"/>
  </w:num>
  <w:num w:numId="4">
    <w:abstractNumId w:val="9"/>
  </w:num>
  <w:num w:numId="5">
    <w:abstractNumId w:val="5"/>
  </w:num>
  <w:num w:numId="6">
    <w:abstractNumId w:val="8"/>
  </w:num>
  <w:num w:numId="7">
    <w:abstractNumId w:val="3"/>
  </w:num>
  <w:num w:numId="8">
    <w:abstractNumId w:val="9"/>
  </w:num>
  <w:num w:numId="9">
    <w:abstractNumId w:val="1"/>
  </w:num>
  <w:num w:numId="10">
    <w:abstractNumId w:val="0"/>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4E72"/>
    <w:rsid w:val="00017A80"/>
    <w:rsid w:val="00020EC7"/>
    <w:rsid w:val="00021C70"/>
    <w:rsid w:val="00022715"/>
    <w:rsid w:val="00024AC6"/>
    <w:rsid w:val="00026F23"/>
    <w:rsid w:val="000276A7"/>
    <w:rsid w:val="000277AC"/>
    <w:rsid w:val="000329A2"/>
    <w:rsid w:val="00032D94"/>
    <w:rsid w:val="00036C73"/>
    <w:rsid w:val="000374D7"/>
    <w:rsid w:val="000400E4"/>
    <w:rsid w:val="0004253B"/>
    <w:rsid w:val="00045B39"/>
    <w:rsid w:val="0005252A"/>
    <w:rsid w:val="0005423A"/>
    <w:rsid w:val="00057018"/>
    <w:rsid w:val="00057DE7"/>
    <w:rsid w:val="000611E3"/>
    <w:rsid w:val="000618FE"/>
    <w:rsid w:val="00061ABB"/>
    <w:rsid w:val="00062CC5"/>
    <w:rsid w:val="00070675"/>
    <w:rsid w:val="000766E7"/>
    <w:rsid w:val="00076D0E"/>
    <w:rsid w:val="0007763B"/>
    <w:rsid w:val="00080552"/>
    <w:rsid w:val="00080ADE"/>
    <w:rsid w:val="00081616"/>
    <w:rsid w:val="00082FDB"/>
    <w:rsid w:val="000853D4"/>
    <w:rsid w:val="000865AA"/>
    <w:rsid w:val="00087263"/>
    <w:rsid w:val="00091F9C"/>
    <w:rsid w:val="0009776B"/>
    <w:rsid w:val="000A5467"/>
    <w:rsid w:val="000A6063"/>
    <w:rsid w:val="000B0D84"/>
    <w:rsid w:val="000B2E5D"/>
    <w:rsid w:val="000B2F39"/>
    <w:rsid w:val="000B50B5"/>
    <w:rsid w:val="000B5339"/>
    <w:rsid w:val="000B54E5"/>
    <w:rsid w:val="000C0090"/>
    <w:rsid w:val="000C0C52"/>
    <w:rsid w:val="000C1853"/>
    <w:rsid w:val="000C4394"/>
    <w:rsid w:val="000C4C77"/>
    <w:rsid w:val="000C50AA"/>
    <w:rsid w:val="000D145E"/>
    <w:rsid w:val="000D14E2"/>
    <w:rsid w:val="000D5F5D"/>
    <w:rsid w:val="000D68AC"/>
    <w:rsid w:val="000D7A4D"/>
    <w:rsid w:val="000E0EEC"/>
    <w:rsid w:val="000E168E"/>
    <w:rsid w:val="000E3D86"/>
    <w:rsid w:val="000F0BA4"/>
    <w:rsid w:val="000F1EC4"/>
    <w:rsid w:val="000F29D1"/>
    <w:rsid w:val="000F6249"/>
    <w:rsid w:val="00100F77"/>
    <w:rsid w:val="00103543"/>
    <w:rsid w:val="001069A1"/>
    <w:rsid w:val="0010739A"/>
    <w:rsid w:val="00111C28"/>
    <w:rsid w:val="00112079"/>
    <w:rsid w:val="00112CC0"/>
    <w:rsid w:val="00112D65"/>
    <w:rsid w:val="001130B7"/>
    <w:rsid w:val="00114F7B"/>
    <w:rsid w:val="00115429"/>
    <w:rsid w:val="0011716E"/>
    <w:rsid w:val="0012330F"/>
    <w:rsid w:val="00123939"/>
    <w:rsid w:val="001302C1"/>
    <w:rsid w:val="0013044E"/>
    <w:rsid w:val="00131A69"/>
    <w:rsid w:val="001352B7"/>
    <w:rsid w:val="00136C97"/>
    <w:rsid w:val="00137003"/>
    <w:rsid w:val="0013717C"/>
    <w:rsid w:val="00137474"/>
    <w:rsid w:val="00143EFE"/>
    <w:rsid w:val="0014644B"/>
    <w:rsid w:val="001546F5"/>
    <w:rsid w:val="00156082"/>
    <w:rsid w:val="00161D10"/>
    <w:rsid w:val="00164597"/>
    <w:rsid w:val="001675AF"/>
    <w:rsid w:val="00170556"/>
    <w:rsid w:val="00170D87"/>
    <w:rsid w:val="00170E0F"/>
    <w:rsid w:val="00173F5C"/>
    <w:rsid w:val="00175224"/>
    <w:rsid w:val="001767A5"/>
    <w:rsid w:val="00180051"/>
    <w:rsid w:val="00182B07"/>
    <w:rsid w:val="0018460D"/>
    <w:rsid w:val="00187ECB"/>
    <w:rsid w:val="001901D0"/>
    <w:rsid w:val="00191B34"/>
    <w:rsid w:val="001925C8"/>
    <w:rsid w:val="00192716"/>
    <w:rsid w:val="00192C2A"/>
    <w:rsid w:val="00193550"/>
    <w:rsid w:val="00194C95"/>
    <w:rsid w:val="0019698F"/>
    <w:rsid w:val="001A54DD"/>
    <w:rsid w:val="001B08C7"/>
    <w:rsid w:val="001B296D"/>
    <w:rsid w:val="001B29C7"/>
    <w:rsid w:val="001B3C85"/>
    <w:rsid w:val="001B501B"/>
    <w:rsid w:val="001B6A93"/>
    <w:rsid w:val="001B745F"/>
    <w:rsid w:val="001D015A"/>
    <w:rsid w:val="001D3DFC"/>
    <w:rsid w:val="001D4EA8"/>
    <w:rsid w:val="001D66D5"/>
    <w:rsid w:val="001D6965"/>
    <w:rsid w:val="001E22F1"/>
    <w:rsid w:val="001E3D5F"/>
    <w:rsid w:val="001E3FBF"/>
    <w:rsid w:val="001E4209"/>
    <w:rsid w:val="001E44AC"/>
    <w:rsid w:val="001E5305"/>
    <w:rsid w:val="001E5D83"/>
    <w:rsid w:val="001F045E"/>
    <w:rsid w:val="001F25C4"/>
    <w:rsid w:val="001F2BE0"/>
    <w:rsid w:val="001F3CF1"/>
    <w:rsid w:val="001F7194"/>
    <w:rsid w:val="001F71BA"/>
    <w:rsid w:val="001F7D30"/>
    <w:rsid w:val="00200B65"/>
    <w:rsid w:val="00201E92"/>
    <w:rsid w:val="002035A6"/>
    <w:rsid w:val="00203943"/>
    <w:rsid w:val="0020668E"/>
    <w:rsid w:val="002079AA"/>
    <w:rsid w:val="002116F0"/>
    <w:rsid w:val="00213566"/>
    <w:rsid w:val="002141AF"/>
    <w:rsid w:val="002157B1"/>
    <w:rsid w:val="0022066E"/>
    <w:rsid w:val="00220944"/>
    <w:rsid w:val="002227D9"/>
    <w:rsid w:val="00223A4A"/>
    <w:rsid w:val="002259CD"/>
    <w:rsid w:val="0023042D"/>
    <w:rsid w:val="00232F1A"/>
    <w:rsid w:val="00233A58"/>
    <w:rsid w:val="0023469F"/>
    <w:rsid w:val="002368F3"/>
    <w:rsid w:val="002402BD"/>
    <w:rsid w:val="002404A1"/>
    <w:rsid w:val="002406A8"/>
    <w:rsid w:val="00241313"/>
    <w:rsid w:val="00242D4D"/>
    <w:rsid w:val="00243075"/>
    <w:rsid w:val="00243C49"/>
    <w:rsid w:val="00244AC3"/>
    <w:rsid w:val="0024551C"/>
    <w:rsid w:val="0025264B"/>
    <w:rsid w:val="0025428A"/>
    <w:rsid w:val="002542AA"/>
    <w:rsid w:val="00255003"/>
    <w:rsid w:val="00255182"/>
    <w:rsid w:val="00257823"/>
    <w:rsid w:val="00263C8C"/>
    <w:rsid w:val="002645E4"/>
    <w:rsid w:val="002679C9"/>
    <w:rsid w:val="00270DB3"/>
    <w:rsid w:val="00271F07"/>
    <w:rsid w:val="002743F2"/>
    <w:rsid w:val="0027623E"/>
    <w:rsid w:val="00281834"/>
    <w:rsid w:val="002831C1"/>
    <w:rsid w:val="00285397"/>
    <w:rsid w:val="0028590C"/>
    <w:rsid w:val="00287D46"/>
    <w:rsid w:val="00290416"/>
    <w:rsid w:val="002A0285"/>
    <w:rsid w:val="002A2A64"/>
    <w:rsid w:val="002A3F19"/>
    <w:rsid w:val="002A6FA3"/>
    <w:rsid w:val="002A7325"/>
    <w:rsid w:val="002B0728"/>
    <w:rsid w:val="002B1317"/>
    <w:rsid w:val="002B7DA9"/>
    <w:rsid w:val="002B7F6D"/>
    <w:rsid w:val="002C0240"/>
    <w:rsid w:val="002C4A25"/>
    <w:rsid w:val="002C4BCE"/>
    <w:rsid w:val="002C7224"/>
    <w:rsid w:val="002D1619"/>
    <w:rsid w:val="002D20B9"/>
    <w:rsid w:val="002D6D20"/>
    <w:rsid w:val="002E1ABC"/>
    <w:rsid w:val="002E3DC6"/>
    <w:rsid w:val="002E633F"/>
    <w:rsid w:val="002F002B"/>
    <w:rsid w:val="002F05B2"/>
    <w:rsid w:val="002F1DD3"/>
    <w:rsid w:val="002F3FCA"/>
    <w:rsid w:val="002F485A"/>
    <w:rsid w:val="002F56BD"/>
    <w:rsid w:val="002F59DF"/>
    <w:rsid w:val="002F7EC2"/>
    <w:rsid w:val="003001F4"/>
    <w:rsid w:val="003028DB"/>
    <w:rsid w:val="00304C85"/>
    <w:rsid w:val="003055CB"/>
    <w:rsid w:val="00306EEA"/>
    <w:rsid w:val="00306FE1"/>
    <w:rsid w:val="00307E95"/>
    <w:rsid w:val="00310BEB"/>
    <w:rsid w:val="00311F45"/>
    <w:rsid w:val="0031287A"/>
    <w:rsid w:val="003128F8"/>
    <w:rsid w:val="00313A87"/>
    <w:rsid w:val="00315AC2"/>
    <w:rsid w:val="00316FA6"/>
    <w:rsid w:val="0031712D"/>
    <w:rsid w:val="0031752C"/>
    <w:rsid w:val="00320455"/>
    <w:rsid w:val="00320E0F"/>
    <w:rsid w:val="00320EEF"/>
    <w:rsid w:val="00321518"/>
    <w:rsid w:val="00321E19"/>
    <w:rsid w:val="003226EB"/>
    <w:rsid w:val="003247B0"/>
    <w:rsid w:val="00330918"/>
    <w:rsid w:val="00331E15"/>
    <w:rsid w:val="003358BA"/>
    <w:rsid w:val="00340DB5"/>
    <w:rsid w:val="0034184F"/>
    <w:rsid w:val="00342F85"/>
    <w:rsid w:val="0034360E"/>
    <w:rsid w:val="00345686"/>
    <w:rsid w:val="00345DAD"/>
    <w:rsid w:val="00345DD2"/>
    <w:rsid w:val="00347557"/>
    <w:rsid w:val="003502B4"/>
    <w:rsid w:val="00352D2E"/>
    <w:rsid w:val="00355366"/>
    <w:rsid w:val="00356752"/>
    <w:rsid w:val="00361D44"/>
    <w:rsid w:val="003629B6"/>
    <w:rsid w:val="00365407"/>
    <w:rsid w:val="0036580F"/>
    <w:rsid w:val="003705A1"/>
    <w:rsid w:val="00370C35"/>
    <w:rsid w:val="003721AD"/>
    <w:rsid w:val="0037300C"/>
    <w:rsid w:val="00374182"/>
    <w:rsid w:val="00374618"/>
    <w:rsid w:val="00383942"/>
    <w:rsid w:val="00383DC5"/>
    <w:rsid w:val="00385325"/>
    <w:rsid w:val="00385EED"/>
    <w:rsid w:val="00386B09"/>
    <w:rsid w:val="00387C6C"/>
    <w:rsid w:val="00390B58"/>
    <w:rsid w:val="00392024"/>
    <w:rsid w:val="003948A1"/>
    <w:rsid w:val="00396E90"/>
    <w:rsid w:val="003A1549"/>
    <w:rsid w:val="003A285A"/>
    <w:rsid w:val="003A2887"/>
    <w:rsid w:val="003A375A"/>
    <w:rsid w:val="003A43AB"/>
    <w:rsid w:val="003A6435"/>
    <w:rsid w:val="003B0E4E"/>
    <w:rsid w:val="003B0E4F"/>
    <w:rsid w:val="003B3F0C"/>
    <w:rsid w:val="003B4BD8"/>
    <w:rsid w:val="003C0CBE"/>
    <w:rsid w:val="003C2A23"/>
    <w:rsid w:val="003C5664"/>
    <w:rsid w:val="003C59A8"/>
    <w:rsid w:val="003C6F57"/>
    <w:rsid w:val="003C7F98"/>
    <w:rsid w:val="003D157E"/>
    <w:rsid w:val="003D1987"/>
    <w:rsid w:val="003D2162"/>
    <w:rsid w:val="003D47CB"/>
    <w:rsid w:val="003D654E"/>
    <w:rsid w:val="003E0649"/>
    <w:rsid w:val="003E255B"/>
    <w:rsid w:val="003E3701"/>
    <w:rsid w:val="003E5B34"/>
    <w:rsid w:val="003E6537"/>
    <w:rsid w:val="003F0CAF"/>
    <w:rsid w:val="003F324C"/>
    <w:rsid w:val="003F7018"/>
    <w:rsid w:val="003F79EC"/>
    <w:rsid w:val="0040257E"/>
    <w:rsid w:val="00403729"/>
    <w:rsid w:val="004041EF"/>
    <w:rsid w:val="004053BB"/>
    <w:rsid w:val="004075C9"/>
    <w:rsid w:val="00411153"/>
    <w:rsid w:val="004116FD"/>
    <w:rsid w:val="0041759C"/>
    <w:rsid w:val="0042193A"/>
    <w:rsid w:val="004228ED"/>
    <w:rsid w:val="00422A4A"/>
    <w:rsid w:val="00424406"/>
    <w:rsid w:val="00431BE5"/>
    <w:rsid w:val="00432DAE"/>
    <w:rsid w:val="0043345B"/>
    <w:rsid w:val="0043347D"/>
    <w:rsid w:val="004336E4"/>
    <w:rsid w:val="00433F20"/>
    <w:rsid w:val="00434FAE"/>
    <w:rsid w:val="00435342"/>
    <w:rsid w:val="004372BB"/>
    <w:rsid w:val="004376B0"/>
    <w:rsid w:val="00445316"/>
    <w:rsid w:val="00445D0A"/>
    <w:rsid w:val="00447FBA"/>
    <w:rsid w:val="004501B9"/>
    <w:rsid w:val="00453CFE"/>
    <w:rsid w:val="00454843"/>
    <w:rsid w:val="004556BB"/>
    <w:rsid w:val="00455F65"/>
    <w:rsid w:val="00457FFE"/>
    <w:rsid w:val="00460FA7"/>
    <w:rsid w:val="00461BF2"/>
    <w:rsid w:val="004625DF"/>
    <w:rsid w:val="0046273D"/>
    <w:rsid w:val="004627B9"/>
    <w:rsid w:val="004678E9"/>
    <w:rsid w:val="00467E69"/>
    <w:rsid w:val="00471166"/>
    <w:rsid w:val="00473E24"/>
    <w:rsid w:val="00474C76"/>
    <w:rsid w:val="00477DC5"/>
    <w:rsid w:val="00480982"/>
    <w:rsid w:val="00483C09"/>
    <w:rsid w:val="0048655B"/>
    <w:rsid w:val="00486655"/>
    <w:rsid w:val="0049280D"/>
    <w:rsid w:val="00492BA9"/>
    <w:rsid w:val="004935C2"/>
    <w:rsid w:val="00496374"/>
    <w:rsid w:val="004A40C5"/>
    <w:rsid w:val="004A59C1"/>
    <w:rsid w:val="004A7830"/>
    <w:rsid w:val="004B2DF6"/>
    <w:rsid w:val="004B2FF6"/>
    <w:rsid w:val="004B4E91"/>
    <w:rsid w:val="004B5797"/>
    <w:rsid w:val="004B7412"/>
    <w:rsid w:val="004B7436"/>
    <w:rsid w:val="004C222D"/>
    <w:rsid w:val="004C3DD1"/>
    <w:rsid w:val="004C3F71"/>
    <w:rsid w:val="004D5CC6"/>
    <w:rsid w:val="004D6DB4"/>
    <w:rsid w:val="004E09B8"/>
    <w:rsid w:val="004E1737"/>
    <w:rsid w:val="004F303D"/>
    <w:rsid w:val="004F38CD"/>
    <w:rsid w:val="004F5D36"/>
    <w:rsid w:val="004F6195"/>
    <w:rsid w:val="00504EBB"/>
    <w:rsid w:val="0050659B"/>
    <w:rsid w:val="005130A9"/>
    <w:rsid w:val="005141D4"/>
    <w:rsid w:val="00514932"/>
    <w:rsid w:val="005153F7"/>
    <w:rsid w:val="00515952"/>
    <w:rsid w:val="005224C1"/>
    <w:rsid w:val="005231DA"/>
    <w:rsid w:val="00530625"/>
    <w:rsid w:val="0053079B"/>
    <w:rsid w:val="0053153F"/>
    <w:rsid w:val="00531C9F"/>
    <w:rsid w:val="005328D4"/>
    <w:rsid w:val="00533EEB"/>
    <w:rsid w:val="005361AF"/>
    <w:rsid w:val="00536822"/>
    <w:rsid w:val="00536954"/>
    <w:rsid w:val="0053728E"/>
    <w:rsid w:val="00540563"/>
    <w:rsid w:val="00540606"/>
    <w:rsid w:val="005411AC"/>
    <w:rsid w:val="00541870"/>
    <w:rsid w:val="005436EC"/>
    <w:rsid w:val="00543DD3"/>
    <w:rsid w:val="00544A37"/>
    <w:rsid w:val="00545971"/>
    <w:rsid w:val="00550147"/>
    <w:rsid w:val="00550AC2"/>
    <w:rsid w:val="00551FDB"/>
    <w:rsid w:val="00554D18"/>
    <w:rsid w:val="00564E3C"/>
    <w:rsid w:val="0056501A"/>
    <w:rsid w:val="00565024"/>
    <w:rsid w:val="00571AD4"/>
    <w:rsid w:val="00573886"/>
    <w:rsid w:val="00573EE2"/>
    <w:rsid w:val="005766D5"/>
    <w:rsid w:val="00577D19"/>
    <w:rsid w:val="00590190"/>
    <w:rsid w:val="005907CD"/>
    <w:rsid w:val="00597875"/>
    <w:rsid w:val="005A2139"/>
    <w:rsid w:val="005A37E5"/>
    <w:rsid w:val="005A4EB8"/>
    <w:rsid w:val="005A50EB"/>
    <w:rsid w:val="005A5BBA"/>
    <w:rsid w:val="005A5F08"/>
    <w:rsid w:val="005B3143"/>
    <w:rsid w:val="005B31D7"/>
    <w:rsid w:val="005B460E"/>
    <w:rsid w:val="005C0BC2"/>
    <w:rsid w:val="005C150C"/>
    <w:rsid w:val="005C318A"/>
    <w:rsid w:val="005D52F3"/>
    <w:rsid w:val="005D75B2"/>
    <w:rsid w:val="005E1193"/>
    <w:rsid w:val="005E14B1"/>
    <w:rsid w:val="005E5A67"/>
    <w:rsid w:val="005E61BF"/>
    <w:rsid w:val="005E7301"/>
    <w:rsid w:val="005E7865"/>
    <w:rsid w:val="005E7EC0"/>
    <w:rsid w:val="005F2D95"/>
    <w:rsid w:val="005F6BD8"/>
    <w:rsid w:val="005F7E72"/>
    <w:rsid w:val="005F7EAE"/>
    <w:rsid w:val="0060397A"/>
    <w:rsid w:val="0060554F"/>
    <w:rsid w:val="006135FD"/>
    <w:rsid w:val="0061438C"/>
    <w:rsid w:val="006166CE"/>
    <w:rsid w:val="0062060D"/>
    <w:rsid w:val="006218E4"/>
    <w:rsid w:val="00623C47"/>
    <w:rsid w:val="00624358"/>
    <w:rsid w:val="006264E4"/>
    <w:rsid w:val="0062747C"/>
    <w:rsid w:val="0062786E"/>
    <w:rsid w:val="00636142"/>
    <w:rsid w:val="006365D5"/>
    <w:rsid w:val="0064160C"/>
    <w:rsid w:val="00643131"/>
    <w:rsid w:val="00646E6F"/>
    <w:rsid w:val="00650123"/>
    <w:rsid w:val="006509E8"/>
    <w:rsid w:val="00651B48"/>
    <w:rsid w:val="006542CA"/>
    <w:rsid w:val="006548C4"/>
    <w:rsid w:val="00655AC3"/>
    <w:rsid w:val="0066135D"/>
    <w:rsid w:val="00662758"/>
    <w:rsid w:val="00662AC6"/>
    <w:rsid w:val="00664259"/>
    <w:rsid w:val="00664867"/>
    <w:rsid w:val="00667012"/>
    <w:rsid w:val="00675867"/>
    <w:rsid w:val="006768F0"/>
    <w:rsid w:val="00677078"/>
    <w:rsid w:val="00681F49"/>
    <w:rsid w:val="00682D62"/>
    <w:rsid w:val="006839FB"/>
    <w:rsid w:val="00683F9A"/>
    <w:rsid w:val="0068571D"/>
    <w:rsid w:val="006859AC"/>
    <w:rsid w:val="006859FD"/>
    <w:rsid w:val="00685AF9"/>
    <w:rsid w:val="0068617E"/>
    <w:rsid w:val="006870AB"/>
    <w:rsid w:val="006902C0"/>
    <w:rsid w:val="00690415"/>
    <w:rsid w:val="00691527"/>
    <w:rsid w:val="006939E7"/>
    <w:rsid w:val="006A2F6C"/>
    <w:rsid w:val="006A3510"/>
    <w:rsid w:val="006A3BE2"/>
    <w:rsid w:val="006A4E81"/>
    <w:rsid w:val="006A5A20"/>
    <w:rsid w:val="006B2F00"/>
    <w:rsid w:val="006B4027"/>
    <w:rsid w:val="006B58D8"/>
    <w:rsid w:val="006B7185"/>
    <w:rsid w:val="006C5C1A"/>
    <w:rsid w:val="006C5ED3"/>
    <w:rsid w:val="006C61E8"/>
    <w:rsid w:val="006D18F3"/>
    <w:rsid w:val="006D1EDF"/>
    <w:rsid w:val="006D1F87"/>
    <w:rsid w:val="006D2B43"/>
    <w:rsid w:val="006D39DF"/>
    <w:rsid w:val="006D65EC"/>
    <w:rsid w:val="006E26DC"/>
    <w:rsid w:val="006E6A2F"/>
    <w:rsid w:val="006E70A0"/>
    <w:rsid w:val="006F32FB"/>
    <w:rsid w:val="006F66F1"/>
    <w:rsid w:val="007046C5"/>
    <w:rsid w:val="00704D83"/>
    <w:rsid w:val="007052FC"/>
    <w:rsid w:val="00705D83"/>
    <w:rsid w:val="00707E44"/>
    <w:rsid w:val="00710AF5"/>
    <w:rsid w:val="00710E0C"/>
    <w:rsid w:val="007131CE"/>
    <w:rsid w:val="00713AF1"/>
    <w:rsid w:val="00716355"/>
    <w:rsid w:val="0072112F"/>
    <w:rsid w:val="00724267"/>
    <w:rsid w:val="00725BF5"/>
    <w:rsid w:val="00727B95"/>
    <w:rsid w:val="007320FB"/>
    <w:rsid w:val="007362E3"/>
    <w:rsid w:val="007408D1"/>
    <w:rsid w:val="00741E71"/>
    <w:rsid w:val="00743390"/>
    <w:rsid w:val="00743627"/>
    <w:rsid w:val="00743E6A"/>
    <w:rsid w:val="00744C4D"/>
    <w:rsid w:val="0074636A"/>
    <w:rsid w:val="00753B64"/>
    <w:rsid w:val="007563D8"/>
    <w:rsid w:val="0076114C"/>
    <w:rsid w:val="00762590"/>
    <w:rsid w:val="0076280C"/>
    <w:rsid w:val="007630EF"/>
    <w:rsid w:val="007648F0"/>
    <w:rsid w:val="0076667F"/>
    <w:rsid w:val="007672BB"/>
    <w:rsid w:val="00771B91"/>
    <w:rsid w:val="00772415"/>
    <w:rsid w:val="007725B8"/>
    <w:rsid w:val="00772FF0"/>
    <w:rsid w:val="007741A2"/>
    <w:rsid w:val="007748AF"/>
    <w:rsid w:val="007753A0"/>
    <w:rsid w:val="00776CDE"/>
    <w:rsid w:val="007815BB"/>
    <w:rsid w:val="007824F4"/>
    <w:rsid w:val="00782848"/>
    <w:rsid w:val="00784109"/>
    <w:rsid w:val="0078410A"/>
    <w:rsid w:val="0078525A"/>
    <w:rsid w:val="00785FC5"/>
    <w:rsid w:val="0078631B"/>
    <w:rsid w:val="0078653C"/>
    <w:rsid w:val="00791A2B"/>
    <w:rsid w:val="00791B3A"/>
    <w:rsid w:val="00791E6F"/>
    <w:rsid w:val="00792EE9"/>
    <w:rsid w:val="0079572A"/>
    <w:rsid w:val="007969EF"/>
    <w:rsid w:val="007A1121"/>
    <w:rsid w:val="007A1122"/>
    <w:rsid w:val="007A15A6"/>
    <w:rsid w:val="007A1AB2"/>
    <w:rsid w:val="007A41BD"/>
    <w:rsid w:val="007A6A4D"/>
    <w:rsid w:val="007A74F9"/>
    <w:rsid w:val="007A7C7B"/>
    <w:rsid w:val="007B152D"/>
    <w:rsid w:val="007B358E"/>
    <w:rsid w:val="007B48B8"/>
    <w:rsid w:val="007C0F6D"/>
    <w:rsid w:val="007D0C39"/>
    <w:rsid w:val="007D14AE"/>
    <w:rsid w:val="007D325D"/>
    <w:rsid w:val="007D6231"/>
    <w:rsid w:val="007E3027"/>
    <w:rsid w:val="007E38CD"/>
    <w:rsid w:val="007E5614"/>
    <w:rsid w:val="007E6E9A"/>
    <w:rsid w:val="007E768B"/>
    <w:rsid w:val="007F13CC"/>
    <w:rsid w:val="007F2512"/>
    <w:rsid w:val="007F2DE8"/>
    <w:rsid w:val="007F3E94"/>
    <w:rsid w:val="007F4493"/>
    <w:rsid w:val="007F4C72"/>
    <w:rsid w:val="007F5903"/>
    <w:rsid w:val="007F71F9"/>
    <w:rsid w:val="008011E7"/>
    <w:rsid w:val="0080323F"/>
    <w:rsid w:val="00805BDB"/>
    <w:rsid w:val="008063BB"/>
    <w:rsid w:val="00812394"/>
    <w:rsid w:val="008123FF"/>
    <w:rsid w:val="0081387C"/>
    <w:rsid w:val="00814072"/>
    <w:rsid w:val="0081474E"/>
    <w:rsid w:val="008171F9"/>
    <w:rsid w:val="008200C4"/>
    <w:rsid w:val="00826BAD"/>
    <w:rsid w:val="0083053E"/>
    <w:rsid w:val="008317A3"/>
    <w:rsid w:val="00831B5E"/>
    <w:rsid w:val="00832F5B"/>
    <w:rsid w:val="00837ECF"/>
    <w:rsid w:val="00841AC4"/>
    <w:rsid w:val="00845A34"/>
    <w:rsid w:val="00852192"/>
    <w:rsid w:val="00852BBB"/>
    <w:rsid w:val="00856806"/>
    <w:rsid w:val="00856D3C"/>
    <w:rsid w:val="00857BC8"/>
    <w:rsid w:val="00860609"/>
    <w:rsid w:val="00863FC3"/>
    <w:rsid w:val="0087199F"/>
    <w:rsid w:val="00871CBD"/>
    <w:rsid w:val="00874C1A"/>
    <w:rsid w:val="00877EBC"/>
    <w:rsid w:val="00880B97"/>
    <w:rsid w:val="00881800"/>
    <w:rsid w:val="00883A3E"/>
    <w:rsid w:val="008845ED"/>
    <w:rsid w:val="0088579E"/>
    <w:rsid w:val="00885B2F"/>
    <w:rsid w:val="008875C1"/>
    <w:rsid w:val="00891E25"/>
    <w:rsid w:val="008926E5"/>
    <w:rsid w:val="008926F3"/>
    <w:rsid w:val="008953F0"/>
    <w:rsid w:val="008A04D3"/>
    <w:rsid w:val="008A4116"/>
    <w:rsid w:val="008A60F1"/>
    <w:rsid w:val="008B2EEE"/>
    <w:rsid w:val="008B3925"/>
    <w:rsid w:val="008B4E8C"/>
    <w:rsid w:val="008B4F0F"/>
    <w:rsid w:val="008C000E"/>
    <w:rsid w:val="008C04FA"/>
    <w:rsid w:val="008C1795"/>
    <w:rsid w:val="008C2254"/>
    <w:rsid w:val="008C3938"/>
    <w:rsid w:val="008C3A59"/>
    <w:rsid w:val="008C4B0D"/>
    <w:rsid w:val="008E1286"/>
    <w:rsid w:val="008E19F3"/>
    <w:rsid w:val="008E1F4A"/>
    <w:rsid w:val="008E79E2"/>
    <w:rsid w:val="008F08A1"/>
    <w:rsid w:val="008F0C4A"/>
    <w:rsid w:val="008F1824"/>
    <w:rsid w:val="008F2AEC"/>
    <w:rsid w:val="008F36CB"/>
    <w:rsid w:val="008F3C6D"/>
    <w:rsid w:val="008F6AAF"/>
    <w:rsid w:val="00901DB4"/>
    <w:rsid w:val="00901E1F"/>
    <w:rsid w:val="0090292E"/>
    <w:rsid w:val="009066E9"/>
    <w:rsid w:val="00906E67"/>
    <w:rsid w:val="0091135A"/>
    <w:rsid w:val="009144B1"/>
    <w:rsid w:val="00915ADA"/>
    <w:rsid w:val="00916B03"/>
    <w:rsid w:val="00920391"/>
    <w:rsid w:val="0092097A"/>
    <w:rsid w:val="00921003"/>
    <w:rsid w:val="009222C9"/>
    <w:rsid w:val="009228CF"/>
    <w:rsid w:val="00925499"/>
    <w:rsid w:val="00930569"/>
    <w:rsid w:val="00931F18"/>
    <w:rsid w:val="00932625"/>
    <w:rsid w:val="009343CC"/>
    <w:rsid w:val="009344C2"/>
    <w:rsid w:val="00934B3E"/>
    <w:rsid w:val="00934CD7"/>
    <w:rsid w:val="00935CE8"/>
    <w:rsid w:val="009412B0"/>
    <w:rsid w:val="00944750"/>
    <w:rsid w:val="00944E57"/>
    <w:rsid w:val="009462A7"/>
    <w:rsid w:val="0094645B"/>
    <w:rsid w:val="0094705C"/>
    <w:rsid w:val="00954814"/>
    <w:rsid w:val="00957739"/>
    <w:rsid w:val="00957B41"/>
    <w:rsid w:val="009631E0"/>
    <w:rsid w:val="009649D2"/>
    <w:rsid w:val="009660BD"/>
    <w:rsid w:val="009674F1"/>
    <w:rsid w:val="009750FA"/>
    <w:rsid w:val="009771E2"/>
    <w:rsid w:val="009771E6"/>
    <w:rsid w:val="00977540"/>
    <w:rsid w:val="009834E2"/>
    <w:rsid w:val="00983BFD"/>
    <w:rsid w:val="00985DC8"/>
    <w:rsid w:val="009A0029"/>
    <w:rsid w:val="009A4FC0"/>
    <w:rsid w:val="009A52BA"/>
    <w:rsid w:val="009A63A0"/>
    <w:rsid w:val="009A69B1"/>
    <w:rsid w:val="009A700C"/>
    <w:rsid w:val="009B1D25"/>
    <w:rsid w:val="009C0ECA"/>
    <w:rsid w:val="009C16D4"/>
    <w:rsid w:val="009C45BA"/>
    <w:rsid w:val="009C7948"/>
    <w:rsid w:val="009C79BD"/>
    <w:rsid w:val="009D01A2"/>
    <w:rsid w:val="009D1D17"/>
    <w:rsid w:val="009D24BB"/>
    <w:rsid w:val="009D44DD"/>
    <w:rsid w:val="009D64B2"/>
    <w:rsid w:val="009D729E"/>
    <w:rsid w:val="009D7493"/>
    <w:rsid w:val="009E233F"/>
    <w:rsid w:val="009E2575"/>
    <w:rsid w:val="009E317D"/>
    <w:rsid w:val="009E31C0"/>
    <w:rsid w:val="009E3B52"/>
    <w:rsid w:val="009E5992"/>
    <w:rsid w:val="009F2CB2"/>
    <w:rsid w:val="009F342D"/>
    <w:rsid w:val="009F3DA2"/>
    <w:rsid w:val="009F59EE"/>
    <w:rsid w:val="009F6CFC"/>
    <w:rsid w:val="00A008B8"/>
    <w:rsid w:val="00A00D89"/>
    <w:rsid w:val="00A04BAE"/>
    <w:rsid w:val="00A04EC0"/>
    <w:rsid w:val="00A069E2"/>
    <w:rsid w:val="00A07639"/>
    <w:rsid w:val="00A10289"/>
    <w:rsid w:val="00A106F8"/>
    <w:rsid w:val="00A10BF9"/>
    <w:rsid w:val="00A11C90"/>
    <w:rsid w:val="00A12900"/>
    <w:rsid w:val="00A1395B"/>
    <w:rsid w:val="00A13D4D"/>
    <w:rsid w:val="00A14701"/>
    <w:rsid w:val="00A16A29"/>
    <w:rsid w:val="00A16E82"/>
    <w:rsid w:val="00A20BBF"/>
    <w:rsid w:val="00A2244B"/>
    <w:rsid w:val="00A22B56"/>
    <w:rsid w:val="00A252BA"/>
    <w:rsid w:val="00A26285"/>
    <w:rsid w:val="00A27237"/>
    <w:rsid w:val="00A27A7B"/>
    <w:rsid w:val="00A350E5"/>
    <w:rsid w:val="00A36CBA"/>
    <w:rsid w:val="00A36D79"/>
    <w:rsid w:val="00A3783E"/>
    <w:rsid w:val="00A41EA4"/>
    <w:rsid w:val="00A44FE0"/>
    <w:rsid w:val="00A4618A"/>
    <w:rsid w:val="00A50D03"/>
    <w:rsid w:val="00A522F5"/>
    <w:rsid w:val="00A53799"/>
    <w:rsid w:val="00A551C6"/>
    <w:rsid w:val="00A55209"/>
    <w:rsid w:val="00A566B1"/>
    <w:rsid w:val="00A61269"/>
    <w:rsid w:val="00A624BA"/>
    <w:rsid w:val="00A64F9A"/>
    <w:rsid w:val="00A672BC"/>
    <w:rsid w:val="00A712B2"/>
    <w:rsid w:val="00A720B2"/>
    <w:rsid w:val="00A74214"/>
    <w:rsid w:val="00A7796E"/>
    <w:rsid w:val="00A812F9"/>
    <w:rsid w:val="00A86544"/>
    <w:rsid w:val="00A879DE"/>
    <w:rsid w:val="00A9085F"/>
    <w:rsid w:val="00A92C95"/>
    <w:rsid w:val="00A93A25"/>
    <w:rsid w:val="00A95A73"/>
    <w:rsid w:val="00AA0920"/>
    <w:rsid w:val="00AA3055"/>
    <w:rsid w:val="00AA469A"/>
    <w:rsid w:val="00AA5141"/>
    <w:rsid w:val="00AA6E6D"/>
    <w:rsid w:val="00AA715C"/>
    <w:rsid w:val="00AA7977"/>
    <w:rsid w:val="00AA79D9"/>
    <w:rsid w:val="00AB0126"/>
    <w:rsid w:val="00AB50FF"/>
    <w:rsid w:val="00AB6239"/>
    <w:rsid w:val="00AC4BEC"/>
    <w:rsid w:val="00AC57BB"/>
    <w:rsid w:val="00AC614D"/>
    <w:rsid w:val="00AD0323"/>
    <w:rsid w:val="00AD1F39"/>
    <w:rsid w:val="00AD4BC3"/>
    <w:rsid w:val="00AD647D"/>
    <w:rsid w:val="00AE02FD"/>
    <w:rsid w:val="00AE267B"/>
    <w:rsid w:val="00AE2698"/>
    <w:rsid w:val="00AE313F"/>
    <w:rsid w:val="00AE34F4"/>
    <w:rsid w:val="00AF042F"/>
    <w:rsid w:val="00AF412F"/>
    <w:rsid w:val="00B00C49"/>
    <w:rsid w:val="00B0200B"/>
    <w:rsid w:val="00B03105"/>
    <w:rsid w:val="00B03461"/>
    <w:rsid w:val="00B0766F"/>
    <w:rsid w:val="00B07F42"/>
    <w:rsid w:val="00B10787"/>
    <w:rsid w:val="00B11974"/>
    <w:rsid w:val="00B12CF8"/>
    <w:rsid w:val="00B13035"/>
    <w:rsid w:val="00B225A2"/>
    <w:rsid w:val="00B244B9"/>
    <w:rsid w:val="00B24559"/>
    <w:rsid w:val="00B27020"/>
    <w:rsid w:val="00B27178"/>
    <w:rsid w:val="00B310C3"/>
    <w:rsid w:val="00B41E5B"/>
    <w:rsid w:val="00B42229"/>
    <w:rsid w:val="00B43ABC"/>
    <w:rsid w:val="00B44FA9"/>
    <w:rsid w:val="00B50DC6"/>
    <w:rsid w:val="00B51125"/>
    <w:rsid w:val="00B51F55"/>
    <w:rsid w:val="00B52CDF"/>
    <w:rsid w:val="00B5679C"/>
    <w:rsid w:val="00B60D60"/>
    <w:rsid w:val="00B63CDD"/>
    <w:rsid w:val="00B65687"/>
    <w:rsid w:val="00B6589C"/>
    <w:rsid w:val="00B65A3B"/>
    <w:rsid w:val="00B67AF0"/>
    <w:rsid w:val="00B72C6B"/>
    <w:rsid w:val="00B72E16"/>
    <w:rsid w:val="00B73012"/>
    <w:rsid w:val="00B83D7B"/>
    <w:rsid w:val="00B85620"/>
    <w:rsid w:val="00B91131"/>
    <w:rsid w:val="00B94E88"/>
    <w:rsid w:val="00B95BB2"/>
    <w:rsid w:val="00B95EBA"/>
    <w:rsid w:val="00B97151"/>
    <w:rsid w:val="00BA037E"/>
    <w:rsid w:val="00BA04AB"/>
    <w:rsid w:val="00BA23D8"/>
    <w:rsid w:val="00BA35C9"/>
    <w:rsid w:val="00BA3EE0"/>
    <w:rsid w:val="00BA786D"/>
    <w:rsid w:val="00BB0AA7"/>
    <w:rsid w:val="00BB4D49"/>
    <w:rsid w:val="00BB537C"/>
    <w:rsid w:val="00BB6439"/>
    <w:rsid w:val="00BB675F"/>
    <w:rsid w:val="00BB7776"/>
    <w:rsid w:val="00BC331B"/>
    <w:rsid w:val="00BC331D"/>
    <w:rsid w:val="00BC332B"/>
    <w:rsid w:val="00BC3E08"/>
    <w:rsid w:val="00BD17B0"/>
    <w:rsid w:val="00BD21B8"/>
    <w:rsid w:val="00BD3E59"/>
    <w:rsid w:val="00BD4403"/>
    <w:rsid w:val="00BD56B7"/>
    <w:rsid w:val="00BD5A47"/>
    <w:rsid w:val="00BD5FB6"/>
    <w:rsid w:val="00BE2BCC"/>
    <w:rsid w:val="00BE3896"/>
    <w:rsid w:val="00BE424D"/>
    <w:rsid w:val="00BE4A23"/>
    <w:rsid w:val="00BE7068"/>
    <w:rsid w:val="00BE768F"/>
    <w:rsid w:val="00C03192"/>
    <w:rsid w:val="00C10C80"/>
    <w:rsid w:val="00C11CD5"/>
    <w:rsid w:val="00C22046"/>
    <w:rsid w:val="00C23E32"/>
    <w:rsid w:val="00C251C4"/>
    <w:rsid w:val="00C266F9"/>
    <w:rsid w:val="00C27759"/>
    <w:rsid w:val="00C314C1"/>
    <w:rsid w:val="00C31917"/>
    <w:rsid w:val="00C37B8E"/>
    <w:rsid w:val="00C40571"/>
    <w:rsid w:val="00C40D7F"/>
    <w:rsid w:val="00C41741"/>
    <w:rsid w:val="00C41DD9"/>
    <w:rsid w:val="00C427DA"/>
    <w:rsid w:val="00C42C49"/>
    <w:rsid w:val="00C42FAF"/>
    <w:rsid w:val="00C47FE5"/>
    <w:rsid w:val="00C521D9"/>
    <w:rsid w:val="00C52C56"/>
    <w:rsid w:val="00C56053"/>
    <w:rsid w:val="00C568FB"/>
    <w:rsid w:val="00C56D0A"/>
    <w:rsid w:val="00C7063D"/>
    <w:rsid w:val="00C71320"/>
    <w:rsid w:val="00C7255C"/>
    <w:rsid w:val="00C72FDA"/>
    <w:rsid w:val="00C734F1"/>
    <w:rsid w:val="00C73AA7"/>
    <w:rsid w:val="00C73DAB"/>
    <w:rsid w:val="00C76BF4"/>
    <w:rsid w:val="00C85569"/>
    <w:rsid w:val="00C863A3"/>
    <w:rsid w:val="00C864DC"/>
    <w:rsid w:val="00C90075"/>
    <w:rsid w:val="00C915B4"/>
    <w:rsid w:val="00C92177"/>
    <w:rsid w:val="00C94C33"/>
    <w:rsid w:val="00C94EEA"/>
    <w:rsid w:val="00CA1722"/>
    <w:rsid w:val="00CA172B"/>
    <w:rsid w:val="00CA452F"/>
    <w:rsid w:val="00CA6098"/>
    <w:rsid w:val="00CA7673"/>
    <w:rsid w:val="00CB1227"/>
    <w:rsid w:val="00CB1255"/>
    <w:rsid w:val="00CB18B1"/>
    <w:rsid w:val="00CB38CA"/>
    <w:rsid w:val="00CB66A2"/>
    <w:rsid w:val="00CB6F2B"/>
    <w:rsid w:val="00CC1067"/>
    <w:rsid w:val="00CC1159"/>
    <w:rsid w:val="00CC2EC2"/>
    <w:rsid w:val="00CD18B3"/>
    <w:rsid w:val="00CD3324"/>
    <w:rsid w:val="00CD5FBC"/>
    <w:rsid w:val="00CD6162"/>
    <w:rsid w:val="00CE4309"/>
    <w:rsid w:val="00CE6C6E"/>
    <w:rsid w:val="00CF42B9"/>
    <w:rsid w:val="00CF580B"/>
    <w:rsid w:val="00CF7819"/>
    <w:rsid w:val="00D01832"/>
    <w:rsid w:val="00D04527"/>
    <w:rsid w:val="00D201A6"/>
    <w:rsid w:val="00D21C96"/>
    <w:rsid w:val="00D30854"/>
    <w:rsid w:val="00D31127"/>
    <w:rsid w:val="00D33134"/>
    <w:rsid w:val="00D366B5"/>
    <w:rsid w:val="00D4052C"/>
    <w:rsid w:val="00D447AC"/>
    <w:rsid w:val="00D4538C"/>
    <w:rsid w:val="00D4539F"/>
    <w:rsid w:val="00D458F0"/>
    <w:rsid w:val="00D472C6"/>
    <w:rsid w:val="00D5079D"/>
    <w:rsid w:val="00D50B73"/>
    <w:rsid w:val="00D535DF"/>
    <w:rsid w:val="00D54957"/>
    <w:rsid w:val="00D55BD2"/>
    <w:rsid w:val="00D57CA6"/>
    <w:rsid w:val="00D6041B"/>
    <w:rsid w:val="00D60D98"/>
    <w:rsid w:val="00D61018"/>
    <w:rsid w:val="00D6265B"/>
    <w:rsid w:val="00D66D12"/>
    <w:rsid w:val="00D72F33"/>
    <w:rsid w:val="00D7707C"/>
    <w:rsid w:val="00D80919"/>
    <w:rsid w:val="00D80B6D"/>
    <w:rsid w:val="00D80CAD"/>
    <w:rsid w:val="00D82CBC"/>
    <w:rsid w:val="00D8513A"/>
    <w:rsid w:val="00D85BBB"/>
    <w:rsid w:val="00D90628"/>
    <w:rsid w:val="00D92D49"/>
    <w:rsid w:val="00D930E7"/>
    <w:rsid w:val="00D93623"/>
    <w:rsid w:val="00D93D7A"/>
    <w:rsid w:val="00D94672"/>
    <w:rsid w:val="00D9690A"/>
    <w:rsid w:val="00DA073A"/>
    <w:rsid w:val="00DA08E6"/>
    <w:rsid w:val="00DA244F"/>
    <w:rsid w:val="00DA441B"/>
    <w:rsid w:val="00DA50BA"/>
    <w:rsid w:val="00DA5330"/>
    <w:rsid w:val="00DA55A8"/>
    <w:rsid w:val="00DA7B87"/>
    <w:rsid w:val="00DB0266"/>
    <w:rsid w:val="00DB0F40"/>
    <w:rsid w:val="00DB36D4"/>
    <w:rsid w:val="00DB63D9"/>
    <w:rsid w:val="00DB7514"/>
    <w:rsid w:val="00DB795C"/>
    <w:rsid w:val="00DB7E77"/>
    <w:rsid w:val="00DC0B27"/>
    <w:rsid w:val="00DC1667"/>
    <w:rsid w:val="00DC2FCA"/>
    <w:rsid w:val="00DC30D0"/>
    <w:rsid w:val="00DC78F9"/>
    <w:rsid w:val="00DC7E88"/>
    <w:rsid w:val="00DD3AB0"/>
    <w:rsid w:val="00DD68B5"/>
    <w:rsid w:val="00DD7FC1"/>
    <w:rsid w:val="00DE62D6"/>
    <w:rsid w:val="00DF0000"/>
    <w:rsid w:val="00DF020C"/>
    <w:rsid w:val="00DF05CC"/>
    <w:rsid w:val="00DF16F7"/>
    <w:rsid w:val="00DF4BD2"/>
    <w:rsid w:val="00DF5A2C"/>
    <w:rsid w:val="00DF7709"/>
    <w:rsid w:val="00DF7D1B"/>
    <w:rsid w:val="00E00DC6"/>
    <w:rsid w:val="00E01A0A"/>
    <w:rsid w:val="00E02B4A"/>
    <w:rsid w:val="00E058A3"/>
    <w:rsid w:val="00E06422"/>
    <w:rsid w:val="00E11439"/>
    <w:rsid w:val="00E151F3"/>
    <w:rsid w:val="00E161C6"/>
    <w:rsid w:val="00E17539"/>
    <w:rsid w:val="00E17D0C"/>
    <w:rsid w:val="00E21CDE"/>
    <w:rsid w:val="00E225BA"/>
    <w:rsid w:val="00E2483C"/>
    <w:rsid w:val="00E26CF0"/>
    <w:rsid w:val="00E30987"/>
    <w:rsid w:val="00E31346"/>
    <w:rsid w:val="00E33BF5"/>
    <w:rsid w:val="00E35966"/>
    <w:rsid w:val="00E36C23"/>
    <w:rsid w:val="00E376F8"/>
    <w:rsid w:val="00E40550"/>
    <w:rsid w:val="00E40650"/>
    <w:rsid w:val="00E409BF"/>
    <w:rsid w:val="00E4121F"/>
    <w:rsid w:val="00E41C99"/>
    <w:rsid w:val="00E423B5"/>
    <w:rsid w:val="00E4313E"/>
    <w:rsid w:val="00E43F59"/>
    <w:rsid w:val="00E448C8"/>
    <w:rsid w:val="00E45D9D"/>
    <w:rsid w:val="00E461E4"/>
    <w:rsid w:val="00E47FF9"/>
    <w:rsid w:val="00E518BB"/>
    <w:rsid w:val="00E56A60"/>
    <w:rsid w:val="00E57F9B"/>
    <w:rsid w:val="00E65A9A"/>
    <w:rsid w:val="00E6726D"/>
    <w:rsid w:val="00E76043"/>
    <w:rsid w:val="00E77BCA"/>
    <w:rsid w:val="00E81433"/>
    <w:rsid w:val="00E81C95"/>
    <w:rsid w:val="00E8372E"/>
    <w:rsid w:val="00E84B41"/>
    <w:rsid w:val="00E852A3"/>
    <w:rsid w:val="00E93958"/>
    <w:rsid w:val="00EA01CC"/>
    <w:rsid w:val="00EA0A92"/>
    <w:rsid w:val="00EA0C1C"/>
    <w:rsid w:val="00EA3819"/>
    <w:rsid w:val="00EA477A"/>
    <w:rsid w:val="00EA4F68"/>
    <w:rsid w:val="00EA57EB"/>
    <w:rsid w:val="00EA674F"/>
    <w:rsid w:val="00EB1036"/>
    <w:rsid w:val="00EB4746"/>
    <w:rsid w:val="00EB4785"/>
    <w:rsid w:val="00EB48E6"/>
    <w:rsid w:val="00EB716B"/>
    <w:rsid w:val="00EC3BED"/>
    <w:rsid w:val="00EC7BC1"/>
    <w:rsid w:val="00EC7F0E"/>
    <w:rsid w:val="00ED1BBB"/>
    <w:rsid w:val="00ED2D1F"/>
    <w:rsid w:val="00ED47B9"/>
    <w:rsid w:val="00ED58E9"/>
    <w:rsid w:val="00ED79D6"/>
    <w:rsid w:val="00EE1831"/>
    <w:rsid w:val="00EE3451"/>
    <w:rsid w:val="00EE63BE"/>
    <w:rsid w:val="00EE6922"/>
    <w:rsid w:val="00EE6E06"/>
    <w:rsid w:val="00EE6F99"/>
    <w:rsid w:val="00EF0284"/>
    <w:rsid w:val="00EF18D9"/>
    <w:rsid w:val="00EF1AE7"/>
    <w:rsid w:val="00EF2F7C"/>
    <w:rsid w:val="00EF318B"/>
    <w:rsid w:val="00EF6D8C"/>
    <w:rsid w:val="00F01A8D"/>
    <w:rsid w:val="00F01BFC"/>
    <w:rsid w:val="00F02356"/>
    <w:rsid w:val="00F02D95"/>
    <w:rsid w:val="00F101B3"/>
    <w:rsid w:val="00F10A3C"/>
    <w:rsid w:val="00F13FDA"/>
    <w:rsid w:val="00F14982"/>
    <w:rsid w:val="00F14B6E"/>
    <w:rsid w:val="00F20B64"/>
    <w:rsid w:val="00F20D55"/>
    <w:rsid w:val="00F21D05"/>
    <w:rsid w:val="00F250B8"/>
    <w:rsid w:val="00F253CD"/>
    <w:rsid w:val="00F25676"/>
    <w:rsid w:val="00F2598D"/>
    <w:rsid w:val="00F259AE"/>
    <w:rsid w:val="00F30F02"/>
    <w:rsid w:val="00F31B7E"/>
    <w:rsid w:val="00F336A2"/>
    <w:rsid w:val="00F33826"/>
    <w:rsid w:val="00F33D58"/>
    <w:rsid w:val="00F34E7C"/>
    <w:rsid w:val="00F3561E"/>
    <w:rsid w:val="00F36EC6"/>
    <w:rsid w:val="00F4229F"/>
    <w:rsid w:val="00F44AEB"/>
    <w:rsid w:val="00F45620"/>
    <w:rsid w:val="00F465B7"/>
    <w:rsid w:val="00F46BBD"/>
    <w:rsid w:val="00F479A2"/>
    <w:rsid w:val="00F51B95"/>
    <w:rsid w:val="00F5432C"/>
    <w:rsid w:val="00F5470D"/>
    <w:rsid w:val="00F5611C"/>
    <w:rsid w:val="00F56253"/>
    <w:rsid w:val="00F637FB"/>
    <w:rsid w:val="00F640A4"/>
    <w:rsid w:val="00F66B41"/>
    <w:rsid w:val="00F712AB"/>
    <w:rsid w:val="00F77D7D"/>
    <w:rsid w:val="00F800F5"/>
    <w:rsid w:val="00F80CD0"/>
    <w:rsid w:val="00F82DDB"/>
    <w:rsid w:val="00F838FF"/>
    <w:rsid w:val="00F83CDB"/>
    <w:rsid w:val="00F8401D"/>
    <w:rsid w:val="00F8771B"/>
    <w:rsid w:val="00F87E05"/>
    <w:rsid w:val="00F90003"/>
    <w:rsid w:val="00F9173C"/>
    <w:rsid w:val="00F94180"/>
    <w:rsid w:val="00F95752"/>
    <w:rsid w:val="00FA04F3"/>
    <w:rsid w:val="00FA1C73"/>
    <w:rsid w:val="00FA3302"/>
    <w:rsid w:val="00FA69C2"/>
    <w:rsid w:val="00FA6B22"/>
    <w:rsid w:val="00FA6E63"/>
    <w:rsid w:val="00FA73E5"/>
    <w:rsid w:val="00FB18D0"/>
    <w:rsid w:val="00FB2ED6"/>
    <w:rsid w:val="00FB3309"/>
    <w:rsid w:val="00FB53F1"/>
    <w:rsid w:val="00FC0973"/>
    <w:rsid w:val="00FC2216"/>
    <w:rsid w:val="00FC23FE"/>
    <w:rsid w:val="00FC2522"/>
    <w:rsid w:val="00FC309B"/>
    <w:rsid w:val="00FC5B56"/>
    <w:rsid w:val="00FC7D97"/>
    <w:rsid w:val="00FC7DA9"/>
    <w:rsid w:val="00FD43E4"/>
    <w:rsid w:val="00FD4B12"/>
    <w:rsid w:val="00FD7195"/>
    <w:rsid w:val="00FD747A"/>
    <w:rsid w:val="00FE10BB"/>
    <w:rsid w:val="00FE3038"/>
    <w:rsid w:val="00FE34CB"/>
    <w:rsid w:val="00FE4313"/>
    <w:rsid w:val="00FE6055"/>
    <w:rsid w:val="00FE619E"/>
    <w:rsid w:val="00FF21FF"/>
    <w:rsid w:val="00FF3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Nevyeenzmnka1">
    <w:name w:val="Nevyřešená zmínka1"/>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 w:type="table" w:styleId="Mkatabulky">
    <w:name w:val="Table Grid"/>
    <w:basedOn w:val="Normlntabulka"/>
    <w:uiPriority w:val="39"/>
    <w:rsid w:val="0060397A"/>
    <w:pPr>
      <w:widowControl/>
      <w:autoSpaceDE/>
      <w:autoSpaceDN/>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7D32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04665014">
      <w:bodyDiv w:val="1"/>
      <w:marLeft w:val="0"/>
      <w:marRight w:val="0"/>
      <w:marTop w:val="0"/>
      <w:marBottom w:val="0"/>
      <w:divBdr>
        <w:top w:val="none" w:sz="0" w:space="0" w:color="auto"/>
        <w:left w:val="none" w:sz="0" w:space="0" w:color="auto"/>
        <w:bottom w:val="none" w:sz="0" w:space="0" w:color="auto"/>
        <w:right w:val="none" w:sz="0" w:space="0" w:color="auto"/>
      </w:divBdr>
    </w:div>
    <w:div w:id="111561255">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218975976">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262307797">
      <w:bodyDiv w:val="1"/>
      <w:marLeft w:val="0"/>
      <w:marRight w:val="0"/>
      <w:marTop w:val="0"/>
      <w:marBottom w:val="0"/>
      <w:divBdr>
        <w:top w:val="none" w:sz="0" w:space="0" w:color="auto"/>
        <w:left w:val="none" w:sz="0" w:space="0" w:color="auto"/>
        <w:bottom w:val="none" w:sz="0" w:space="0" w:color="auto"/>
        <w:right w:val="none" w:sz="0" w:space="0" w:color="auto"/>
      </w:divBdr>
    </w:div>
    <w:div w:id="496388250">
      <w:bodyDiv w:val="1"/>
      <w:marLeft w:val="0"/>
      <w:marRight w:val="0"/>
      <w:marTop w:val="0"/>
      <w:marBottom w:val="0"/>
      <w:divBdr>
        <w:top w:val="none" w:sz="0" w:space="0" w:color="auto"/>
        <w:left w:val="none" w:sz="0" w:space="0" w:color="auto"/>
        <w:bottom w:val="none" w:sz="0" w:space="0" w:color="auto"/>
        <w:right w:val="none" w:sz="0" w:space="0" w:color="auto"/>
      </w:divBdr>
    </w:div>
    <w:div w:id="521670953">
      <w:bodyDiv w:val="1"/>
      <w:marLeft w:val="0"/>
      <w:marRight w:val="0"/>
      <w:marTop w:val="0"/>
      <w:marBottom w:val="0"/>
      <w:divBdr>
        <w:top w:val="none" w:sz="0" w:space="0" w:color="auto"/>
        <w:left w:val="none" w:sz="0" w:space="0" w:color="auto"/>
        <w:bottom w:val="none" w:sz="0" w:space="0" w:color="auto"/>
        <w:right w:val="none" w:sz="0" w:space="0" w:color="auto"/>
      </w:divBdr>
    </w:div>
    <w:div w:id="712386259">
      <w:bodyDiv w:val="1"/>
      <w:marLeft w:val="0"/>
      <w:marRight w:val="0"/>
      <w:marTop w:val="0"/>
      <w:marBottom w:val="0"/>
      <w:divBdr>
        <w:top w:val="none" w:sz="0" w:space="0" w:color="auto"/>
        <w:left w:val="none" w:sz="0" w:space="0" w:color="auto"/>
        <w:bottom w:val="none" w:sz="0" w:space="0" w:color="auto"/>
        <w:right w:val="none" w:sz="0" w:space="0" w:color="auto"/>
      </w:divBdr>
    </w:div>
    <w:div w:id="727850146">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809589709">
      <w:bodyDiv w:val="1"/>
      <w:marLeft w:val="0"/>
      <w:marRight w:val="0"/>
      <w:marTop w:val="0"/>
      <w:marBottom w:val="0"/>
      <w:divBdr>
        <w:top w:val="none" w:sz="0" w:space="0" w:color="auto"/>
        <w:left w:val="none" w:sz="0" w:space="0" w:color="auto"/>
        <w:bottom w:val="none" w:sz="0" w:space="0" w:color="auto"/>
        <w:right w:val="none" w:sz="0" w:space="0" w:color="auto"/>
      </w:divBdr>
    </w:div>
    <w:div w:id="839541219">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20759940">
      <w:bodyDiv w:val="1"/>
      <w:marLeft w:val="0"/>
      <w:marRight w:val="0"/>
      <w:marTop w:val="0"/>
      <w:marBottom w:val="0"/>
      <w:divBdr>
        <w:top w:val="none" w:sz="0" w:space="0" w:color="auto"/>
        <w:left w:val="none" w:sz="0" w:space="0" w:color="auto"/>
        <w:bottom w:val="none" w:sz="0" w:space="0" w:color="auto"/>
        <w:right w:val="none" w:sz="0" w:space="0" w:color="auto"/>
      </w:divBdr>
    </w:div>
    <w:div w:id="1142887116">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211453985">
      <w:bodyDiv w:val="1"/>
      <w:marLeft w:val="0"/>
      <w:marRight w:val="0"/>
      <w:marTop w:val="0"/>
      <w:marBottom w:val="0"/>
      <w:divBdr>
        <w:top w:val="none" w:sz="0" w:space="0" w:color="auto"/>
        <w:left w:val="none" w:sz="0" w:space="0" w:color="auto"/>
        <w:bottom w:val="none" w:sz="0" w:space="0" w:color="auto"/>
        <w:right w:val="none" w:sz="0" w:space="0" w:color="auto"/>
      </w:divBdr>
    </w:div>
    <w:div w:id="1220826212">
      <w:bodyDiv w:val="1"/>
      <w:marLeft w:val="0"/>
      <w:marRight w:val="0"/>
      <w:marTop w:val="0"/>
      <w:marBottom w:val="0"/>
      <w:divBdr>
        <w:top w:val="none" w:sz="0" w:space="0" w:color="auto"/>
        <w:left w:val="none" w:sz="0" w:space="0" w:color="auto"/>
        <w:bottom w:val="none" w:sz="0" w:space="0" w:color="auto"/>
        <w:right w:val="none" w:sz="0" w:space="0" w:color="auto"/>
      </w:divBdr>
      <w:divsChild>
        <w:div w:id="751632536">
          <w:marLeft w:val="0"/>
          <w:marRight w:val="0"/>
          <w:marTop w:val="0"/>
          <w:marBottom w:val="0"/>
          <w:divBdr>
            <w:top w:val="none" w:sz="0" w:space="0" w:color="auto"/>
            <w:left w:val="none" w:sz="0" w:space="0" w:color="auto"/>
            <w:bottom w:val="none" w:sz="0" w:space="0" w:color="auto"/>
            <w:right w:val="none" w:sz="0" w:space="0" w:color="auto"/>
          </w:divBdr>
          <w:divsChild>
            <w:div w:id="1611233610">
              <w:marLeft w:val="0"/>
              <w:marRight w:val="0"/>
              <w:marTop w:val="0"/>
              <w:marBottom w:val="0"/>
              <w:divBdr>
                <w:top w:val="none" w:sz="0" w:space="0" w:color="auto"/>
                <w:left w:val="none" w:sz="0" w:space="0" w:color="auto"/>
                <w:bottom w:val="none" w:sz="0" w:space="0" w:color="auto"/>
                <w:right w:val="none" w:sz="0" w:space="0" w:color="auto"/>
              </w:divBdr>
              <w:divsChild>
                <w:div w:id="478158412">
                  <w:marLeft w:val="0"/>
                  <w:marRight w:val="0"/>
                  <w:marTop w:val="0"/>
                  <w:marBottom w:val="0"/>
                  <w:divBdr>
                    <w:top w:val="none" w:sz="0" w:space="0" w:color="auto"/>
                    <w:left w:val="none" w:sz="0" w:space="0" w:color="auto"/>
                    <w:bottom w:val="none" w:sz="0" w:space="0" w:color="auto"/>
                    <w:right w:val="none" w:sz="0" w:space="0" w:color="auto"/>
                  </w:divBdr>
                  <w:divsChild>
                    <w:div w:id="52896651">
                      <w:marLeft w:val="0"/>
                      <w:marRight w:val="0"/>
                      <w:marTop w:val="0"/>
                      <w:marBottom w:val="0"/>
                      <w:divBdr>
                        <w:top w:val="none" w:sz="0" w:space="0" w:color="auto"/>
                        <w:left w:val="none" w:sz="0" w:space="0" w:color="auto"/>
                        <w:bottom w:val="none" w:sz="0" w:space="0" w:color="auto"/>
                        <w:right w:val="none" w:sz="0" w:space="0" w:color="auto"/>
                      </w:divBdr>
                      <w:divsChild>
                        <w:div w:id="1875776120">
                          <w:marLeft w:val="0"/>
                          <w:marRight w:val="0"/>
                          <w:marTop w:val="0"/>
                          <w:marBottom w:val="0"/>
                          <w:divBdr>
                            <w:top w:val="none" w:sz="0" w:space="0" w:color="auto"/>
                            <w:left w:val="none" w:sz="0" w:space="0" w:color="auto"/>
                            <w:bottom w:val="none" w:sz="0" w:space="0" w:color="auto"/>
                            <w:right w:val="none" w:sz="0" w:space="0" w:color="auto"/>
                          </w:divBdr>
                          <w:divsChild>
                            <w:div w:id="2158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07737293">
      <w:bodyDiv w:val="1"/>
      <w:marLeft w:val="0"/>
      <w:marRight w:val="0"/>
      <w:marTop w:val="0"/>
      <w:marBottom w:val="0"/>
      <w:divBdr>
        <w:top w:val="none" w:sz="0" w:space="0" w:color="auto"/>
        <w:left w:val="none" w:sz="0" w:space="0" w:color="auto"/>
        <w:bottom w:val="none" w:sz="0" w:space="0" w:color="auto"/>
        <w:right w:val="none" w:sz="0" w:space="0" w:color="auto"/>
      </w:divBdr>
    </w:div>
    <w:div w:id="1321469928">
      <w:bodyDiv w:val="1"/>
      <w:marLeft w:val="0"/>
      <w:marRight w:val="0"/>
      <w:marTop w:val="0"/>
      <w:marBottom w:val="0"/>
      <w:divBdr>
        <w:top w:val="none" w:sz="0" w:space="0" w:color="auto"/>
        <w:left w:val="none" w:sz="0" w:space="0" w:color="auto"/>
        <w:bottom w:val="none" w:sz="0" w:space="0" w:color="auto"/>
        <w:right w:val="none" w:sz="0" w:space="0" w:color="auto"/>
      </w:divBdr>
    </w:div>
    <w:div w:id="1328364310">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470827945">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07399407">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2743599">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569268482">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814322425">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1957104834">
      <w:bodyDiv w:val="1"/>
      <w:marLeft w:val="0"/>
      <w:marRight w:val="0"/>
      <w:marTop w:val="0"/>
      <w:marBottom w:val="0"/>
      <w:divBdr>
        <w:top w:val="none" w:sz="0" w:space="0" w:color="auto"/>
        <w:left w:val="none" w:sz="0" w:space="0" w:color="auto"/>
        <w:bottom w:val="none" w:sz="0" w:space="0" w:color="auto"/>
        <w:right w:val="none" w:sz="0" w:space="0" w:color="auto"/>
      </w:divBdr>
      <w:divsChild>
        <w:div w:id="293759737">
          <w:marLeft w:val="0"/>
          <w:marRight w:val="0"/>
          <w:marTop w:val="0"/>
          <w:marBottom w:val="0"/>
          <w:divBdr>
            <w:top w:val="none" w:sz="0" w:space="0" w:color="auto"/>
            <w:left w:val="none" w:sz="0" w:space="0" w:color="auto"/>
            <w:bottom w:val="none" w:sz="0" w:space="0" w:color="auto"/>
            <w:right w:val="none" w:sz="0" w:space="0" w:color="auto"/>
          </w:divBdr>
          <w:divsChild>
            <w:div w:id="1283809187">
              <w:marLeft w:val="0"/>
              <w:marRight w:val="0"/>
              <w:marTop w:val="0"/>
              <w:marBottom w:val="0"/>
              <w:divBdr>
                <w:top w:val="none" w:sz="0" w:space="0" w:color="auto"/>
                <w:left w:val="none" w:sz="0" w:space="0" w:color="auto"/>
                <w:bottom w:val="none" w:sz="0" w:space="0" w:color="auto"/>
                <w:right w:val="none" w:sz="0" w:space="0" w:color="auto"/>
              </w:divBdr>
              <w:divsChild>
                <w:div w:id="277949201">
                  <w:marLeft w:val="0"/>
                  <w:marRight w:val="0"/>
                  <w:marTop w:val="0"/>
                  <w:marBottom w:val="0"/>
                  <w:divBdr>
                    <w:top w:val="none" w:sz="0" w:space="0" w:color="auto"/>
                    <w:left w:val="none" w:sz="0" w:space="0" w:color="auto"/>
                    <w:bottom w:val="none" w:sz="0" w:space="0" w:color="auto"/>
                    <w:right w:val="none" w:sz="0" w:space="0" w:color="auto"/>
                  </w:divBdr>
                  <w:divsChild>
                    <w:div w:id="2126071203">
                      <w:marLeft w:val="0"/>
                      <w:marRight w:val="0"/>
                      <w:marTop w:val="0"/>
                      <w:marBottom w:val="0"/>
                      <w:divBdr>
                        <w:top w:val="none" w:sz="0" w:space="0" w:color="auto"/>
                        <w:left w:val="none" w:sz="0" w:space="0" w:color="auto"/>
                        <w:bottom w:val="none" w:sz="0" w:space="0" w:color="auto"/>
                        <w:right w:val="none" w:sz="0" w:space="0" w:color="auto"/>
                      </w:divBdr>
                      <w:divsChild>
                        <w:div w:id="12920731">
                          <w:marLeft w:val="0"/>
                          <w:marRight w:val="0"/>
                          <w:marTop w:val="0"/>
                          <w:marBottom w:val="0"/>
                          <w:divBdr>
                            <w:top w:val="none" w:sz="0" w:space="0" w:color="auto"/>
                            <w:left w:val="none" w:sz="0" w:space="0" w:color="auto"/>
                            <w:bottom w:val="none" w:sz="0" w:space="0" w:color="auto"/>
                            <w:right w:val="none" w:sz="0" w:space="0" w:color="auto"/>
                          </w:divBdr>
                          <w:divsChild>
                            <w:div w:id="91150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874814">
      <w:bodyDiv w:val="1"/>
      <w:marLeft w:val="0"/>
      <w:marRight w:val="0"/>
      <w:marTop w:val="0"/>
      <w:marBottom w:val="0"/>
      <w:divBdr>
        <w:top w:val="none" w:sz="0" w:space="0" w:color="auto"/>
        <w:left w:val="none" w:sz="0" w:space="0" w:color="auto"/>
        <w:bottom w:val="none" w:sz="0" w:space="0" w:color="auto"/>
        <w:right w:val="none" w:sz="0" w:space="0" w:color="auto"/>
      </w:divBdr>
    </w:div>
    <w:div w:id="2080445261">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hyperlink" Target="https://www.bcas.cz/o-nas/broker-consulting-index-spotrebitelskych-uver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hyperlink" Target="mailto:lenka.kuzelova@bcas.cz"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D5792-7C57-4722-84B9-55A816F75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1200</TotalTime>
  <Pages>3</Pages>
  <Words>931</Words>
  <Characters>5498</Characters>
  <Application>Microsoft Office Word</Application>
  <DocSecurity>0</DocSecurity>
  <Lines>45</Lines>
  <Paragraphs>12</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Lenka Kuželová</cp:lastModifiedBy>
  <cp:revision>10</cp:revision>
  <dcterms:created xsi:type="dcterms:W3CDTF">2024-09-11T09:55:00Z</dcterms:created>
  <dcterms:modified xsi:type="dcterms:W3CDTF">2024-09-26T06:29:00Z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