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0553832B" w14:textId="26A83FD8" w:rsidR="009A24E0" w:rsidRDefault="009A24E0" w:rsidP="00B27C5B">
          <w:pPr>
            <w:rPr>
              <w:highlight w:val="yellow"/>
            </w:rPr>
          </w:pPr>
        </w:p>
        <w:p w14:paraId="66C82109" w14:textId="09709D8F" w:rsidR="009A24E0" w:rsidRDefault="009A24E0" w:rsidP="00B27C5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1A089D9D" w14:textId="14F9451F" w:rsidR="009A24E0" w:rsidRPr="00A92255" w:rsidRDefault="009A24E0" w:rsidP="009A24E0">
          <w:pPr>
            <w:pStyle w:val="Nadpis3"/>
            <w:spacing w:before="10"/>
            <w:ind w:left="0"/>
            <w:jc w:val="both"/>
            <w:rPr>
              <w:rFonts w:asciiTheme="minorHAnsi" w:hAnsiTheme="minorHAnsi" w:cstheme="minorHAnsi"/>
              <w:color w:val="1D1D1B"/>
              <w:highlight w:val="yellow"/>
            </w:rPr>
          </w:pPr>
        </w:p>
        <w:p w14:paraId="57935006" w14:textId="77777777" w:rsidR="009A24E0" w:rsidRDefault="009A24E0" w:rsidP="009A24E0">
          <w:pPr>
            <w:spacing w:before="230"/>
            <w:ind w:left="165"/>
            <w:jc w:val="center"/>
            <w:rPr>
              <w:rFonts w:asciiTheme="minorHAnsi" w:hAnsiTheme="minorHAnsi" w:cstheme="minorHAnsi"/>
              <w:color w:val="1D1D1B"/>
              <w:sz w:val="24"/>
            </w:rPr>
          </w:pPr>
          <w:r w:rsidRPr="00A92255">
            <w:rPr>
              <w:rFonts w:asciiTheme="minorHAnsi" w:hAnsiTheme="minorHAnsi" w:cstheme="minorHAnsi"/>
              <w:color w:val="1D1D1B"/>
              <w:sz w:val="24"/>
            </w:rPr>
            <w:t xml:space="preserve">INDEX HYPOTEČNÍCH ÚVĚRŮ </w:t>
          </w:r>
          <w:r w:rsidRPr="00A92255">
            <w:rPr>
              <w:rFonts w:asciiTheme="minorHAnsi" w:hAnsiTheme="minorHAnsi" w:cstheme="minorHAnsi"/>
              <w:color w:val="CD1719"/>
              <w:sz w:val="24"/>
            </w:rPr>
            <w:t xml:space="preserve">| </w:t>
          </w:r>
          <w:r w:rsidRPr="00A92255">
            <w:rPr>
              <w:rFonts w:asciiTheme="minorHAnsi" w:hAnsiTheme="minorHAnsi" w:cstheme="minorHAnsi"/>
              <w:color w:val="1D1D1B"/>
              <w:sz w:val="24"/>
            </w:rPr>
            <w:t>FIXINDEX</w:t>
          </w:r>
        </w:p>
        <w:p w14:paraId="4971D4AA" w14:textId="77777777" w:rsidR="009A24E0" w:rsidRPr="009A24E0" w:rsidRDefault="009A24E0" w:rsidP="009A24E0">
          <w:pPr>
            <w:spacing w:before="240" w:line="288" w:lineRule="exact"/>
            <w:ind w:left="162"/>
            <w:jc w:val="center"/>
            <w:rPr>
              <w:rFonts w:asciiTheme="minorHAnsi" w:hAnsiTheme="minorHAnsi" w:cstheme="minorHAnsi"/>
              <w:b/>
              <w:color w:val="1D1D1B"/>
              <w:sz w:val="24"/>
            </w:rPr>
          </w:pPr>
          <w:r w:rsidRPr="009A24E0">
            <w:rPr>
              <w:rFonts w:asciiTheme="minorHAnsi" w:hAnsiTheme="minorHAnsi" w:cstheme="minorHAnsi"/>
              <w:b/>
              <w:color w:val="1D1D1B"/>
              <w:sz w:val="24"/>
            </w:rPr>
            <w:t>INDEX PODÍLOVÝCH FONDŮ</w:t>
          </w:r>
        </w:p>
        <w:p w14:paraId="2EF85979" w14:textId="77777777" w:rsidR="009A24E0" w:rsidRPr="009A24E0" w:rsidRDefault="009A24E0" w:rsidP="009A24E0">
          <w:pPr>
            <w:spacing w:before="240" w:line="288" w:lineRule="exact"/>
            <w:ind w:left="162"/>
            <w:jc w:val="center"/>
            <w:rPr>
              <w:rFonts w:asciiTheme="minorHAnsi" w:hAnsiTheme="minorHAnsi" w:cstheme="minorHAnsi"/>
              <w:color w:val="1D1D1B"/>
              <w:sz w:val="24"/>
            </w:rPr>
          </w:pPr>
          <w:r w:rsidRPr="009A24E0">
            <w:rPr>
              <w:rFonts w:asciiTheme="minorHAnsi" w:hAnsiTheme="minorHAnsi" w:cstheme="minorHAnsi"/>
              <w:color w:val="1D1D1B"/>
              <w:sz w:val="24"/>
            </w:rPr>
            <w:t>REALINDEX</w:t>
          </w:r>
        </w:p>
        <w:p w14:paraId="088D3706" w14:textId="77777777" w:rsidR="009A24E0" w:rsidRPr="00A92255" w:rsidRDefault="009A24E0" w:rsidP="009A24E0">
          <w:pPr>
            <w:spacing w:before="230"/>
            <w:ind w:left="165"/>
            <w:jc w:val="center"/>
            <w:rPr>
              <w:rFonts w:asciiTheme="minorHAnsi" w:hAnsiTheme="minorHAnsi" w:cstheme="minorHAnsi"/>
              <w:color w:val="1D1D1B"/>
              <w:sz w:val="24"/>
            </w:rPr>
          </w:pPr>
          <w:r w:rsidRPr="00A92255">
            <w:rPr>
              <w:rFonts w:asciiTheme="minorHAnsi" w:hAnsiTheme="minorHAnsi" w:cstheme="minorHAnsi"/>
              <w:color w:val="1D1D1B"/>
              <w:sz w:val="24"/>
            </w:rPr>
            <w:t>POVINDEX</w:t>
          </w:r>
        </w:p>
        <w:p w14:paraId="2C84A045" w14:textId="77777777" w:rsidR="009A24E0" w:rsidRPr="00A92255" w:rsidRDefault="009A24E0" w:rsidP="009A24E0">
          <w:pPr>
            <w:spacing w:before="230"/>
            <w:ind w:left="165"/>
            <w:jc w:val="center"/>
            <w:rPr>
              <w:rFonts w:asciiTheme="minorHAnsi" w:hAnsiTheme="minorHAnsi" w:cstheme="minorHAnsi"/>
              <w:color w:val="CD1719"/>
              <w:sz w:val="24"/>
            </w:rPr>
          </w:pPr>
          <w:r w:rsidRPr="00A92255">
            <w:rPr>
              <w:rFonts w:asciiTheme="minorHAnsi" w:hAnsiTheme="minorHAnsi" w:cstheme="minorHAnsi"/>
              <w:color w:val="1D1D1B"/>
              <w:sz w:val="24"/>
            </w:rPr>
            <w:t>INDEX SPOTŘEBITELSKÝCH ÚVĚRŮ</w:t>
          </w:r>
        </w:p>
        <w:p w14:paraId="77054EA8" w14:textId="77777777" w:rsidR="009A24E0" w:rsidRPr="00FC2522" w:rsidRDefault="009A24E0" w:rsidP="009A24E0">
          <w:pPr>
            <w:pStyle w:val="Zkladntext"/>
            <w:spacing w:before="240"/>
            <w:jc w:val="both"/>
            <w:rPr>
              <w:sz w:val="20"/>
              <w:highlight w:val="yellow"/>
            </w:rPr>
          </w:pPr>
        </w:p>
        <w:p w14:paraId="21A769D6" w14:textId="77777777" w:rsidR="009A24E0" w:rsidRPr="00FC2522" w:rsidRDefault="009A24E0" w:rsidP="009A24E0">
          <w:pPr>
            <w:pStyle w:val="Zkladntext"/>
            <w:spacing w:before="240"/>
            <w:jc w:val="both"/>
            <w:rPr>
              <w:sz w:val="20"/>
              <w:highlight w:val="yellow"/>
            </w:rPr>
          </w:pPr>
        </w:p>
        <w:p w14:paraId="2E93F250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7CC3AA0C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  <w:r w:rsidRPr="00FC2522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59264" behindDoc="1" locked="0" layoutInCell="1" allowOverlap="1" wp14:anchorId="48E7ADFA" wp14:editId="7B0A3BF0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95F7708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5E6664AB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1930CA37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7FCA6E80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13FE327E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19E3C758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52633DF4" w14:textId="77777777" w:rsidR="009A24E0" w:rsidRPr="00FC2522" w:rsidRDefault="009A24E0" w:rsidP="009A24E0">
          <w:pPr>
            <w:pStyle w:val="Zkladntext"/>
            <w:jc w:val="both"/>
            <w:rPr>
              <w:sz w:val="20"/>
              <w:highlight w:val="yellow"/>
            </w:rPr>
          </w:pPr>
        </w:p>
        <w:p w14:paraId="444CA251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  <w:highlight w:val="yellow"/>
            </w:rPr>
          </w:pPr>
        </w:p>
        <w:p w14:paraId="4AFBCDC0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9110DCD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E4B3D26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775C62E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C40915A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414FDD7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5AFA46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14008C1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09C85DE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FC86080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52B0573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7E7CE0FE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7D076C6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3693F34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7AA8D59" w14:textId="77777777" w:rsidR="009A24E0" w:rsidRPr="00FC2522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7E50C7C7" w14:textId="4F641F9A" w:rsidR="009A24E0" w:rsidRDefault="009A24E0" w:rsidP="009A24E0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F1D41DE" w14:textId="3074C335" w:rsidR="00B859AE" w:rsidRDefault="00B859AE" w:rsidP="009A24E0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A718EC4" w14:textId="77777777" w:rsidR="00B859AE" w:rsidRDefault="00B859AE" w:rsidP="009A24E0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</w:p>
        <w:p w14:paraId="1C76B6CD" w14:textId="77777777" w:rsidR="009A24E0" w:rsidRDefault="009A24E0" w:rsidP="009A24E0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</w:p>
        <w:p w14:paraId="3788119E" w14:textId="77777777" w:rsidR="009A24E0" w:rsidRDefault="009A24E0" w:rsidP="009A24E0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</w:p>
        <w:p w14:paraId="2D28740B" w14:textId="114FA560" w:rsidR="009A24E0" w:rsidRPr="00A92255" w:rsidRDefault="009A24E0" w:rsidP="009A24E0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  <w:r w:rsidRPr="00A92255">
            <w:rPr>
              <w:rFonts w:asciiTheme="minorHAnsi" w:hAnsiTheme="minorHAnsi" w:cstheme="minorHAnsi"/>
              <w:b/>
            </w:rPr>
            <w:t>O společnosti Broker Consulting</w:t>
          </w:r>
        </w:p>
        <w:p w14:paraId="03F88B1D" w14:textId="77777777" w:rsidR="009A24E0" w:rsidRPr="00FC2522" w:rsidRDefault="009A24E0" w:rsidP="009A24E0">
          <w:pPr>
            <w:jc w:val="both"/>
            <w:rPr>
              <w:rFonts w:ascii="Arial" w:hAnsi="Arial" w:cs="Arial"/>
              <w:sz w:val="20"/>
            </w:rPr>
          </w:pPr>
        </w:p>
        <w:p w14:paraId="3C232BF0" w14:textId="6750EBBD" w:rsidR="00D55587" w:rsidRPr="005B7E46" w:rsidRDefault="00D55587" w:rsidP="00D55587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</w:t>
          </w:r>
          <w:r w:rsidR="00724040">
            <w:rPr>
              <w:rFonts w:asciiTheme="minorHAnsi" w:hAnsiTheme="minorHAnsi" w:cstheme="minorHAnsi"/>
              <w:sz w:val="20"/>
              <w:szCs w:val="20"/>
            </w:rPr>
            <w:t>u 1998 získala důvěru více než 7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00 000 klientů. Poskytuje také služby přes 4 000 firmám. Distribuci služeb zajišťuje přibližně 2 000 konzultantů (profesionální konzultanti, zaměstnanci, konzultanti v zapracování v ČR i SR</w:t>
          </w:r>
          <w:r>
            <w:rPr>
              <w:rFonts w:asciiTheme="minorHAnsi" w:hAnsiTheme="minorHAnsi" w:cstheme="minorHAnsi"/>
              <w:sz w:val="20"/>
              <w:szCs w:val="20"/>
            </w:rPr>
            <w:t>) ve více než 150 kancelářích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>
            <w:rPr>
              <w:rFonts w:asciiTheme="minorHAnsi" w:hAnsiTheme="minorHAnsi" w:cstheme="minorHAnsi"/>
              <w:sz w:val="20"/>
              <w:szCs w:val="20"/>
            </w:rPr>
            <w:t>a na několika desítkách poboček Broker Point Premium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služby společně, to je Broker Point Premium,</w:t>
          </w:r>
          <w:r w:rsidRPr="00961519"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jehož přináší společnost Broker Consulting, která za vedení franšízy a její podporu získala ocenění </w:t>
          </w:r>
          <w:proofErr w:type="spellStart"/>
          <w:r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>Franchisor</w:t>
          </w:r>
          <w:proofErr w:type="spellEnd"/>
          <w:r w:rsidRPr="00A0680F">
            <w:rPr>
              <w:rFonts w:asciiTheme="minorHAnsi" w:hAnsiTheme="minorHAnsi" w:cstheme="minorHAnsi"/>
              <w:b/>
              <w:color w:val="FF0000"/>
              <w:sz w:val="20"/>
              <w:szCs w:val="20"/>
            </w:rPr>
            <w:t xml:space="preserve"> roku 2022</w:t>
          </w:r>
          <w:r w:rsidRPr="00A0680F">
            <w:rPr>
              <w:rFonts w:asciiTheme="minorHAnsi" w:hAnsiTheme="minorHAnsi" w:cstheme="minorHAnsi"/>
              <w:color w:val="FF0000"/>
              <w:sz w:val="20"/>
              <w:szCs w:val="20"/>
            </w:rPr>
            <w:t xml:space="preserve"> 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od České asociace </w:t>
          </w:r>
          <w:proofErr w:type="spellStart"/>
          <w:r>
            <w:rPr>
              <w:rFonts w:asciiTheme="minorHAnsi" w:hAnsiTheme="minorHAnsi" w:cstheme="minorHAnsi"/>
              <w:sz w:val="20"/>
              <w:szCs w:val="20"/>
            </w:rPr>
            <w:t>franchisingu</w:t>
          </w:r>
          <w:proofErr w:type="spellEnd"/>
          <w:r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Více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na </w:t>
          </w:r>
          <w:hyperlink r:id="rId9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</w:t>
            </w:r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r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brokerpoint</w:t>
          </w:r>
          <w:hyperlink r:id="rId11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Navštivte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také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proofErr w:type="spellStart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>náš</w:t>
          </w:r>
          <w:proofErr w:type="spellEnd"/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3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@</w:t>
          </w:r>
          <w:proofErr w:type="spellStart"/>
          <w:r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>BC_oficialni</w:t>
          </w:r>
          <w:proofErr w:type="spellEnd"/>
          <w:r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  <w:proofErr w:type="spellEnd"/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proofErr w:type="spellStart"/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proofErr w:type="spellEnd"/>
          <w:r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5EE81B6A" w14:textId="77777777" w:rsidR="008C5E3B" w:rsidRPr="007C7B64" w:rsidRDefault="008C5E3B" w:rsidP="00B27C5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6062EB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default" r:id="rId17"/>
              <w:footerReference w:type="default" r:id="rId18"/>
              <w:headerReference w:type="first" r:id="rId19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199B939B" w14:textId="13B017BD" w:rsidR="001C4B7D" w:rsidRPr="00F77420" w:rsidRDefault="009A24E0" w:rsidP="00724040">
      <w:pPr>
        <w:spacing w:after="24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7"/>
          <w:szCs w:val="27"/>
        </w:rPr>
        <w:lastRenderedPageBreak/>
        <w:br/>
      </w:r>
      <w:r w:rsidR="00E00EB2" w:rsidRPr="00F77420">
        <w:rPr>
          <w:rFonts w:asciiTheme="minorHAnsi" w:hAnsiTheme="minorHAnsi" w:cstheme="minorHAnsi"/>
          <w:b/>
          <w:sz w:val="28"/>
          <w:szCs w:val="28"/>
        </w:rPr>
        <w:lastRenderedPageBreak/>
        <w:t>Akciové fondy zaznamenaly výrazný růst</w:t>
      </w:r>
    </w:p>
    <w:p w14:paraId="1970F70A" w14:textId="508E7665" w:rsidR="00684D2C" w:rsidRPr="00F77420" w:rsidRDefault="00E00EB2" w:rsidP="00684D2C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hAnsiTheme="minorHAnsi" w:cstheme="minorHAnsi"/>
          <w:b/>
        </w:rPr>
      </w:pPr>
      <w:r w:rsidRPr="00F77420">
        <w:rPr>
          <w:rFonts w:asciiTheme="minorHAnsi" w:hAnsiTheme="minorHAnsi" w:cstheme="minorHAnsi"/>
          <w:b/>
        </w:rPr>
        <w:t xml:space="preserve">Květen přinesl na </w:t>
      </w:r>
      <w:r w:rsidR="00E43D85">
        <w:rPr>
          <w:rFonts w:asciiTheme="minorHAnsi" w:hAnsiTheme="minorHAnsi" w:cstheme="minorHAnsi"/>
          <w:b/>
        </w:rPr>
        <w:t>trzích smíšené</w:t>
      </w:r>
      <w:r w:rsidR="00F77420">
        <w:rPr>
          <w:rFonts w:asciiTheme="minorHAnsi" w:hAnsiTheme="minorHAnsi" w:cstheme="minorHAnsi"/>
          <w:b/>
        </w:rPr>
        <w:t xml:space="preserve"> výsledky.</w:t>
      </w:r>
    </w:p>
    <w:p w14:paraId="3C5B1EEC" w14:textId="6228BD14" w:rsidR="00AD62BD" w:rsidRPr="00F77420" w:rsidRDefault="00E00EB2" w:rsidP="00E00EB2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hAnsiTheme="minorHAnsi" w:cstheme="minorHAnsi"/>
          <w:b/>
        </w:rPr>
      </w:pPr>
      <w:r w:rsidRPr="00F77420">
        <w:rPr>
          <w:rFonts w:asciiTheme="minorHAnsi" w:hAnsiTheme="minorHAnsi" w:cstheme="minorHAnsi"/>
          <w:b/>
        </w:rPr>
        <w:t>Akciové fondy vzrostly o 6,03 %, a to mimo jiné i díky obnovené důvěře investorů.</w:t>
      </w:r>
    </w:p>
    <w:p w14:paraId="243BCF90" w14:textId="5E565256" w:rsidR="00684D2C" w:rsidRPr="00F77420" w:rsidRDefault="00E00EB2" w:rsidP="00C10A75">
      <w:pPr>
        <w:pStyle w:val="Odstavecseseznamem"/>
        <w:numPr>
          <w:ilvl w:val="0"/>
          <w:numId w:val="3"/>
        </w:numPr>
        <w:ind w:left="357" w:right="40" w:hanging="357"/>
        <w:rPr>
          <w:rFonts w:asciiTheme="minorHAnsi" w:hAnsiTheme="minorHAnsi" w:cstheme="minorHAnsi"/>
          <w:b/>
        </w:rPr>
      </w:pPr>
      <w:r w:rsidRPr="00F77420">
        <w:rPr>
          <w:rFonts w:asciiTheme="minorHAnsi" w:hAnsiTheme="minorHAnsi" w:cstheme="minorHAnsi"/>
          <w:b/>
        </w:rPr>
        <w:t>Fondy peněžního trhu zaznamenaly naopak po několika měsících růstu první pokles.</w:t>
      </w:r>
    </w:p>
    <w:p w14:paraId="65B1DFF9" w14:textId="77777777" w:rsidR="00AD62BD" w:rsidRPr="00F77420" w:rsidRDefault="00AD62BD" w:rsidP="007E5F9B">
      <w:pPr>
        <w:spacing w:after="120"/>
        <w:ind w:right="40"/>
        <w:jc w:val="both"/>
        <w:rPr>
          <w:rFonts w:asciiTheme="minorHAnsi" w:hAnsiTheme="minorHAnsi" w:cstheme="minorHAnsi"/>
          <w:b/>
          <w:i/>
        </w:rPr>
      </w:pPr>
    </w:p>
    <w:p w14:paraId="78C2DCCC" w14:textId="5584826E" w:rsidR="00221904" w:rsidRPr="00221904" w:rsidRDefault="00836812" w:rsidP="00221904">
      <w:pPr>
        <w:jc w:val="both"/>
        <w:rPr>
          <w:rFonts w:asciiTheme="minorHAnsi" w:eastAsia="Times New Roman" w:hAnsiTheme="minorHAnsi" w:cstheme="minorHAnsi"/>
          <w:lang w:bidi="ar-SA"/>
        </w:rPr>
      </w:pPr>
      <w:r w:rsidRPr="00F77420">
        <w:rPr>
          <w:rFonts w:asciiTheme="minorHAnsi" w:hAnsiTheme="minorHAnsi" w:cstheme="minorHAnsi"/>
          <w:i/>
        </w:rPr>
        <w:t xml:space="preserve">Praha, </w:t>
      </w:r>
      <w:r w:rsidR="00E00EB2" w:rsidRPr="00F77420">
        <w:rPr>
          <w:rFonts w:asciiTheme="minorHAnsi" w:hAnsiTheme="minorHAnsi" w:cstheme="minorHAnsi"/>
          <w:i/>
        </w:rPr>
        <w:t>13</w:t>
      </w:r>
      <w:r w:rsidR="00E11BD1" w:rsidRPr="00F77420">
        <w:rPr>
          <w:rFonts w:asciiTheme="minorHAnsi" w:hAnsiTheme="minorHAnsi" w:cstheme="minorHAnsi"/>
          <w:i/>
        </w:rPr>
        <w:t>.</w:t>
      </w:r>
      <w:r w:rsidR="00E00EB2" w:rsidRPr="00F77420">
        <w:rPr>
          <w:rFonts w:asciiTheme="minorHAnsi" w:hAnsiTheme="minorHAnsi" w:cstheme="minorHAnsi"/>
          <w:i/>
        </w:rPr>
        <w:t xml:space="preserve"> června</w:t>
      </w:r>
      <w:r w:rsidR="00B3476A" w:rsidRPr="00F77420">
        <w:rPr>
          <w:rFonts w:asciiTheme="minorHAnsi" w:hAnsiTheme="minorHAnsi" w:cstheme="minorHAnsi"/>
          <w:i/>
        </w:rPr>
        <w:t xml:space="preserve"> </w:t>
      </w:r>
      <w:r w:rsidR="004E59F7" w:rsidRPr="00F77420">
        <w:rPr>
          <w:rFonts w:asciiTheme="minorHAnsi" w:hAnsiTheme="minorHAnsi" w:cstheme="minorHAnsi"/>
          <w:i/>
        </w:rPr>
        <w:t>2024</w:t>
      </w:r>
      <w:r w:rsidR="00197879" w:rsidRPr="00F77420">
        <w:rPr>
          <w:rFonts w:asciiTheme="minorHAnsi" w:hAnsiTheme="minorHAnsi" w:cstheme="minorHAnsi"/>
          <w:i/>
        </w:rPr>
        <w:t xml:space="preserve"> </w:t>
      </w:r>
      <w:r w:rsidR="00197879" w:rsidRPr="00F77420">
        <w:rPr>
          <w:rFonts w:asciiTheme="minorHAnsi" w:hAnsiTheme="minorHAnsi" w:cstheme="minorHAnsi"/>
          <w:b/>
        </w:rPr>
        <w:t>–</w:t>
      </w:r>
      <w:r w:rsidR="00AB5142" w:rsidRPr="00F77420">
        <w:rPr>
          <w:rFonts w:asciiTheme="minorHAnsi" w:hAnsiTheme="minorHAnsi" w:cstheme="minorHAnsi"/>
          <w:b/>
        </w:rPr>
        <w:t xml:space="preserve"> </w:t>
      </w:r>
      <w:r w:rsidR="00221904" w:rsidRPr="00221904">
        <w:rPr>
          <w:rFonts w:ascii="Calibri" w:eastAsia="Times New Roman" w:hAnsi="Calibri" w:cs="Calibri"/>
          <w:b/>
          <w:bCs/>
          <w:lang w:bidi="ar-SA"/>
        </w:rPr>
        <w:t xml:space="preserve">Přestože byl květen ve znamení smíšených výsledků, na trzích nakonec </w:t>
      </w:r>
      <w:r w:rsidR="00221904" w:rsidRPr="00221904">
        <w:rPr>
          <w:rFonts w:ascii="Calibri" w:eastAsia="Times New Roman" w:hAnsi="Calibri" w:cs="Calibri"/>
          <w:lang w:bidi="ar-SA"/>
        </w:rPr>
        <w:t xml:space="preserve">převládly </w:t>
      </w:r>
      <w:r w:rsidR="00221904" w:rsidRPr="00221904">
        <w:rPr>
          <w:rFonts w:ascii="Calibri" w:eastAsia="Times New Roman" w:hAnsi="Calibri" w:cs="Calibri"/>
          <w:b/>
          <w:bCs/>
          <w:lang w:bidi="ar-SA"/>
        </w:rPr>
        <w:t xml:space="preserve">pozitivní trendy. Broker Consulting Index podílových fondů zaznamenal největší nárůst u akciových fondů, které vzrostly o více než šest procent. </w:t>
      </w:r>
      <w:r w:rsidR="00221904">
        <w:rPr>
          <w:rFonts w:asciiTheme="minorHAnsi" w:eastAsia="Times New Roman" w:hAnsiTheme="minorHAnsi" w:cstheme="minorHAnsi"/>
          <w:b/>
          <w:bCs/>
          <w:lang w:bidi="ar-SA"/>
        </w:rPr>
        <w:t>Zvýšenou volatilitu</w:t>
      </w:r>
      <w:r w:rsidR="00221904" w:rsidRPr="00221904">
        <w:rPr>
          <w:rFonts w:asciiTheme="minorHAnsi" w:eastAsia="Times New Roman" w:hAnsiTheme="minorHAnsi" w:cstheme="minorHAnsi"/>
          <w:b/>
          <w:bCs/>
          <w:lang w:bidi="ar-SA"/>
        </w:rPr>
        <w:t xml:space="preserve"> </w:t>
      </w:r>
      <w:proofErr w:type="gramStart"/>
      <w:r w:rsidR="00221904" w:rsidRPr="00221904">
        <w:rPr>
          <w:rFonts w:asciiTheme="minorHAnsi" w:eastAsia="Times New Roman" w:hAnsiTheme="minorHAnsi" w:cstheme="minorHAnsi"/>
          <w:b/>
          <w:bCs/>
          <w:lang w:bidi="ar-SA"/>
        </w:rPr>
        <w:t>jsem</w:t>
      </w:r>
      <w:proofErr w:type="gramEnd"/>
      <w:r w:rsidR="00221904" w:rsidRPr="00221904">
        <w:rPr>
          <w:rFonts w:asciiTheme="minorHAnsi" w:eastAsia="Times New Roman" w:hAnsiTheme="minorHAnsi" w:cstheme="minorHAnsi"/>
          <w:b/>
          <w:bCs/>
          <w:lang w:bidi="ar-SA"/>
        </w:rPr>
        <w:t xml:space="preserve"> </w:t>
      </w:r>
      <w:proofErr w:type="gramStart"/>
      <w:r w:rsidR="00221904" w:rsidRPr="00221904">
        <w:rPr>
          <w:rFonts w:asciiTheme="minorHAnsi" w:eastAsia="Times New Roman" w:hAnsiTheme="minorHAnsi" w:cstheme="minorHAnsi"/>
          <w:b/>
          <w:bCs/>
          <w:lang w:bidi="ar-SA"/>
        </w:rPr>
        <w:t>zaznamenali</w:t>
      </w:r>
      <w:proofErr w:type="gramEnd"/>
      <w:r w:rsidR="00221904" w:rsidRPr="00221904">
        <w:rPr>
          <w:rFonts w:asciiTheme="minorHAnsi" w:eastAsia="Times New Roman" w:hAnsiTheme="minorHAnsi" w:cstheme="minorHAnsi"/>
          <w:b/>
          <w:bCs/>
          <w:lang w:bidi="ar-SA"/>
        </w:rPr>
        <w:t xml:space="preserve"> u komoditních fondů a naopak nejslabší třídou aktiv byly v měsíci květnu fondy peněžního trhu, které po roce růstu zaznamenaly očekávaný první pokles. </w:t>
      </w:r>
    </w:p>
    <w:p w14:paraId="669D6EE0" w14:textId="77777777" w:rsidR="00221904" w:rsidRPr="00221904" w:rsidRDefault="00221904" w:rsidP="00221904">
      <w:pPr>
        <w:widowControl/>
        <w:autoSpaceDE/>
        <w:autoSpaceDN/>
        <w:spacing w:after="120"/>
        <w:ind w:right="40"/>
        <w:jc w:val="both"/>
        <w:rPr>
          <w:rFonts w:asciiTheme="minorHAnsi" w:eastAsia="Times New Roman" w:hAnsiTheme="minorHAnsi" w:cstheme="minorHAnsi"/>
          <w:b/>
          <w:bCs/>
          <w:lang w:bidi="ar-SA"/>
        </w:rPr>
      </w:pPr>
      <w:r w:rsidRPr="00221904">
        <w:rPr>
          <w:rFonts w:asciiTheme="minorHAnsi" w:eastAsia="Times New Roman" w:hAnsiTheme="minorHAnsi" w:cstheme="minorHAnsi"/>
          <w:b/>
          <w:bCs/>
          <w:lang w:bidi="ar-SA"/>
        </w:rPr>
        <w:t> </w:t>
      </w:r>
    </w:p>
    <w:p w14:paraId="40B36F73" w14:textId="5720ADA9" w:rsidR="00221904" w:rsidRPr="00221904" w:rsidRDefault="00221904" w:rsidP="00221904">
      <w:pPr>
        <w:widowControl/>
        <w:autoSpaceDE/>
        <w:autoSpaceDN/>
        <w:jc w:val="both"/>
        <w:rPr>
          <w:rFonts w:asciiTheme="minorHAnsi" w:eastAsia="Times New Roman" w:hAnsiTheme="minorHAnsi" w:cstheme="minorHAnsi"/>
          <w:lang w:bidi="ar-SA"/>
        </w:rPr>
      </w:pPr>
      <w:r w:rsidRPr="00221904">
        <w:rPr>
          <w:rFonts w:asciiTheme="minorHAnsi" w:eastAsia="Times New Roman" w:hAnsiTheme="minorHAnsi" w:cstheme="minorHAnsi"/>
          <w:lang w:bidi="ar-SA"/>
        </w:rPr>
        <w:t xml:space="preserve">Akciové fondy zaznamenaly v květnu, dle </w:t>
      </w:r>
      <w:proofErr w:type="gramStart"/>
      <w:r w:rsidRPr="00221904">
        <w:rPr>
          <w:rFonts w:asciiTheme="minorHAnsi" w:eastAsia="Times New Roman" w:hAnsiTheme="minorHAnsi" w:cstheme="minorHAnsi"/>
          <w:lang w:bidi="ar-SA"/>
        </w:rPr>
        <w:t>Broker</w:t>
      </w:r>
      <w:proofErr w:type="gramEnd"/>
      <w:r w:rsidRPr="00221904">
        <w:rPr>
          <w:rFonts w:asciiTheme="minorHAnsi" w:eastAsia="Times New Roman" w:hAnsiTheme="minorHAnsi" w:cstheme="minorHAnsi"/>
          <w:lang w:bidi="ar-SA"/>
        </w:rPr>
        <w:t xml:space="preserve"> Consulting Indexu podílových fondů, v</w:t>
      </w:r>
      <w:r>
        <w:rPr>
          <w:rFonts w:asciiTheme="minorHAnsi" w:eastAsia="Times New Roman" w:hAnsiTheme="minorHAnsi" w:cstheme="minorHAnsi"/>
          <w:lang w:bidi="ar-SA"/>
        </w:rPr>
        <w:t>ýrazný nárůst, a to o 6,03 %. „</w:t>
      </w:r>
      <w:r w:rsidRPr="00221904">
        <w:rPr>
          <w:rFonts w:asciiTheme="minorHAnsi" w:eastAsia="Times New Roman" w:hAnsiTheme="minorHAnsi" w:cstheme="minorHAnsi"/>
          <w:i/>
          <w:iCs/>
          <w:lang w:bidi="ar-SA"/>
        </w:rPr>
        <w:t xml:space="preserve">Tento růst je podporován stabilizací inflačních tlaků a optimismem ohledně ekonomického oživení, zejména po nepříznivém vývoji v předchozím měsíci. Data ukazují, že se investoři po krátké korekci opět vrátili k akciím, což se pozitivně projevilo na jejich výkonnosti,“ </w:t>
      </w:r>
      <w:r w:rsidRPr="00221904">
        <w:rPr>
          <w:rFonts w:asciiTheme="minorHAnsi" w:eastAsia="Times New Roman" w:hAnsiTheme="minorHAnsi" w:cstheme="minorHAnsi"/>
          <w:lang w:bidi="ar-SA"/>
        </w:rPr>
        <w:t xml:space="preserve">uvádí k růstu akciových fondů </w:t>
      </w:r>
      <w:r w:rsidRPr="00221904">
        <w:rPr>
          <w:rFonts w:asciiTheme="minorHAnsi" w:eastAsia="Times New Roman" w:hAnsiTheme="minorHAnsi" w:cstheme="minorHAnsi"/>
          <w:b/>
          <w:bCs/>
          <w:lang w:bidi="ar-SA"/>
        </w:rPr>
        <w:t xml:space="preserve">Martin Novák, hlavní analytik ze společnosti Broker Consulting. </w:t>
      </w:r>
      <w:bookmarkStart w:id="0" w:name="_GoBack"/>
      <w:bookmarkEnd w:id="0"/>
    </w:p>
    <w:p w14:paraId="3EC77415" w14:textId="3A506316" w:rsidR="00221904" w:rsidRDefault="00221904" w:rsidP="00221904">
      <w:pPr>
        <w:widowControl/>
        <w:autoSpaceDE/>
        <w:autoSpaceDN/>
        <w:jc w:val="both"/>
        <w:rPr>
          <w:rFonts w:asciiTheme="minorHAnsi" w:eastAsia="Times New Roman" w:hAnsiTheme="minorHAnsi" w:cstheme="minorHAnsi"/>
          <w:lang w:bidi="ar-SA"/>
        </w:rPr>
      </w:pPr>
    </w:p>
    <w:p w14:paraId="38F61710" w14:textId="142BF797" w:rsidR="00EF336B" w:rsidRPr="00221904" w:rsidRDefault="00EF336B" w:rsidP="00221904">
      <w:pPr>
        <w:widowControl/>
        <w:autoSpaceDE/>
        <w:autoSpaceDN/>
        <w:jc w:val="both"/>
        <w:rPr>
          <w:rFonts w:asciiTheme="minorHAnsi" w:eastAsia="Times New Roman" w:hAnsiTheme="minorHAnsi" w:cstheme="minorHAnsi"/>
          <w:lang w:bidi="ar-SA"/>
        </w:rPr>
      </w:pPr>
      <w:r>
        <w:rPr>
          <w:rFonts w:asciiTheme="minorHAnsi" w:eastAsia="Times New Roman" w:hAnsiTheme="minorHAnsi" w:cstheme="minorHAnsi"/>
          <w:noProof/>
          <w:lang w:bidi="ar-SA"/>
        </w:rPr>
        <w:drawing>
          <wp:inline distT="0" distB="0" distL="0" distR="0" wp14:anchorId="75C616E3" wp14:editId="727438BA">
            <wp:extent cx="6648450" cy="2584256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546" cy="259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AE2D2" w14:textId="77777777" w:rsidR="00EF336B" w:rsidRDefault="00EF336B" w:rsidP="00221904">
      <w:pPr>
        <w:widowControl/>
        <w:autoSpaceDE/>
        <w:autoSpaceDN/>
        <w:jc w:val="both"/>
        <w:rPr>
          <w:rFonts w:asciiTheme="minorHAnsi" w:eastAsia="Times New Roman" w:hAnsiTheme="minorHAnsi" w:cstheme="minorHAnsi"/>
          <w:lang w:bidi="ar-SA"/>
        </w:rPr>
      </w:pPr>
    </w:p>
    <w:p w14:paraId="04BD134A" w14:textId="6DE4CC34" w:rsidR="00221904" w:rsidRPr="00221904" w:rsidRDefault="00221904" w:rsidP="00221904">
      <w:pPr>
        <w:widowControl/>
        <w:autoSpaceDE/>
        <w:autoSpaceDN/>
        <w:jc w:val="both"/>
        <w:rPr>
          <w:rFonts w:asciiTheme="minorHAnsi" w:eastAsia="Times New Roman" w:hAnsiTheme="minorHAnsi" w:cstheme="minorHAnsi"/>
          <w:lang w:bidi="ar-SA"/>
        </w:rPr>
      </w:pPr>
      <w:r w:rsidRPr="00221904">
        <w:rPr>
          <w:rFonts w:asciiTheme="minorHAnsi" w:eastAsia="Times New Roman" w:hAnsiTheme="minorHAnsi" w:cstheme="minorHAnsi"/>
          <w:lang w:bidi="ar-SA"/>
        </w:rPr>
        <w:t xml:space="preserve">Květen přál také růstu komoditních fondů, které meziměsíčně vzrostly o 4,54 % a rostou tak již čtvrtý měsíc v řadě. Důvodem růstu je především zvýšená poptávka po zlatu v důsledku geopolitických napětí. Výrazný dopad na vývoj komoditních indexů měla také zvýšená volatilita spojená s ropou a zemním plynem. </w:t>
      </w:r>
    </w:p>
    <w:p w14:paraId="6499A033" w14:textId="77777777" w:rsidR="00221904" w:rsidRPr="00221904" w:rsidRDefault="00221904" w:rsidP="00221904">
      <w:pPr>
        <w:widowControl/>
        <w:autoSpaceDE/>
        <w:jc w:val="both"/>
        <w:rPr>
          <w:rFonts w:asciiTheme="minorHAnsi" w:eastAsia="Times New Roman" w:hAnsiTheme="minorHAnsi" w:cstheme="minorHAnsi"/>
          <w:lang w:bidi="ar-SA"/>
        </w:rPr>
      </w:pPr>
    </w:p>
    <w:p w14:paraId="74A3A5B5" w14:textId="77777777" w:rsidR="00221904" w:rsidRPr="00221904" w:rsidRDefault="00221904" w:rsidP="00221904">
      <w:pPr>
        <w:widowControl/>
        <w:autoSpaceDE/>
        <w:autoSpaceDN/>
        <w:jc w:val="both"/>
        <w:rPr>
          <w:rFonts w:asciiTheme="minorHAnsi" w:eastAsia="Times New Roman" w:hAnsiTheme="minorHAnsi" w:cstheme="minorHAnsi"/>
          <w:lang w:bidi="ar-SA"/>
        </w:rPr>
      </w:pPr>
      <w:r w:rsidRPr="00221904">
        <w:rPr>
          <w:rFonts w:asciiTheme="minorHAnsi" w:eastAsia="Times New Roman" w:hAnsiTheme="minorHAnsi" w:cstheme="minorHAnsi"/>
          <w:lang w:bidi="ar-SA"/>
        </w:rPr>
        <w:t xml:space="preserve">Další výkonnou třídou aktiv byly dluhopisové fondy, které zvýšily cenu o 1,12 %, což naznačuje pozitivní sentiment a hlavně očekávané reakce na dluhopisových trzích  „ </w:t>
      </w:r>
      <w:r w:rsidRPr="00221904">
        <w:rPr>
          <w:rFonts w:asciiTheme="minorHAnsi" w:eastAsia="Times New Roman" w:hAnsiTheme="minorHAnsi" w:cstheme="minorHAnsi"/>
          <w:i/>
          <w:iCs/>
          <w:lang w:bidi="ar-SA"/>
        </w:rPr>
        <w:t xml:space="preserve">Tento růst byl s největší pravděpodobností ovlivněn nižší inflací v eurozóně a očekáváním uvolnění měnové politiky ECB. Dluhopisy tak těžily z příznivějších ekonomických podmínek a zvýšené poptávky,“ </w:t>
      </w:r>
      <w:r w:rsidRPr="00221904">
        <w:rPr>
          <w:rFonts w:asciiTheme="minorHAnsi" w:eastAsia="Times New Roman" w:hAnsiTheme="minorHAnsi" w:cstheme="minorHAnsi"/>
          <w:lang w:bidi="ar-SA"/>
        </w:rPr>
        <w:t>komentuje výsledky Martin Novák </w:t>
      </w:r>
      <w:r w:rsidRPr="00221904">
        <w:rPr>
          <w:rFonts w:asciiTheme="minorHAnsi" w:eastAsia="Times New Roman" w:hAnsiTheme="minorHAnsi" w:cstheme="minorHAnsi"/>
          <w:b/>
          <w:bCs/>
          <w:lang w:bidi="ar-SA"/>
        </w:rPr>
        <w:t>z </w:t>
      </w:r>
      <w:proofErr w:type="gramStart"/>
      <w:r w:rsidRPr="00221904">
        <w:rPr>
          <w:rFonts w:asciiTheme="minorHAnsi" w:eastAsia="Times New Roman" w:hAnsiTheme="minorHAnsi" w:cstheme="minorHAnsi"/>
          <w:b/>
          <w:bCs/>
          <w:lang w:bidi="ar-SA"/>
        </w:rPr>
        <w:t>Broker</w:t>
      </w:r>
      <w:proofErr w:type="gramEnd"/>
      <w:r w:rsidRPr="00221904">
        <w:rPr>
          <w:rFonts w:asciiTheme="minorHAnsi" w:eastAsia="Times New Roman" w:hAnsiTheme="minorHAnsi" w:cstheme="minorHAnsi"/>
          <w:b/>
          <w:bCs/>
          <w:lang w:bidi="ar-SA"/>
        </w:rPr>
        <w:t xml:space="preserve"> Consulting. </w:t>
      </w:r>
    </w:p>
    <w:p w14:paraId="45190125" w14:textId="77777777" w:rsidR="00221904" w:rsidRPr="00221904" w:rsidRDefault="00221904" w:rsidP="00221904">
      <w:pPr>
        <w:widowControl/>
        <w:autoSpaceDE/>
        <w:autoSpaceDN/>
        <w:jc w:val="both"/>
        <w:rPr>
          <w:rFonts w:asciiTheme="minorHAnsi" w:eastAsia="Times New Roman" w:hAnsiTheme="minorHAnsi" w:cstheme="minorHAnsi"/>
          <w:lang w:bidi="ar-SA"/>
        </w:rPr>
      </w:pPr>
    </w:p>
    <w:p w14:paraId="6B4DD3F6" w14:textId="77777777" w:rsidR="00221904" w:rsidRPr="00221904" w:rsidRDefault="00221904" w:rsidP="00221904">
      <w:pPr>
        <w:widowControl/>
        <w:autoSpaceDE/>
        <w:autoSpaceDN/>
        <w:jc w:val="both"/>
        <w:rPr>
          <w:rFonts w:asciiTheme="minorHAnsi" w:eastAsia="Times New Roman" w:hAnsiTheme="minorHAnsi" w:cstheme="minorHAnsi"/>
          <w:lang w:bidi="ar-SA"/>
        </w:rPr>
      </w:pPr>
      <w:r w:rsidRPr="00221904">
        <w:rPr>
          <w:rFonts w:asciiTheme="minorHAnsi" w:eastAsia="Times New Roman" w:hAnsiTheme="minorHAnsi" w:cstheme="minorHAnsi"/>
          <w:lang w:bidi="ar-SA"/>
        </w:rPr>
        <w:t xml:space="preserve">Mírný nárůst byl evidován také u nemovitostních fondů, které nepřetržitě rostou již čtrnáct měsíců za sebou. Nárůst o 0,34 % potvrzuje jejich stabilitu jako investiční třídy i v době zvýšené tržní volatility. Nemovitosti nadále těží z trvalého zájmu investorů, kteří hledají bezpečné a stabilní výnosy. Tento růst poukazuje na pokračující důvěru v nemovitostní </w:t>
      </w:r>
      <w:r w:rsidRPr="00221904">
        <w:rPr>
          <w:rFonts w:asciiTheme="minorHAnsi" w:eastAsia="Times New Roman" w:hAnsiTheme="minorHAnsi" w:cstheme="minorHAnsi"/>
          <w:lang w:bidi="ar-SA"/>
        </w:rPr>
        <w:lastRenderedPageBreak/>
        <w:t xml:space="preserve">sektor. Z nejnovějšího průzkumu společnosti Broker Consulting ve spolupráci s výzkumnou agenturou Ipsos vyplynulo, že více než třetina českých investorů investuje právě do nemovitostí. </w:t>
      </w:r>
    </w:p>
    <w:p w14:paraId="23C9774F" w14:textId="77777777" w:rsidR="00221904" w:rsidRPr="00221904" w:rsidRDefault="00221904" w:rsidP="00221904">
      <w:pPr>
        <w:widowControl/>
        <w:autoSpaceDE/>
        <w:autoSpaceDN/>
        <w:jc w:val="both"/>
        <w:rPr>
          <w:rFonts w:asciiTheme="minorHAnsi" w:eastAsia="Times New Roman" w:hAnsiTheme="minorHAnsi" w:cstheme="minorHAnsi"/>
          <w:lang w:bidi="ar-SA"/>
        </w:rPr>
      </w:pPr>
    </w:p>
    <w:p w14:paraId="20758EED" w14:textId="331B8C8E" w:rsidR="00CA0ABB" w:rsidRPr="00221904" w:rsidRDefault="00221904" w:rsidP="00221904">
      <w:pPr>
        <w:widowControl/>
        <w:autoSpaceDE/>
        <w:autoSpaceDN/>
        <w:spacing w:after="240"/>
        <w:jc w:val="both"/>
        <w:rPr>
          <w:rFonts w:asciiTheme="minorHAnsi" w:eastAsia="Times New Roman" w:hAnsiTheme="minorHAnsi" w:cstheme="minorHAnsi"/>
          <w:lang w:bidi="ar-SA"/>
        </w:rPr>
      </w:pPr>
      <w:r w:rsidRPr="00221904">
        <w:rPr>
          <w:rFonts w:asciiTheme="minorHAnsi" w:eastAsia="Times New Roman" w:hAnsiTheme="minorHAnsi" w:cstheme="minorHAnsi"/>
          <w:lang w:bidi="ar-SA"/>
        </w:rPr>
        <w:t xml:space="preserve">V záporných číslech však v květnu skončily fondy peněžního trhu, které poklesly o 1,03 %. Tento pokles může odrážet přesun kapitálu do rizikovějších aktiv. „ </w:t>
      </w:r>
      <w:r w:rsidRPr="00221904">
        <w:rPr>
          <w:rFonts w:asciiTheme="minorHAnsi" w:eastAsia="Times New Roman" w:hAnsiTheme="minorHAnsi" w:cstheme="minorHAnsi"/>
          <w:i/>
          <w:iCs/>
          <w:lang w:bidi="ar-SA"/>
        </w:rPr>
        <w:t xml:space="preserve">Zdá se, že investoři začínají kvůli poklesu úrokových sazeb hledat vyšší výnosy mimo peněžní trh, což vedlo k menším ztrátám v této kategorii,“ </w:t>
      </w:r>
      <w:r w:rsidRPr="00221904">
        <w:rPr>
          <w:rFonts w:asciiTheme="minorHAnsi" w:eastAsia="Times New Roman" w:hAnsiTheme="minorHAnsi" w:cstheme="minorHAnsi"/>
          <w:lang w:bidi="ar-SA"/>
        </w:rPr>
        <w:t xml:space="preserve">dodává </w:t>
      </w:r>
      <w:r w:rsidRPr="00221904">
        <w:rPr>
          <w:rFonts w:asciiTheme="minorHAnsi" w:eastAsia="Times New Roman" w:hAnsiTheme="minorHAnsi" w:cstheme="minorHAnsi"/>
          <w:b/>
          <w:bCs/>
          <w:lang w:bidi="ar-SA"/>
        </w:rPr>
        <w:t xml:space="preserve">Martin </w:t>
      </w:r>
      <w:proofErr w:type="gramStart"/>
      <w:r w:rsidRPr="00221904">
        <w:rPr>
          <w:rFonts w:asciiTheme="minorHAnsi" w:eastAsia="Times New Roman" w:hAnsiTheme="minorHAnsi" w:cstheme="minorHAnsi"/>
          <w:b/>
          <w:bCs/>
          <w:lang w:bidi="ar-SA"/>
        </w:rPr>
        <w:t xml:space="preserve">Novák </w:t>
      </w:r>
      <w:r w:rsidRPr="00221904">
        <w:rPr>
          <w:rFonts w:asciiTheme="minorHAnsi" w:eastAsia="Times New Roman" w:hAnsiTheme="minorHAnsi" w:cstheme="minorHAnsi"/>
          <w:lang w:bidi="ar-SA"/>
        </w:rPr>
        <w:t>. Fondy</w:t>
      </w:r>
      <w:proofErr w:type="gramEnd"/>
      <w:r w:rsidRPr="00221904">
        <w:rPr>
          <w:rFonts w:asciiTheme="minorHAnsi" w:eastAsia="Times New Roman" w:hAnsiTheme="minorHAnsi" w:cstheme="minorHAnsi"/>
          <w:lang w:bidi="ar-SA"/>
        </w:rPr>
        <w:t xml:space="preserve"> peněžního trhu nicméně nadále poskytují velmi zajímavý výnos v kombinaci s minimálním rizikem.  </w:t>
      </w:r>
    </w:p>
    <w:p w14:paraId="5E2AEAB1" w14:textId="02F3A635" w:rsidR="00F77420" w:rsidRPr="00F77420" w:rsidRDefault="00F77420" w:rsidP="00F77420">
      <w:pPr>
        <w:spacing w:after="240"/>
        <w:jc w:val="both"/>
        <w:rPr>
          <w:rFonts w:asciiTheme="minorHAnsi" w:hAnsiTheme="minorHAnsi" w:cstheme="minorHAnsi"/>
        </w:rPr>
      </w:pPr>
      <w:r w:rsidRPr="00EB5D1C">
        <w:rPr>
          <w:noProof/>
          <w:lang w:bidi="ar-SA"/>
        </w:rPr>
        <w:drawing>
          <wp:inline distT="0" distB="0" distL="0" distR="0" wp14:anchorId="583BFFB1" wp14:editId="152090B3">
            <wp:extent cx="6489700" cy="1488855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606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32F4B" w14:textId="161248D5" w:rsidR="007D4A8D" w:rsidRPr="00E341D6" w:rsidRDefault="001A5E5C" w:rsidP="00EF651C">
      <w:pPr>
        <w:spacing w:before="240"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</w:t>
      </w:r>
    </w:p>
    <w:p w14:paraId="54B92E82" w14:textId="0401AC97" w:rsidR="00E341D6" w:rsidRPr="00A07F59" w:rsidRDefault="00CF090B" w:rsidP="00165641">
      <w:pPr>
        <w:spacing w:before="120" w:after="120"/>
        <w:rPr>
          <w:rFonts w:asciiTheme="minorHAnsi" w:eastAsia="Times New Roman" w:hAnsiTheme="minorHAnsi" w:cstheme="minorHAnsi"/>
          <w:sz w:val="21"/>
          <w:szCs w:val="21"/>
        </w:rPr>
      </w:pPr>
      <w:r w:rsidRPr="00A07F59">
        <w:rPr>
          <w:rFonts w:asciiTheme="minorHAnsi" w:eastAsia="Times New Roman" w:hAnsiTheme="minorHAnsi" w:cstheme="minorHAnsi"/>
          <w:b/>
          <w:sz w:val="21"/>
          <w:szCs w:val="21"/>
        </w:rPr>
        <w:t>Index podílových fondů</w:t>
      </w:r>
      <w:r w:rsidRPr="00A07F59">
        <w:rPr>
          <w:rFonts w:asciiTheme="minorHAnsi" w:eastAsia="Times New Roman" w:hAnsiTheme="minorHAnsi" w:cstheme="minorHAnsi"/>
          <w:sz w:val="21"/>
          <w:szCs w:val="21"/>
        </w:rPr>
        <w:t xml:space="preserve"> reprezentuje portfolio převážně českého investora. U akciových fondů nebere v potaz úzké regionální či sektorové zaměření, ale zaměřuje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komodit. U dluhopisových fondů klade index větší důraz na české a evropské dluhopisové fondy, ale ve výkonnosti zohledňuje i dluhopisové fondy investující do státních dluhopisů různých ekonomik a také dluhopisové fondy zaměřující </w:t>
      </w:r>
      <w:r w:rsidR="00165641">
        <w:rPr>
          <w:rFonts w:asciiTheme="minorHAnsi" w:eastAsia="Times New Roman" w:hAnsiTheme="minorHAnsi" w:cstheme="minorHAnsi"/>
          <w:sz w:val="21"/>
          <w:szCs w:val="21"/>
        </w:rPr>
        <w:t xml:space="preserve">se </w:t>
      </w:r>
      <w:r w:rsidRPr="00A07F59">
        <w:rPr>
          <w:rFonts w:asciiTheme="minorHAnsi" w:eastAsia="Times New Roman" w:hAnsiTheme="minorHAnsi" w:cstheme="minorHAnsi"/>
          <w:sz w:val="21"/>
          <w:szCs w:val="21"/>
        </w:rPr>
        <w:t>na rizikovější dluhopisy, ale již s menší vahou. U peněžních fondů a nemovitostních fondů je sledována pouze výkonnost českých podílových fondů.</w:t>
      </w:r>
    </w:p>
    <w:p w14:paraId="1C871B74" w14:textId="1C7287B5" w:rsidR="00CF090B" w:rsidRPr="00A07F59" w:rsidRDefault="00CF090B" w:rsidP="00165641">
      <w:pPr>
        <w:spacing w:before="120" w:after="120"/>
        <w:rPr>
          <w:rFonts w:asciiTheme="minorHAnsi" w:eastAsia="Times New Roman" w:hAnsiTheme="minorHAnsi" w:cstheme="minorHAnsi"/>
          <w:sz w:val="21"/>
          <w:szCs w:val="21"/>
        </w:rPr>
      </w:pPr>
      <w:r w:rsidRPr="00A07F59">
        <w:rPr>
          <w:rFonts w:asciiTheme="minorHAnsi" w:hAnsiTheme="minorHAnsi" w:cstheme="minorHAnsi"/>
          <w:b/>
          <w:sz w:val="21"/>
          <w:szCs w:val="21"/>
        </w:rPr>
        <w:t xml:space="preserve">Proč je dobré tento index sledovat: </w:t>
      </w:r>
      <w:r w:rsidRPr="00A07F59">
        <w:rPr>
          <w:rFonts w:asciiTheme="minorHAnsi" w:hAnsiTheme="minorHAnsi" w:cstheme="minorHAnsi"/>
          <w:sz w:val="21"/>
          <w:szCs w:val="21"/>
        </w:rPr>
        <w:t xml:space="preserve">Čeští investoři mají v podílových fondech zainvestován majetek ve výši zhruba 557 miliard korun. Fondy jsou velmi využívanou platformou pro dlouhodobé investování, zejména při vytváření rezerv pro </w:t>
      </w:r>
      <w:proofErr w:type="spellStart"/>
      <w:r w:rsidR="00165641">
        <w:rPr>
          <w:rFonts w:asciiTheme="minorHAnsi" w:hAnsiTheme="minorHAnsi" w:cstheme="minorHAnsi"/>
          <w:sz w:val="21"/>
          <w:szCs w:val="21"/>
        </w:rPr>
        <w:t>postaktivní</w:t>
      </w:r>
      <w:proofErr w:type="spellEnd"/>
      <w:r w:rsidRPr="00A07F59">
        <w:rPr>
          <w:rFonts w:asciiTheme="minorHAnsi" w:hAnsiTheme="minorHAnsi" w:cstheme="minorHAnsi"/>
          <w:sz w:val="21"/>
          <w:szCs w:val="21"/>
        </w:rPr>
        <w:t xml:space="preserve"> věk (60+). Index ukazuje, jak se vede fondům dle jednotlivých tříd investičních aktiv. Investoři si mohou mimo jiné srovnávat,  jak si jimi vybrané fondy vedou v porovnání s průměrem trhu.</w:t>
      </w:r>
    </w:p>
    <w:p w14:paraId="3680EF94" w14:textId="39AEDB2D" w:rsidR="00CF090B" w:rsidRPr="00A07F59" w:rsidRDefault="00CF090B" w:rsidP="00CF090B">
      <w:pPr>
        <w:pStyle w:val="Zkladntext"/>
        <w:pBdr>
          <w:bottom w:val="single" w:sz="4" w:space="1" w:color="auto"/>
        </w:pBdr>
        <w:spacing w:before="33" w:line="237" w:lineRule="auto"/>
        <w:rPr>
          <w:rFonts w:asciiTheme="minorHAnsi" w:hAnsiTheme="minorHAnsi" w:cstheme="minorHAnsi"/>
          <w:b/>
          <w:sz w:val="21"/>
          <w:szCs w:val="21"/>
        </w:rPr>
      </w:pPr>
    </w:p>
    <w:p w14:paraId="0B73DDFB" w14:textId="74EAC26A" w:rsidR="00CF090B" w:rsidRPr="00A07F59" w:rsidRDefault="00CF090B" w:rsidP="00CF090B">
      <w:pPr>
        <w:spacing w:before="120" w:after="120"/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</w:pPr>
      <w:r w:rsidRPr="00A07F59">
        <w:rPr>
          <w:rFonts w:asciiTheme="minorHAnsi" w:hAnsiTheme="minorHAnsi" w:cstheme="minorHAnsi"/>
          <w:b/>
          <w:sz w:val="21"/>
          <w:szCs w:val="21"/>
        </w:rPr>
        <w:t>Poznámka pro média:</w:t>
      </w:r>
      <w:r w:rsidRPr="00A07F59">
        <w:rPr>
          <w:rFonts w:asciiTheme="minorHAnsi" w:hAnsiTheme="minorHAnsi" w:cstheme="minorHAnsi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Broker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Indexy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je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možné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volně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spacing w:val="2"/>
          <w:w w:val="105"/>
          <w:sz w:val="21"/>
          <w:szCs w:val="21"/>
        </w:rPr>
        <w:t>publikovat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pouze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s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označením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„Broker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Consulting</w:t>
      </w:r>
      <w:r w:rsidRPr="00A07F59">
        <w:rPr>
          <w:rFonts w:asciiTheme="minorHAnsi" w:hAnsiTheme="minorHAnsi" w:cstheme="minorHAnsi"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Index“</w:t>
      </w:r>
      <w:r w:rsidRPr="00A07F59">
        <w:rPr>
          <w:rFonts w:asciiTheme="minorHAnsi" w:hAnsiTheme="minorHAnsi" w:cstheme="minorHAnsi"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color w:val="1D1D1B"/>
          <w:spacing w:val="-3"/>
          <w:w w:val="105"/>
          <w:sz w:val="21"/>
          <w:szCs w:val="21"/>
        </w:rPr>
        <w:t>(</w:t>
      </w:r>
      <w:r w:rsidRPr="00A07F59">
        <w:rPr>
          <w:rFonts w:asciiTheme="minorHAnsi" w:hAnsiTheme="minorHAnsi" w:cstheme="minorHAnsi"/>
          <w:i/>
          <w:color w:val="1D1D1B"/>
          <w:spacing w:val="-3"/>
          <w:w w:val="105"/>
          <w:sz w:val="21"/>
          <w:szCs w:val="21"/>
        </w:rPr>
        <w:t>např.</w:t>
      </w:r>
      <w:r w:rsidRPr="00A07F59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Broker</w:t>
      </w:r>
      <w:r w:rsidRPr="00A07F59">
        <w:rPr>
          <w:rFonts w:asciiTheme="minorHAnsi" w:hAnsiTheme="minorHAnsi" w:cstheme="minorHAnsi"/>
          <w:i/>
          <w:color w:val="1D1D1B"/>
          <w:spacing w:val="-9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>Consulting</w:t>
      </w:r>
      <w:r w:rsidRPr="00A07F59">
        <w:rPr>
          <w:rFonts w:asciiTheme="minorHAnsi" w:hAnsiTheme="minorHAnsi" w:cstheme="minorHAnsi"/>
          <w:i/>
          <w:color w:val="1D1D1B"/>
          <w:spacing w:val="-8"/>
          <w:w w:val="105"/>
          <w:sz w:val="21"/>
          <w:szCs w:val="21"/>
        </w:rPr>
        <w:t xml:space="preserve"> </w:t>
      </w:r>
      <w:r w:rsidRPr="00A07F59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Index hypotečních úvěrů). Více informací najdete též na webu </w:t>
      </w:r>
      <w:hyperlink r:id="rId22" w:history="1">
        <w:r w:rsidR="00570828" w:rsidRPr="00A07F59">
          <w:rPr>
            <w:rStyle w:val="Hypertextovodkaz"/>
            <w:rFonts w:asciiTheme="minorHAnsi" w:hAnsiTheme="minorHAnsi" w:cstheme="minorHAnsi"/>
            <w:i/>
            <w:w w:val="105"/>
            <w:sz w:val="21"/>
            <w:szCs w:val="21"/>
          </w:rPr>
          <w:t>https://www.bcas.cz/onas/pro-media/</w:t>
        </w:r>
      </w:hyperlink>
      <w:r w:rsidRPr="00A07F59">
        <w:rPr>
          <w:rFonts w:asciiTheme="minorHAnsi" w:hAnsiTheme="minorHAnsi" w:cstheme="minorHAnsi"/>
          <w:i/>
          <w:color w:val="1D1D1B"/>
          <w:w w:val="105"/>
          <w:sz w:val="21"/>
          <w:szCs w:val="21"/>
        </w:rPr>
        <w:t xml:space="preserve">. </w:t>
      </w:r>
    </w:p>
    <w:p w14:paraId="78EBB8C7" w14:textId="123C905B" w:rsidR="00570828" w:rsidRPr="00A07F59" w:rsidRDefault="00570828" w:rsidP="00570828">
      <w:pPr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</w:pPr>
      <w:r w:rsidRPr="00A07F59">
        <w:rPr>
          <w:rFonts w:asciiTheme="minorHAnsi" w:hAnsiTheme="minorHAnsi" w:cstheme="minorHAnsi"/>
          <w:b/>
          <w:color w:val="FF0000"/>
          <w:w w:val="105"/>
          <w:sz w:val="21"/>
          <w:szCs w:val="21"/>
        </w:rPr>
        <w:t>Broker Consulting Indexy je nyní možné sledovat v interaktivní formě na webu</w:t>
      </w:r>
      <w:r w:rsidRPr="00A07F59">
        <w:rPr>
          <w:rFonts w:asciiTheme="minorHAnsi" w:hAnsiTheme="minorHAnsi" w:cstheme="minorHAnsi"/>
          <w:color w:val="1D1D1B"/>
          <w:w w:val="105"/>
          <w:sz w:val="21"/>
          <w:szCs w:val="21"/>
        </w:rPr>
        <w:t>. Zde lze zároveň exportovat zdrojová data ke grafům. Vice dostupné na odkaze</w:t>
      </w:r>
      <w:r w:rsidRPr="00A07F59"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: </w:t>
      </w:r>
      <w:hyperlink r:id="rId23" w:history="1">
        <w:r w:rsidRPr="00A07F59">
          <w:rPr>
            <w:rStyle w:val="Hypertextovodkaz"/>
            <w:rFonts w:asciiTheme="minorHAnsi" w:hAnsiTheme="minorHAnsi" w:cstheme="minorHAnsi"/>
            <w:b/>
            <w:w w:val="105"/>
            <w:sz w:val="21"/>
            <w:szCs w:val="21"/>
          </w:rPr>
          <w:t>https://www.bcas.cz/o-nas/broker-consulting-index-podilovych-fondu/</w:t>
        </w:r>
      </w:hyperlink>
      <w:r w:rsidRPr="00A07F59">
        <w:rPr>
          <w:rFonts w:asciiTheme="minorHAnsi" w:hAnsiTheme="minorHAnsi" w:cstheme="minorHAnsi"/>
          <w:b/>
          <w:color w:val="1D1D1B"/>
          <w:w w:val="105"/>
          <w:sz w:val="21"/>
          <w:szCs w:val="21"/>
        </w:rPr>
        <w:t xml:space="preserve">. </w:t>
      </w:r>
    </w:p>
    <w:p w14:paraId="5F353CA7" w14:textId="60E263C1" w:rsidR="00CF090B" w:rsidRPr="00A07F59" w:rsidRDefault="00CF090B" w:rsidP="00CF090B">
      <w:pPr>
        <w:jc w:val="both"/>
        <w:rPr>
          <w:rFonts w:asciiTheme="minorHAnsi" w:eastAsia="Calibri" w:hAnsiTheme="minorHAnsi" w:cstheme="minorHAnsi"/>
          <w:b/>
          <w:bCs/>
          <w:noProof/>
          <w:sz w:val="21"/>
          <w:szCs w:val="21"/>
        </w:rPr>
      </w:pPr>
    </w:p>
    <w:p w14:paraId="1864B1E8" w14:textId="77777777" w:rsidR="00CF090B" w:rsidRPr="00EA2CE5" w:rsidRDefault="00CF090B" w:rsidP="00CF090B">
      <w:pPr>
        <w:jc w:val="both"/>
        <w:rPr>
          <w:rFonts w:asciiTheme="minorHAnsi" w:eastAsia="Calibri" w:hAnsiTheme="minorHAnsi" w:cstheme="minorHAnsi"/>
          <w:b/>
          <w:bCs/>
          <w:noProof/>
          <w:sz w:val="21"/>
          <w:szCs w:val="21"/>
        </w:rPr>
      </w:pPr>
      <w:r w:rsidRPr="00EA2CE5">
        <w:rPr>
          <w:rFonts w:asciiTheme="minorHAnsi" w:eastAsia="Calibri" w:hAnsiTheme="minorHAnsi" w:cstheme="minorHAnsi"/>
          <w:b/>
          <w:bCs/>
          <w:noProof/>
          <w:sz w:val="21"/>
          <w:szCs w:val="21"/>
        </w:rPr>
        <w:t>Kontakt pro média:</w:t>
      </w:r>
    </w:p>
    <w:p w14:paraId="146E623E" w14:textId="77777777" w:rsidR="00EA2CE5" w:rsidRPr="00EA2CE5" w:rsidRDefault="00CF090B" w:rsidP="00EA2CE5">
      <w:pPr>
        <w:pStyle w:val="Normlnweb"/>
        <w:spacing w:before="0" w:beforeAutospacing="0"/>
        <w:rPr>
          <w:rFonts w:asciiTheme="minorHAnsi" w:eastAsia="Times New Roman" w:hAnsiTheme="minorHAnsi" w:cstheme="minorHAnsi"/>
          <w:color w:val="000000"/>
          <w:sz w:val="21"/>
          <w:szCs w:val="21"/>
        </w:rPr>
      </w:pPr>
      <w:r w:rsidRPr="00EA2CE5">
        <w:rPr>
          <w:rFonts w:asciiTheme="minorHAnsi" w:hAnsiTheme="minorHAnsi" w:cstheme="minorHAnsi"/>
          <w:sz w:val="21"/>
          <w:szCs w:val="21"/>
        </w:rPr>
        <w:br/>
      </w:r>
      <w:r w:rsidR="00EA2CE5" w:rsidRPr="00EA2CE5">
        <w:rPr>
          <w:rFonts w:asciiTheme="minorHAnsi" w:hAnsiTheme="minorHAnsi" w:cstheme="minorHAnsi"/>
          <w:color w:val="000000"/>
          <w:sz w:val="21"/>
          <w:szCs w:val="21"/>
        </w:rPr>
        <w:t>Lenka Kuželová, specialistka PR</w:t>
      </w:r>
    </w:p>
    <w:p w14:paraId="69BBB3B8" w14:textId="77777777" w:rsidR="00EA2CE5" w:rsidRPr="00EA2CE5" w:rsidRDefault="00EA2CE5" w:rsidP="00EA2CE5">
      <w:pPr>
        <w:pStyle w:val="Normlnweb"/>
        <w:spacing w:before="0" w:beforeAutospacing="0"/>
        <w:rPr>
          <w:rFonts w:asciiTheme="minorHAnsi" w:hAnsiTheme="minorHAnsi" w:cstheme="minorHAnsi"/>
          <w:color w:val="000000"/>
          <w:sz w:val="21"/>
          <w:szCs w:val="21"/>
        </w:rPr>
      </w:pPr>
      <w:r w:rsidRPr="00EA2CE5">
        <w:rPr>
          <w:rFonts w:asciiTheme="minorHAnsi" w:hAnsiTheme="minorHAnsi" w:cstheme="minorHAnsi"/>
          <w:color w:val="000000"/>
          <w:sz w:val="21"/>
          <w:szCs w:val="21"/>
        </w:rPr>
        <w:t>Mobil: +420 731 537 696, e-mail: </w:t>
      </w:r>
      <w:hyperlink r:id="rId24" w:history="1">
        <w:r w:rsidRPr="00EA2CE5">
          <w:rPr>
            <w:rStyle w:val="Hypertextovodkaz"/>
            <w:rFonts w:asciiTheme="minorHAnsi" w:hAnsiTheme="minorHAnsi" w:cstheme="minorHAnsi"/>
            <w:color w:val="E42613"/>
            <w:sz w:val="21"/>
            <w:szCs w:val="21"/>
          </w:rPr>
          <w:t>lenka.kuzelova@bcas.cz</w:t>
        </w:r>
      </w:hyperlink>
    </w:p>
    <w:p w14:paraId="6A09BF96" w14:textId="62266224" w:rsidR="00EA2CE5" w:rsidRPr="009B7C6D" w:rsidRDefault="00EA2CE5" w:rsidP="00EA2CE5">
      <w:pPr>
        <w:jc w:val="both"/>
        <w:rPr>
          <w:rFonts w:eastAsia="Calibri" w:cstheme="minorHAnsi"/>
          <w:bCs/>
          <w:noProof/>
          <w:sz w:val="21"/>
          <w:szCs w:val="21"/>
        </w:rPr>
      </w:pPr>
    </w:p>
    <w:p w14:paraId="025F1B2F" w14:textId="5F2EB97C" w:rsidR="00D60D98" w:rsidRPr="009B7C6D" w:rsidRDefault="00D60D98" w:rsidP="000B0291">
      <w:pPr>
        <w:pStyle w:val="Bezmezer"/>
        <w:rPr>
          <w:rFonts w:eastAsia="Calibri" w:cstheme="minorHAnsi"/>
          <w:bCs/>
          <w:noProof/>
          <w:sz w:val="21"/>
          <w:szCs w:val="21"/>
        </w:rPr>
      </w:pPr>
    </w:p>
    <w:sectPr w:rsidR="00D60D98" w:rsidRPr="009B7C6D" w:rsidSect="00EA2CE5">
      <w:type w:val="continuous"/>
      <w:pgSz w:w="11910" w:h="16840"/>
      <w:pgMar w:top="960" w:right="740" w:bottom="2127" w:left="720" w:header="680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7377E" w14:textId="77777777" w:rsidR="006062EB" w:rsidRDefault="006062EB">
      <w:r>
        <w:separator/>
      </w:r>
    </w:p>
  </w:endnote>
  <w:endnote w:type="continuationSeparator" w:id="0">
    <w:p w14:paraId="616C2BEE" w14:textId="77777777" w:rsidR="006062EB" w:rsidRDefault="00606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688236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  <w:szCs w:val="20"/>
      </w:rPr>
    </w:sdtEndPr>
    <w:sdtContent>
      <w:p w14:paraId="31E4FAE1" w14:textId="0F172CCD" w:rsidR="00EA2CE5" w:rsidRPr="00EA2CE5" w:rsidRDefault="00EA2CE5">
        <w:pPr>
          <w:pStyle w:val="Zpat"/>
          <w:jc w:val="center"/>
          <w:rPr>
            <w:rFonts w:asciiTheme="minorHAnsi" w:hAnsiTheme="minorHAnsi" w:cstheme="minorHAnsi"/>
            <w:sz w:val="20"/>
            <w:szCs w:val="20"/>
          </w:rPr>
        </w:pPr>
        <w:r w:rsidRPr="00EA2CE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EA2CE5">
          <w:rPr>
            <w:rFonts w:asciiTheme="minorHAnsi" w:hAnsiTheme="minorHAnsi" w:cstheme="minorHAnsi"/>
            <w:sz w:val="20"/>
            <w:szCs w:val="20"/>
          </w:rPr>
          <w:instrText>PAGE   \* MERGEFORMAT</w:instrText>
        </w:r>
        <w:r w:rsidRPr="00EA2CE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EF336B">
          <w:rPr>
            <w:rFonts w:asciiTheme="minorHAnsi" w:hAnsiTheme="minorHAnsi" w:cstheme="minorHAnsi"/>
            <w:noProof/>
            <w:sz w:val="20"/>
            <w:szCs w:val="20"/>
          </w:rPr>
          <w:t>3</w:t>
        </w:r>
        <w:r w:rsidRPr="00EA2CE5">
          <w:rPr>
            <w:rFonts w:asciiTheme="minorHAnsi" w:hAnsiTheme="minorHAnsi" w:cstheme="minorHAnsi"/>
            <w:sz w:val="20"/>
            <w:szCs w:val="20"/>
          </w:rPr>
          <w:fldChar w:fldCharType="end"/>
        </w:r>
        <w:r>
          <w:rPr>
            <w:rFonts w:asciiTheme="minorHAnsi" w:hAnsiTheme="minorHAnsi" w:cstheme="minorHAnsi"/>
            <w:sz w:val="20"/>
            <w:szCs w:val="20"/>
          </w:rPr>
          <w:t>/2</w:t>
        </w:r>
      </w:p>
    </w:sdtContent>
  </w:sdt>
  <w:p w14:paraId="1744C53E" w14:textId="0E45F0AC" w:rsidR="00D31127" w:rsidRPr="001675AF" w:rsidRDefault="00D31127" w:rsidP="001675A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77B7B1" w14:textId="77777777" w:rsidR="006062EB" w:rsidRDefault="006062EB">
      <w:r>
        <w:separator/>
      </w:r>
    </w:p>
  </w:footnote>
  <w:footnote w:type="continuationSeparator" w:id="0">
    <w:p w14:paraId="5A69CBE6" w14:textId="77777777" w:rsidR="006062EB" w:rsidRDefault="00606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D544F0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D544F0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D544F0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44F0">
      <w:rPr>
        <w:rFonts w:asciiTheme="minorHAnsi" w:hAnsiTheme="minorHAnsi" w:cstheme="minorHAnsi"/>
        <w:color w:val="1D1D1B"/>
      </w:rPr>
      <w:t>BROKER CONSULTING</w:t>
    </w:r>
  </w:p>
  <w:p w14:paraId="07739BB1" w14:textId="6D5E6F51" w:rsidR="00D80B6D" w:rsidRPr="00D544F0" w:rsidRDefault="009F59EE" w:rsidP="009F59EE">
    <w:pPr>
      <w:spacing w:before="85"/>
      <w:ind w:left="1440" w:firstLine="720"/>
      <w:rPr>
        <w:rFonts w:asciiTheme="minorHAnsi" w:hAnsiTheme="minorHAnsi" w:cstheme="minorHAnsi"/>
        <w:sz w:val="28"/>
        <w:szCs w:val="28"/>
      </w:rPr>
    </w:pPr>
    <w:r w:rsidRPr="00D544F0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9F2CEE" w:rsidRPr="00D544F0">
      <w:rPr>
        <w:rFonts w:asciiTheme="minorHAnsi" w:hAnsiTheme="minorHAnsi" w:cstheme="minorHAnsi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70857"/>
    <w:multiLevelType w:val="hybridMultilevel"/>
    <w:tmpl w:val="A4AAA53E"/>
    <w:lvl w:ilvl="0" w:tplc="8054A424">
      <w:start w:val="2"/>
      <w:numFmt w:val="bullet"/>
      <w:lvlText w:val="-"/>
      <w:lvlJc w:val="left"/>
      <w:pPr>
        <w:ind w:left="720" w:hanging="360"/>
      </w:pPr>
      <w:rPr>
        <w:rFonts w:ascii="Calibri" w:eastAsia="F015TEELig" w:hAnsi="Calibri" w:cs="Calibri" w:hint="default"/>
        <w:color w:val="auto"/>
        <w:sz w:val="2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2" w15:restartNumberingAfterBreak="0">
    <w:nsid w:val="52792557"/>
    <w:multiLevelType w:val="hybridMultilevel"/>
    <w:tmpl w:val="6F98AE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2221"/>
    <w:rsid w:val="00003FF5"/>
    <w:rsid w:val="000053DF"/>
    <w:rsid w:val="000123ED"/>
    <w:rsid w:val="00014E09"/>
    <w:rsid w:val="00020EC7"/>
    <w:rsid w:val="000220E4"/>
    <w:rsid w:val="000239F7"/>
    <w:rsid w:val="00025AB1"/>
    <w:rsid w:val="00026F23"/>
    <w:rsid w:val="000277AC"/>
    <w:rsid w:val="0003028F"/>
    <w:rsid w:val="000313E1"/>
    <w:rsid w:val="000324E2"/>
    <w:rsid w:val="00032D62"/>
    <w:rsid w:val="00032D94"/>
    <w:rsid w:val="00034402"/>
    <w:rsid w:val="00035267"/>
    <w:rsid w:val="000356CB"/>
    <w:rsid w:val="000356FA"/>
    <w:rsid w:val="000374D7"/>
    <w:rsid w:val="00037DAF"/>
    <w:rsid w:val="000400E4"/>
    <w:rsid w:val="000474CD"/>
    <w:rsid w:val="000479F1"/>
    <w:rsid w:val="00051030"/>
    <w:rsid w:val="0005423A"/>
    <w:rsid w:val="00054A18"/>
    <w:rsid w:val="00056D05"/>
    <w:rsid w:val="00057E7F"/>
    <w:rsid w:val="000600DC"/>
    <w:rsid w:val="0006012F"/>
    <w:rsid w:val="000611E3"/>
    <w:rsid w:val="000663B6"/>
    <w:rsid w:val="00070DAC"/>
    <w:rsid w:val="00073AD9"/>
    <w:rsid w:val="00074539"/>
    <w:rsid w:val="0007624D"/>
    <w:rsid w:val="000766E7"/>
    <w:rsid w:val="00080BB8"/>
    <w:rsid w:val="00081616"/>
    <w:rsid w:val="0008288F"/>
    <w:rsid w:val="000853D4"/>
    <w:rsid w:val="00090CF3"/>
    <w:rsid w:val="0009776B"/>
    <w:rsid w:val="000A60B9"/>
    <w:rsid w:val="000A7CEE"/>
    <w:rsid w:val="000B0291"/>
    <w:rsid w:val="000B060E"/>
    <w:rsid w:val="000B6B6D"/>
    <w:rsid w:val="000C45C7"/>
    <w:rsid w:val="000C5411"/>
    <w:rsid w:val="000D14E2"/>
    <w:rsid w:val="000D3E1D"/>
    <w:rsid w:val="000D46D7"/>
    <w:rsid w:val="000E1018"/>
    <w:rsid w:val="000E1085"/>
    <w:rsid w:val="000E1337"/>
    <w:rsid w:val="000E3086"/>
    <w:rsid w:val="000E3D86"/>
    <w:rsid w:val="000E60BE"/>
    <w:rsid w:val="000E6238"/>
    <w:rsid w:val="000E672C"/>
    <w:rsid w:val="000E79A9"/>
    <w:rsid w:val="000F0B3D"/>
    <w:rsid w:val="000F265E"/>
    <w:rsid w:val="000F4E1D"/>
    <w:rsid w:val="000F5AB4"/>
    <w:rsid w:val="000F6249"/>
    <w:rsid w:val="000F7333"/>
    <w:rsid w:val="0010104C"/>
    <w:rsid w:val="00105D3A"/>
    <w:rsid w:val="001068FC"/>
    <w:rsid w:val="001103A6"/>
    <w:rsid w:val="00110812"/>
    <w:rsid w:val="00111C28"/>
    <w:rsid w:val="0011234F"/>
    <w:rsid w:val="00113A0A"/>
    <w:rsid w:val="00114C29"/>
    <w:rsid w:val="001152A6"/>
    <w:rsid w:val="00117FB4"/>
    <w:rsid w:val="001205B8"/>
    <w:rsid w:val="00120F6A"/>
    <w:rsid w:val="00122CD1"/>
    <w:rsid w:val="001253CC"/>
    <w:rsid w:val="0013044E"/>
    <w:rsid w:val="0013130F"/>
    <w:rsid w:val="00131A69"/>
    <w:rsid w:val="00132BF9"/>
    <w:rsid w:val="00132F04"/>
    <w:rsid w:val="00136D8D"/>
    <w:rsid w:val="00137003"/>
    <w:rsid w:val="0013717C"/>
    <w:rsid w:val="00144AFE"/>
    <w:rsid w:val="00145B8B"/>
    <w:rsid w:val="001464F4"/>
    <w:rsid w:val="00153EC6"/>
    <w:rsid w:val="00154277"/>
    <w:rsid w:val="0015577B"/>
    <w:rsid w:val="00156082"/>
    <w:rsid w:val="00157FA9"/>
    <w:rsid w:val="0016145E"/>
    <w:rsid w:val="00161879"/>
    <w:rsid w:val="00162672"/>
    <w:rsid w:val="00164CE5"/>
    <w:rsid w:val="00165641"/>
    <w:rsid w:val="001665D8"/>
    <w:rsid w:val="00166AB1"/>
    <w:rsid w:val="001675AF"/>
    <w:rsid w:val="00170034"/>
    <w:rsid w:val="0017084B"/>
    <w:rsid w:val="00174F7A"/>
    <w:rsid w:val="00175D35"/>
    <w:rsid w:val="001767A5"/>
    <w:rsid w:val="001809F6"/>
    <w:rsid w:val="00180D72"/>
    <w:rsid w:val="00181EC4"/>
    <w:rsid w:val="0018220F"/>
    <w:rsid w:val="00190287"/>
    <w:rsid w:val="00192716"/>
    <w:rsid w:val="001937DD"/>
    <w:rsid w:val="00193EB7"/>
    <w:rsid w:val="0019453C"/>
    <w:rsid w:val="00197879"/>
    <w:rsid w:val="001A0318"/>
    <w:rsid w:val="001A4064"/>
    <w:rsid w:val="001A4EE2"/>
    <w:rsid w:val="001A54DD"/>
    <w:rsid w:val="001A5E5C"/>
    <w:rsid w:val="001A5E76"/>
    <w:rsid w:val="001A607A"/>
    <w:rsid w:val="001A613B"/>
    <w:rsid w:val="001B088B"/>
    <w:rsid w:val="001B21B5"/>
    <w:rsid w:val="001B501B"/>
    <w:rsid w:val="001B530D"/>
    <w:rsid w:val="001B669D"/>
    <w:rsid w:val="001B6EFB"/>
    <w:rsid w:val="001B726C"/>
    <w:rsid w:val="001C4721"/>
    <w:rsid w:val="001C4B7D"/>
    <w:rsid w:val="001C58A4"/>
    <w:rsid w:val="001C603A"/>
    <w:rsid w:val="001C67A7"/>
    <w:rsid w:val="001D015A"/>
    <w:rsid w:val="001D03BA"/>
    <w:rsid w:val="001D124F"/>
    <w:rsid w:val="001D2646"/>
    <w:rsid w:val="001D397C"/>
    <w:rsid w:val="001D3DFC"/>
    <w:rsid w:val="001D5D27"/>
    <w:rsid w:val="001D720F"/>
    <w:rsid w:val="001E044B"/>
    <w:rsid w:val="001E1D9D"/>
    <w:rsid w:val="001E2D49"/>
    <w:rsid w:val="001E3B61"/>
    <w:rsid w:val="001E4209"/>
    <w:rsid w:val="001E48DE"/>
    <w:rsid w:val="001E54E2"/>
    <w:rsid w:val="001E763B"/>
    <w:rsid w:val="001F032C"/>
    <w:rsid w:val="001F66AD"/>
    <w:rsid w:val="001F6C24"/>
    <w:rsid w:val="001F7194"/>
    <w:rsid w:val="001F71BA"/>
    <w:rsid w:val="00206A37"/>
    <w:rsid w:val="002141AF"/>
    <w:rsid w:val="00214F36"/>
    <w:rsid w:val="002150CB"/>
    <w:rsid w:val="002152A7"/>
    <w:rsid w:val="002217AA"/>
    <w:rsid w:val="00221820"/>
    <w:rsid w:val="00221904"/>
    <w:rsid w:val="002225C6"/>
    <w:rsid w:val="00224E8A"/>
    <w:rsid w:val="00235EDC"/>
    <w:rsid w:val="002360AE"/>
    <w:rsid w:val="002368F3"/>
    <w:rsid w:val="002368FB"/>
    <w:rsid w:val="0023764D"/>
    <w:rsid w:val="00241313"/>
    <w:rsid w:val="0025012B"/>
    <w:rsid w:val="00250570"/>
    <w:rsid w:val="0025264B"/>
    <w:rsid w:val="0025428A"/>
    <w:rsid w:val="00257510"/>
    <w:rsid w:val="002601CA"/>
    <w:rsid w:val="00265810"/>
    <w:rsid w:val="0026621E"/>
    <w:rsid w:val="002662AC"/>
    <w:rsid w:val="002674EF"/>
    <w:rsid w:val="00267551"/>
    <w:rsid w:val="00267917"/>
    <w:rsid w:val="00270DB3"/>
    <w:rsid w:val="0027305C"/>
    <w:rsid w:val="002745EF"/>
    <w:rsid w:val="002761EE"/>
    <w:rsid w:val="00276593"/>
    <w:rsid w:val="00276C57"/>
    <w:rsid w:val="002831A1"/>
    <w:rsid w:val="00283D28"/>
    <w:rsid w:val="00292A70"/>
    <w:rsid w:val="00295407"/>
    <w:rsid w:val="002974F0"/>
    <w:rsid w:val="00297CEA"/>
    <w:rsid w:val="002A4750"/>
    <w:rsid w:val="002A4BC3"/>
    <w:rsid w:val="002A5439"/>
    <w:rsid w:val="002A5C74"/>
    <w:rsid w:val="002A7937"/>
    <w:rsid w:val="002B03FE"/>
    <w:rsid w:val="002B2EDF"/>
    <w:rsid w:val="002B43B8"/>
    <w:rsid w:val="002B46FF"/>
    <w:rsid w:val="002B7C0A"/>
    <w:rsid w:val="002C01FF"/>
    <w:rsid w:val="002C35D8"/>
    <w:rsid w:val="002C582E"/>
    <w:rsid w:val="002D2A18"/>
    <w:rsid w:val="002D343D"/>
    <w:rsid w:val="002D3E18"/>
    <w:rsid w:val="002D539D"/>
    <w:rsid w:val="002D6378"/>
    <w:rsid w:val="002D76B4"/>
    <w:rsid w:val="002D7A2E"/>
    <w:rsid w:val="002E0744"/>
    <w:rsid w:val="002E0C7C"/>
    <w:rsid w:val="002E2954"/>
    <w:rsid w:val="002E2A85"/>
    <w:rsid w:val="002E4795"/>
    <w:rsid w:val="002E6311"/>
    <w:rsid w:val="002F002B"/>
    <w:rsid w:val="002F2E49"/>
    <w:rsid w:val="002F3074"/>
    <w:rsid w:val="002F485A"/>
    <w:rsid w:val="002F7EC2"/>
    <w:rsid w:val="00301F39"/>
    <w:rsid w:val="0030348B"/>
    <w:rsid w:val="0030505E"/>
    <w:rsid w:val="003071C4"/>
    <w:rsid w:val="00307229"/>
    <w:rsid w:val="00307E95"/>
    <w:rsid w:val="00310DBC"/>
    <w:rsid w:val="003128F8"/>
    <w:rsid w:val="00313082"/>
    <w:rsid w:val="00313891"/>
    <w:rsid w:val="0031770F"/>
    <w:rsid w:val="00321009"/>
    <w:rsid w:val="00322A3F"/>
    <w:rsid w:val="003247B0"/>
    <w:rsid w:val="0032509D"/>
    <w:rsid w:val="003278AC"/>
    <w:rsid w:val="00330918"/>
    <w:rsid w:val="0033197C"/>
    <w:rsid w:val="003326F9"/>
    <w:rsid w:val="00334048"/>
    <w:rsid w:val="0034220D"/>
    <w:rsid w:val="0034220F"/>
    <w:rsid w:val="003426AA"/>
    <w:rsid w:val="00342F85"/>
    <w:rsid w:val="00346375"/>
    <w:rsid w:val="00347557"/>
    <w:rsid w:val="00347D68"/>
    <w:rsid w:val="00352515"/>
    <w:rsid w:val="00355366"/>
    <w:rsid w:val="00355B3D"/>
    <w:rsid w:val="00355D3E"/>
    <w:rsid w:val="003579F4"/>
    <w:rsid w:val="0036040B"/>
    <w:rsid w:val="003606D5"/>
    <w:rsid w:val="003606E0"/>
    <w:rsid w:val="00360D43"/>
    <w:rsid w:val="00361B31"/>
    <w:rsid w:val="003629B6"/>
    <w:rsid w:val="00362CEF"/>
    <w:rsid w:val="003655AB"/>
    <w:rsid w:val="00371DD1"/>
    <w:rsid w:val="003721AD"/>
    <w:rsid w:val="003747DC"/>
    <w:rsid w:val="003753D8"/>
    <w:rsid w:val="00376855"/>
    <w:rsid w:val="003805E6"/>
    <w:rsid w:val="00383DC5"/>
    <w:rsid w:val="003842CE"/>
    <w:rsid w:val="00385EED"/>
    <w:rsid w:val="00390522"/>
    <w:rsid w:val="00390B58"/>
    <w:rsid w:val="00391240"/>
    <w:rsid w:val="00392438"/>
    <w:rsid w:val="003A4F52"/>
    <w:rsid w:val="003A5757"/>
    <w:rsid w:val="003A6435"/>
    <w:rsid w:val="003A689B"/>
    <w:rsid w:val="003A7953"/>
    <w:rsid w:val="003B02A7"/>
    <w:rsid w:val="003B0E4F"/>
    <w:rsid w:val="003B2168"/>
    <w:rsid w:val="003B46D1"/>
    <w:rsid w:val="003B4944"/>
    <w:rsid w:val="003C0CBE"/>
    <w:rsid w:val="003C349B"/>
    <w:rsid w:val="003D10B1"/>
    <w:rsid w:val="003D1987"/>
    <w:rsid w:val="003D2036"/>
    <w:rsid w:val="003D733D"/>
    <w:rsid w:val="003E3311"/>
    <w:rsid w:val="003E64E9"/>
    <w:rsid w:val="003E7356"/>
    <w:rsid w:val="003E77AF"/>
    <w:rsid w:val="003F0400"/>
    <w:rsid w:val="003F1100"/>
    <w:rsid w:val="003F1CE8"/>
    <w:rsid w:val="003F2732"/>
    <w:rsid w:val="003F652F"/>
    <w:rsid w:val="003F79EC"/>
    <w:rsid w:val="00403571"/>
    <w:rsid w:val="00407541"/>
    <w:rsid w:val="0040784A"/>
    <w:rsid w:val="00410B0C"/>
    <w:rsid w:val="00412828"/>
    <w:rsid w:val="0041306B"/>
    <w:rsid w:val="00413BEC"/>
    <w:rsid w:val="00414D84"/>
    <w:rsid w:val="00417787"/>
    <w:rsid w:val="00421847"/>
    <w:rsid w:val="0042193A"/>
    <w:rsid w:val="00421BEC"/>
    <w:rsid w:val="00423383"/>
    <w:rsid w:val="00425687"/>
    <w:rsid w:val="0042653C"/>
    <w:rsid w:val="00427549"/>
    <w:rsid w:val="00427CBB"/>
    <w:rsid w:val="0043067D"/>
    <w:rsid w:val="004313F1"/>
    <w:rsid w:val="00442C87"/>
    <w:rsid w:val="004438D9"/>
    <w:rsid w:val="00443B88"/>
    <w:rsid w:val="004440FA"/>
    <w:rsid w:val="004443E3"/>
    <w:rsid w:val="00445D0A"/>
    <w:rsid w:val="004478A0"/>
    <w:rsid w:val="004513DC"/>
    <w:rsid w:val="0045405B"/>
    <w:rsid w:val="00454843"/>
    <w:rsid w:val="004553A8"/>
    <w:rsid w:val="00455445"/>
    <w:rsid w:val="004571C1"/>
    <w:rsid w:val="004627B9"/>
    <w:rsid w:val="004628B4"/>
    <w:rsid w:val="004632E5"/>
    <w:rsid w:val="004707BA"/>
    <w:rsid w:val="004735E9"/>
    <w:rsid w:val="00475191"/>
    <w:rsid w:val="004766EC"/>
    <w:rsid w:val="00476C50"/>
    <w:rsid w:val="004815B1"/>
    <w:rsid w:val="004835F6"/>
    <w:rsid w:val="0048788A"/>
    <w:rsid w:val="004948CC"/>
    <w:rsid w:val="00495C10"/>
    <w:rsid w:val="00497374"/>
    <w:rsid w:val="004A0A3B"/>
    <w:rsid w:val="004A4DE4"/>
    <w:rsid w:val="004B1CE6"/>
    <w:rsid w:val="004B2AFA"/>
    <w:rsid w:val="004B5797"/>
    <w:rsid w:val="004B6D32"/>
    <w:rsid w:val="004C054D"/>
    <w:rsid w:val="004C1296"/>
    <w:rsid w:val="004C2E4B"/>
    <w:rsid w:val="004C398C"/>
    <w:rsid w:val="004C3F71"/>
    <w:rsid w:val="004C7DDE"/>
    <w:rsid w:val="004D00AF"/>
    <w:rsid w:val="004D3977"/>
    <w:rsid w:val="004D7B06"/>
    <w:rsid w:val="004E18FD"/>
    <w:rsid w:val="004E458A"/>
    <w:rsid w:val="004E55FE"/>
    <w:rsid w:val="004E59F7"/>
    <w:rsid w:val="004E7AEB"/>
    <w:rsid w:val="004E7E0B"/>
    <w:rsid w:val="004F53BE"/>
    <w:rsid w:val="00500F93"/>
    <w:rsid w:val="00501A9E"/>
    <w:rsid w:val="005031AA"/>
    <w:rsid w:val="005038A3"/>
    <w:rsid w:val="00504442"/>
    <w:rsid w:val="005051FB"/>
    <w:rsid w:val="00505697"/>
    <w:rsid w:val="0050659B"/>
    <w:rsid w:val="00507504"/>
    <w:rsid w:val="00512B46"/>
    <w:rsid w:val="00512F01"/>
    <w:rsid w:val="005139C3"/>
    <w:rsid w:val="005140FB"/>
    <w:rsid w:val="005153F7"/>
    <w:rsid w:val="00517A29"/>
    <w:rsid w:val="005218FE"/>
    <w:rsid w:val="005224C1"/>
    <w:rsid w:val="005256D0"/>
    <w:rsid w:val="00526D02"/>
    <w:rsid w:val="0053153F"/>
    <w:rsid w:val="00536954"/>
    <w:rsid w:val="00537697"/>
    <w:rsid w:val="00537FE0"/>
    <w:rsid w:val="00540606"/>
    <w:rsid w:val="00540F3B"/>
    <w:rsid w:val="00541870"/>
    <w:rsid w:val="005436EC"/>
    <w:rsid w:val="00544A37"/>
    <w:rsid w:val="00547867"/>
    <w:rsid w:val="00550064"/>
    <w:rsid w:val="0055263D"/>
    <w:rsid w:val="00554A42"/>
    <w:rsid w:val="00555824"/>
    <w:rsid w:val="00555F45"/>
    <w:rsid w:val="005575DE"/>
    <w:rsid w:val="00560C6D"/>
    <w:rsid w:val="00563745"/>
    <w:rsid w:val="005655BD"/>
    <w:rsid w:val="005663AE"/>
    <w:rsid w:val="00570828"/>
    <w:rsid w:val="005742D2"/>
    <w:rsid w:val="00576F53"/>
    <w:rsid w:val="00577D19"/>
    <w:rsid w:val="005809D3"/>
    <w:rsid w:val="00582382"/>
    <w:rsid w:val="0058369A"/>
    <w:rsid w:val="005840E9"/>
    <w:rsid w:val="005842ED"/>
    <w:rsid w:val="005966D4"/>
    <w:rsid w:val="005A29CA"/>
    <w:rsid w:val="005A3473"/>
    <w:rsid w:val="005A37E5"/>
    <w:rsid w:val="005A481B"/>
    <w:rsid w:val="005A4F61"/>
    <w:rsid w:val="005A5BBA"/>
    <w:rsid w:val="005A5F08"/>
    <w:rsid w:val="005A7DAD"/>
    <w:rsid w:val="005B0AEF"/>
    <w:rsid w:val="005B16D3"/>
    <w:rsid w:val="005B24EB"/>
    <w:rsid w:val="005B31D7"/>
    <w:rsid w:val="005C009A"/>
    <w:rsid w:val="005C0189"/>
    <w:rsid w:val="005C22F8"/>
    <w:rsid w:val="005C3977"/>
    <w:rsid w:val="005C5B9E"/>
    <w:rsid w:val="005D34CC"/>
    <w:rsid w:val="005D57C1"/>
    <w:rsid w:val="005D687F"/>
    <w:rsid w:val="005E4D88"/>
    <w:rsid w:val="005E4D9C"/>
    <w:rsid w:val="005E51C5"/>
    <w:rsid w:val="005E6778"/>
    <w:rsid w:val="005E76D0"/>
    <w:rsid w:val="005E78C4"/>
    <w:rsid w:val="005E7952"/>
    <w:rsid w:val="005F0E46"/>
    <w:rsid w:val="005F1DB3"/>
    <w:rsid w:val="005F2623"/>
    <w:rsid w:val="005F6C1E"/>
    <w:rsid w:val="005F7090"/>
    <w:rsid w:val="00600436"/>
    <w:rsid w:val="00600E58"/>
    <w:rsid w:val="00603538"/>
    <w:rsid w:val="006061BD"/>
    <w:rsid w:val="006062EB"/>
    <w:rsid w:val="0061103B"/>
    <w:rsid w:val="00611905"/>
    <w:rsid w:val="006121A8"/>
    <w:rsid w:val="0061253F"/>
    <w:rsid w:val="006135FD"/>
    <w:rsid w:val="00614133"/>
    <w:rsid w:val="006172AA"/>
    <w:rsid w:val="006203C4"/>
    <w:rsid w:val="006232B8"/>
    <w:rsid w:val="0062480B"/>
    <w:rsid w:val="0062747C"/>
    <w:rsid w:val="006307A5"/>
    <w:rsid w:val="00630C84"/>
    <w:rsid w:val="006318CC"/>
    <w:rsid w:val="00631E38"/>
    <w:rsid w:val="00631E80"/>
    <w:rsid w:val="006321D6"/>
    <w:rsid w:val="006337CD"/>
    <w:rsid w:val="00633E13"/>
    <w:rsid w:val="00637BCA"/>
    <w:rsid w:val="0064160C"/>
    <w:rsid w:val="0064286C"/>
    <w:rsid w:val="00645171"/>
    <w:rsid w:val="00650189"/>
    <w:rsid w:val="00650654"/>
    <w:rsid w:val="00650DD6"/>
    <w:rsid w:val="00650DEB"/>
    <w:rsid w:val="00654E3E"/>
    <w:rsid w:val="0065659A"/>
    <w:rsid w:val="00657EE5"/>
    <w:rsid w:val="0066135D"/>
    <w:rsid w:val="00663038"/>
    <w:rsid w:val="00665315"/>
    <w:rsid w:val="00666D21"/>
    <w:rsid w:val="00667012"/>
    <w:rsid w:val="00667776"/>
    <w:rsid w:val="00670237"/>
    <w:rsid w:val="0067035B"/>
    <w:rsid w:val="0067176D"/>
    <w:rsid w:val="0067414D"/>
    <w:rsid w:val="00674310"/>
    <w:rsid w:val="00676653"/>
    <w:rsid w:val="00676757"/>
    <w:rsid w:val="006768F0"/>
    <w:rsid w:val="00677078"/>
    <w:rsid w:val="006815CF"/>
    <w:rsid w:val="0068195B"/>
    <w:rsid w:val="00681C88"/>
    <w:rsid w:val="006829B7"/>
    <w:rsid w:val="00683626"/>
    <w:rsid w:val="00684D2C"/>
    <w:rsid w:val="0068537C"/>
    <w:rsid w:val="00685FBC"/>
    <w:rsid w:val="0068617E"/>
    <w:rsid w:val="00686364"/>
    <w:rsid w:val="00687F4F"/>
    <w:rsid w:val="006909B5"/>
    <w:rsid w:val="0069177B"/>
    <w:rsid w:val="00692F5F"/>
    <w:rsid w:val="006939E4"/>
    <w:rsid w:val="00694DBB"/>
    <w:rsid w:val="00695452"/>
    <w:rsid w:val="00697BDA"/>
    <w:rsid w:val="00697EB5"/>
    <w:rsid w:val="006A2B67"/>
    <w:rsid w:val="006A2F6C"/>
    <w:rsid w:val="006A3BE2"/>
    <w:rsid w:val="006A4030"/>
    <w:rsid w:val="006A48F1"/>
    <w:rsid w:val="006A6681"/>
    <w:rsid w:val="006B4780"/>
    <w:rsid w:val="006B48B2"/>
    <w:rsid w:val="006B57CB"/>
    <w:rsid w:val="006C3B51"/>
    <w:rsid w:val="006C61E8"/>
    <w:rsid w:val="006D192A"/>
    <w:rsid w:val="006D603F"/>
    <w:rsid w:val="006D65EC"/>
    <w:rsid w:val="006D7BF3"/>
    <w:rsid w:val="006E12FE"/>
    <w:rsid w:val="006E26DC"/>
    <w:rsid w:val="006E50C3"/>
    <w:rsid w:val="006E564C"/>
    <w:rsid w:val="006F052D"/>
    <w:rsid w:val="006F07E3"/>
    <w:rsid w:val="006F1124"/>
    <w:rsid w:val="006F2045"/>
    <w:rsid w:val="006F32FB"/>
    <w:rsid w:val="0070141F"/>
    <w:rsid w:val="00705D83"/>
    <w:rsid w:val="00710523"/>
    <w:rsid w:val="0071058C"/>
    <w:rsid w:val="007142D0"/>
    <w:rsid w:val="00717780"/>
    <w:rsid w:val="0072112F"/>
    <w:rsid w:val="0072115C"/>
    <w:rsid w:val="007216AC"/>
    <w:rsid w:val="00724040"/>
    <w:rsid w:val="00732F8D"/>
    <w:rsid w:val="0073328E"/>
    <w:rsid w:val="00734305"/>
    <w:rsid w:val="0073706E"/>
    <w:rsid w:val="007373A6"/>
    <w:rsid w:val="0073790D"/>
    <w:rsid w:val="00737AE3"/>
    <w:rsid w:val="00737D83"/>
    <w:rsid w:val="00740622"/>
    <w:rsid w:val="00740D2F"/>
    <w:rsid w:val="00740E22"/>
    <w:rsid w:val="00740FE3"/>
    <w:rsid w:val="00744343"/>
    <w:rsid w:val="0074449D"/>
    <w:rsid w:val="00745160"/>
    <w:rsid w:val="00745FFD"/>
    <w:rsid w:val="0075099B"/>
    <w:rsid w:val="00750BD4"/>
    <w:rsid w:val="0075368D"/>
    <w:rsid w:val="00754697"/>
    <w:rsid w:val="007556C6"/>
    <w:rsid w:val="00755700"/>
    <w:rsid w:val="00757C4E"/>
    <w:rsid w:val="00757D8B"/>
    <w:rsid w:val="00760B0E"/>
    <w:rsid w:val="00761868"/>
    <w:rsid w:val="00761D9B"/>
    <w:rsid w:val="00762D33"/>
    <w:rsid w:val="007641F7"/>
    <w:rsid w:val="00765FD4"/>
    <w:rsid w:val="00767C3D"/>
    <w:rsid w:val="00771B91"/>
    <w:rsid w:val="00771DFE"/>
    <w:rsid w:val="007733DB"/>
    <w:rsid w:val="0077535C"/>
    <w:rsid w:val="00776CBE"/>
    <w:rsid w:val="007810E6"/>
    <w:rsid w:val="007824F4"/>
    <w:rsid w:val="00782D03"/>
    <w:rsid w:val="00784109"/>
    <w:rsid w:val="007853F8"/>
    <w:rsid w:val="00785FC5"/>
    <w:rsid w:val="0078631B"/>
    <w:rsid w:val="00786BA5"/>
    <w:rsid w:val="007905D5"/>
    <w:rsid w:val="00791A2B"/>
    <w:rsid w:val="00792EE9"/>
    <w:rsid w:val="0079572A"/>
    <w:rsid w:val="00796334"/>
    <w:rsid w:val="007A0849"/>
    <w:rsid w:val="007A1121"/>
    <w:rsid w:val="007A1122"/>
    <w:rsid w:val="007A15A6"/>
    <w:rsid w:val="007A5249"/>
    <w:rsid w:val="007A5987"/>
    <w:rsid w:val="007B026B"/>
    <w:rsid w:val="007B048D"/>
    <w:rsid w:val="007B04B4"/>
    <w:rsid w:val="007B1F73"/>
    <w:rsid w:val="007B232E"/>
    <w:rsid w:val="007B358E"/>
    <w:rsid w:val="007B3E55"/>
    <w:rsid w:val="007B435F"/>
    <w:rsid w:val="007B4E88"/>
    <w:rsid w:val="007B6899"/>
    <w:rsid w:val="007B7AF5"/>
    <w:rsid w:val="007B7E44"/>
    <w:rsid w:val="007C0BC2"/>
    <w:rsid w:val="007C32F8"/>
    <w:rsid w:val="007C3AAA"/>
    <w:rsid w:val="007C5CE8"/>
    <w:rsid w:val="007C7073"/>
    <w:rsid w:val="007C7B64"/>
    <w:rsid w:val="007D05B3"/>
    <w:rsid w:val="007D29E5"/>
    <w:rsid w:val="007D3D51"/>
    <w:rsid w:val="007D3E32"/>
    <w:rsid w:val="007D4A8D"/>
    <w:rsid w:val="007E1FBA"/>
    <w:rsid w:val="007E3355"/>
    <w:rsid w:val="007E5614"/>
    <w:rsid w:val="007E5F9B"/>
    <w:rsid w:val="007F048B"/>
    <w:rsid w:val="007F174D"/>
    <w:rsid w:val="007F6797"/>
    <w:rsid w:val="007F7409"/>
    <w:rsid w:val="008005EB"/>
    <w:rsid w:val="00807CDD"/>
    <w:rsid w:val="00812E77"/>
    <w:rsid w:val="00813300"/>
    <w:rsid w:val="0081387C"/>
    <w:rsid w:val="0081466F"/>
    <w:rsid w:val="00821B36"/>
    <w:rsid w:val="00822B24"/>
    <w:rsid w:val="008242F9"/>
    <w:rsid w:val="0082762A"/>
    <w:rsid w:val="0083053E"/>
    <w:rsid w:val="00831B5E"/>
    <w:rsid w:val="00833A44"/>
    <w:rsid w:val="00833ECF"/>
    <w:rsid w:val="008348A0"/>
    <w:rsid w:val="00834D4D"/>
    <w:rsid w:val="00835880"/>
    <w:rsid w:val="00836812"/>
    <w:rsid w:val="00840704"/>
    <w:rsid w:val="0084178F"/>
    <w:rsid w:val="00845A18"/>
    <w:rsid w:val="00845A34"/>
    <w:rsid w:val="00846F99"/>
    <w:rsid w:val="00851C45"/>
    <w:rsid w:val="00855897"/>
    <w:rsid w:val="00860290"/>
    <w:rsid w:val="00860837"/>
    <w:rsid w:val="00860EE4"/>
    <w:rsid w:val="00863B54"/>
    <w:rsid w:val="00866600"/>
    <w:rsid w:val="00870F82"/>
    <w:rsid w:val="0088035D"/>
    <w:rsid w:val="0088046D"/>
    <w:rsid w:val="00880547"/>
    <w:rsid w:val="008807C3"/>
    <w:rsid w:val="00882D8E"/>
    <w:rsid w:val="008831E8"/>
    <w:rsid w:val="0088326D"/>
    <w:rsid w:val="00883A3E"/>
    <w:rsid w:val="00883FFA"/>
    <w:rsid w:val="00885B2F"/>
    <w:rsid w:val="00886F0E"/>
    <w:rsid w:val="00890117"/>
    <w:rsid w:val="00890FF6"/>
    <w:rsid w:val="00891790"/>
    <w:rsid w:val="008926E5"/>
    <w:rsid w:val="008926F3"/>
    <w:rsid w:val="00892C78"/>
    <w:rsid w:val="00893577"/>
    <w:rsid w:val="0089587C"/>
    <w:rsid w:val="00895B78"/>
    <w:rsid w:val="00896B59"/>
    <w:rsid w:val="008A04D3"/>
    <w:rsid w:val="008A14E4"/>
    <w:rsid w:val="008A2132"/>
    <w:rsid w:val="008A476C"/>
    <w:rsid w:val="008A5C63"/>
    <w:rsid w:val="008A6F1B"/>
    <w:rsid w:val="008B01BE"/>
    <w:rsid w:val="008B37D1"/>
    <w:rsid w:val="008B480A"/>
    <w:rsid w:val="008B60CB"/>
    <w:rsid w:val="008B67CB"/>
    <w:rsid w:val="008C0E53"/>
    <w:rsid w:val="008C1795"/>
    <w:rsid w:val="008C4A0A"/>
    <w:rsid w:val="008C4B0D"/>
    <w:rsid w:val="008C57BA"/>
    <w:rsid w:val="008C5A69"/>
    <w:rsid w:val="008C5E3B"/>
    <w:rsid w:val="008C60E2"/>
    <w:rsid w:val="008C6335"/>
    <w:rsid w:val="008D26C8"/>
    <w:rsid w:val="008D397B"/>
    <w:rsid w:val="008D556E"/>
    <w:rsid w:val="008D69BD"/>
    <w:rsid w:val="008D767A"/>
    <w:rsid w:val="008E065B"/>
    <w:rsid w:val="008E1251"/>
    <w:rsid w:val="008E19F3"/>
    <w:rsid w:val="008E2945"/>
    <w:rsid w:val="008E3D54"/>
    <w:rsid w:val="008E4894"/>
    <w:rsid w:val="008F1F50"/>
    <w:rsid w:val="008F241C"/>
    <w:rsid w:val="008F36F5"/>
    <w:rsid w:val="008F6AAF"/>
    <w:rsid w:val="00903105"/>
    <w:rsid w:val="00904004"/>
    <w:rsid w:val="009051BB"/>
    <w:rsid w:val="00906176"/>
    <w:rsid w:val="00906C63"/>
    <w:rsid w:val="00906E67"/>
    <w:rsid w:val="00913530"/>
    <w:rsid w:val="00915ADA"/>
    <w:rsid w:val="00915DB2"/>
    <w:rsid w:val="009213DB"/>
    <w:rsid w:val="00921B44"/>
    <w:rsid w:val="009220A7"/>
    <w:rsid w:val="009222C9"/>
    <w:rsid w:val="00924BDE"/>
    <w:rsid w:val="00927B66"/>
    <w:rsid w:val="00927EB8"/>
    <w:rsid w:val="00932625"/>
    <w:rsid w:val="00934023"/>
    <w:rsid w:val="009344C2"/>
    <w:rsid w:val="00935552"/>
    <w:rsid w:val="009356F6"/>
    <w:rsid w:val="00937539"/>
    <w:rsid w:val="00937E11"/>
    <w:rsid w:val="00941A60"/>
    <w:rsid w:val="00941B52"/>
    <w:rsid w:val="009439C3"/>
    <w:rsid w:val="00945078"/>
    <w:rsid w:val="009466CF"/>
    <w:rsid w:val="00946F0C"/>
    <w:rsid w:val="0094705C"/>
    <w:rsid w:val="00947200"/>
    <w:rsid w:val="00947476"/>
    <w:rsid w:val="0095069E"/>
    <w:rsid w:val="00957B41"/>
    <w:rsid w:val="00957DEA"/>
    <w:rsid w:val="00965500"/>
    <w:rsid w:val="00967D7E"/>
    <w:rsid w:val="009727DA"/>
    <w:rsid w:val="00972A6C"/>
    <w:rsid w:val="00977040"/>
    <w:rsid w:val="0098121D"/>
    <w:rsid w:val="00982987"/>
    <w:rsid w:val="0098362A"/>
    <w:rsid w:val="009858E1"/>
    <w:rsid w:val="00986B30"/>
    <w:rsid w:val="0098747F"/>
    <w:rsid w:val="00990864"/>
    <w:rsid w:val="00991554"/>
    <w:rsid w:val="009934A5"/>
    <w:rsid w:val="009954D0"/>
    <w:rsid w:val="009A24E0"/>
    <w:rsid w:val="009A4F6D"/>
    <w:rsid w:val="009A6705"/>
    <w:rsid w:val="009A69B1"/>
    <w:rsid w:val="009A71FE"/>
    <w:rsid w:val="009B043D"/>
    <w:rsid w:val="009B07EF"/>
    <w:rsid w:val="009B608A"/>
    <w:rsid w:val="009B691E"/>
    <w:rsid w:val="009B7C6D"/>
    <w:rsid w:val="009C08B7"/>
    <w:rsid w:val="009C0DA6"/>
    <w:rsid w:val="009C0ECA"/>
    <w:rsid w:val="009C0F81"/>
    <w:rsid w:val="009C17C7"/>
    <w:rsid w:val="009C1AF0"/>
    <w:rsid w:val="009C45BA"/>
    <w:rsid w:val="009C6DD2"/>
    <w:rsid w:val="009D05AD"/>
    <w:rsid w:val="009D2821"/>
    <w:rsid w:val="009D2ECE"/>
    <w:rsid w:val="009D5277"/>
    <w:rsid w:val="009D68F9"/>
    <w:rsid w:val="009D692C"/>
    <w:rsid w:val="009D6A2C"/>
    <w:rsid w:val="009D6ABF"/>
    <w:rsid w:val="009E0062"/>
    <w:rsid w:val="009E317D"/>
    <w:rsid w:val="009E3B52"/>
    <w:rsid w:val="009E5916"/>
    <w:rsid w:val="009F0267"/>
    <w:rsid w:val="009F2CB2"/>
    <w:rsid w:val="009F2CEE"/>
    <w:rsid w:val="009F4695"/>
    <w:rsid w:val="009F59EE"/>
    <w:rsid w:val="009F5B6E"/>
    <w:rsid w:val="00A00251"/>
    <w:rsid w:val="00A0060A"/>
    <w:rsid w:val="00A02308"/>
    <w:rsid w:val="00A025BA"/>
    <w:rsid w:val="00A0291E"/>
    <w:rsid w:val="00A035B0"/>
    <w:rsid w:val="00A04189"/>
    <w:rsid w:val="00A069E2"/>
    <w:rsid w:val="00A07F59"/>
    <w:rsid w:val="00A1093F"/>
    <w:rsid w:val="00A11C0F"/>
    <w:rsid w:val="00A11C90"/>
    <w:rsid w:val="00A12A99"/>
    <w:rsid w:val="00A13346"/>
    <w:rsid w:val="00A14661"/>
    <w:rsid w:val="00A15E33"/>
    <w:rsid w:val="00A1653A"/>
    <w:rsid w:val="00A16F18"/>
    <w:rsid w:val="00A2214C"/>
    <w:rsid w:val="00A23DCC"/>
    <w:rsid w:val="00A27AA5"/>
    <w:rsid w:val="00A30D93"/>
    <w:rsid w:val="00A31FAC"/>
    <w:rsid w:val="00A35524"/>
    <w:rsid w:val="00A355AB"/>
    <w:rsid w:val="00A36D79"/>
    <w:rsid w:val="00A36E5B"/>
    <w:rsid w:val="00A37B91"/>
    <w:rsid w:val="00A37D04"/>
    <w:rsid w:val="00A4066D"/>
    <w:rsid w:val="00A40B94"/>
    <w:rsid w:val="00A41715"/>
    <w:rsid w:val="00A41942"/>
    <w:rsid w:val="00A46073"/>
    <w:rsid w:val="00A4618A"/>
    <w:rsid w:val="00A46C7A"/>
    <w:rsid w:val="00A5254F"/>
    <w:rsid w:val="00A541A1"/>
    <w:rsid w:val="00A55879"/>
    <w:rsid w:val="00A55E01"/>
    <w:rsid w:val="00A55E85"/>
    <w:rsid w:val="00A567D6"/>
    <w:rsid w:val="00A56CD6"/>
    <w:rsid w:val="00A574A6"/>
    <w:rsid w:val="00A60772"/>
    <w:rsid w:val="00A61996"/>
    <w:rsid w:val="00A63FF7"/>
    <w:rsid w:val="00A7081D"/>
    <w:rsid w:val="00A726DE"/>
    <w:rsid w:val="00A75776"/>
    <w:rsid w:val="00A77932"/>
    <w:rsid w:val="00A7796E"/>
    <w:rsid w:val="00A77CA3"/>
    <w:rsid w:val="00A80480"/>
    <w:rsid w:val="00A82DA1"/>
    <w:rsid w:val="00A84486"/>
    <w:rsid w:val="00A860EC"/>
    <w:rsid w:val="00A87479"/>
    <w:rsid w:val="00A9461D"/>
    <w:rsid w:val="00AA1259"/>
    <w:rsid w:val="00AA218A"/>
    <w:rsid w:val="00AA35AF"/>
    <w:rsid w:val="00AA6BC7"/>
    <w:rsid w:val="00AB2A70"/>
    <w:rsid w:val="00AB3C16"/>
    <w:rsid w:val="00AB5142"/>
    <w:rsid w:val="00AC0249"/>
    <w:rsid w:val="00AC614D"/>
    <w:rsid w:val="00AC61AF"/>
    <w:rsid w:val="00AC68C9"/>
    <w:rsid w:val="00AC7E34"/>
    <w:rsid w:val="00AD2CA1"/>
    <w:rsid w:val="00AD61C2"/>
    <w:rsid w:val="00AD62BD"/>
    <w:rsid w:val="00AE406C"/>
    <w:rsid w:val="00AE548F"/>
    <w:rsid w:val="00B00BCA"/>
    <w:rsid w:val="00B02A9F"/>
    <w:rsid w:val="00B03575"/>
    <w:rsid w:val="00B05444"/>
    <w:rsid w:val="00B058E3"/>
    <w:rsid w:val="00B0678D"/>
    <w:rsid w:val="00B07144"/>
    <w:rsid w:val="00B11974"/>
    <w:rsid w:val="00B12CF8"/>
    <w:rsid w:val="00B150FD"/>
    <w:rsid w:val="00B15519"/>
    <w:rsid w:val="00B244B9"/>
    <w:rsid w:val="00B2571C"/>
    <w:rsid w:val="00B27178"/>
    <w:rsid w:val="00B27C5B"/>
    <w:rsid w:val="00B3476A"/>
    <w:rsid w:val="00B36BED"/>
    <w:rsid w:val="00B40418"/>
    <w:rsid w:val="00B41CE5"/>
    <w:rsid w:val="00B42E81"/>
    <w:rsid w:val="00B43ABC"/>
    <w:rsid w:val="00B4711F"/>
    <w:rsid w:val="00B47199"/>
    <w:rsid w:val="00B51125"/>
    <w:rsid w:val="00B52CDF"/>
    <w:rsid w:val="00B612E7"/>
    <w:rsid w:val="00B62371"/>
    <w:rsid w:val="00B6412F"/>
    <w:rsid w:val="00B646D6"/>
    <w:rsid w:val="00B6504A"/>
    <w:rsid w:val="00B65A3B"/>
    <w:rsid w:val="00B65FF3"/>
    <w:rsid w:val="00B70BC3"/>
    <w:rsid w:val="00B71B71"/>
    <w:rsid w:val="00B731F5"/>
    <w:rsid w:val="00B7415F"/>
    <w:rsid w:val="00B75627"/>
    <w:rsid w:val="00B7769E"/>
    <w:rsid w:val="00B777EA"/>
    <w:rsid w:val="00B80A35"/>
    <w:rsid w:val="00B824E9"/>
    <w:rsid w:val="00B84424"/>
    <w:rsid w:val="00B859AE"/>
    <w:rsid w:val="00B86CEE"/>
    <w:rsid w:val="00B87498"/>
    <w:rsid w:val="00B90112"/>
    <w:rsid w:val="00B90487"/>
    <w:rsid w:val="00B90BE1"/>
    <w:rsid w:val="00B92246"/>
    <w:rsid w:val="00B927D5"/>
    <w:rsid w:val="00B95772"/>
    <w:rsid w:val="00B95BB2"/>
    <w:rsid w:val="00B95EBA"/>
    <w:rsid w:val="00B97868"/>
    <w:rsid w:val="00B979B6"/>
    <w:rsid w:val="00BA1FA3"/>
    <w:rsid w:val="00BA23D8"/>
    <w:rsid w:val="00BA3909"/>
    <w:rsid w:val="00BA6317"/>
    <w:rsid w:val="00BA7246"/>
    <w:rsid w:val="00BA7889"/>
    <w:rsid w:val="00BB1CB8"/>
    <w:rsid w:val="00BB23EC"/>
    <w:rsid w:val="00BB3C6C"/>
    <w:rsid w:val="00BB3F93"/>
    <w:rsid w:val="00BB4AC1"/>
    <w:rsid w:val="00BB4D49"/>
    <w:rsid w:val="00BB524F"/>
    <w:rsid w:val="00BB6439"/>
    <w:rsid w:val="00BB675F"/>
    <w:rsid w:val="00BC24F3"/>
    <w:rsid w:val="00BC3FF4"/>
    <w:rsid w:val="00BC66B5"/>
    <w:rsid w:val="00BC671F"/>
    <w:rsid w:val="00BC79B3"/>
    <w:rsid w:val="00BD17B0"/>
    <w:rsid w:val="00BD3970"/>
    <w:rsid w:val="00BD50AA"/>
    <w:rsid w:val="00BD5735"/>
    <w:rsid w:val="00BD5A47"/>
    <w:rsid w:val="00BE1DA6"/>
    <w:rsid w:val="00BE4FDB"/>
    <w:rsid w:val="00BE55F1"/>
    <w:rsid w:val="00BF4A15"/>
    <w:rsid w:val="00BF6A33"/>
    <w:rsid w:val="00BF7A45"/>
    <w:rsid w:val="00C005B5"/>
    <w:rsid w:val="00C005D8"/>
    <w:rsid w:val="00C00BE3"/>
    <w:rsid w:val="00C04E58"/>
    <w:rsid w:val="00C103CC"/>
    <w:rsid w:val="00C10A75"/>
    <w:rsid w:val="00C15B3C"/>
    <w:rsid w:val="00C16B89"/>
    <w:rsid w:val="00C20A13"/>
    <w:rsid w:val="00C2215A"/>
    <w:rsid w:val="00C22586"/>
    <w:rsid w:val="00C22A46"/>
    <w:rsid w:val="00C23E32"/>
    <w:rsid w:val="00C2463C"/>
    <w:rsid w:val="00C248C1"/>
    <w:rsid w:val="00C24953"/>
    <w:rsid w:val="00C31207"/>
    <w:rsid w:val="00C3171F"/>
    <w:rsid w:val="00C36515"/>
    <w:rsid w:val="00C407C4"/>
    <w:rsid w:val="00C42FAF"/>
    <w:rsid w:val="00C437E1"/>
    <w:rsid w:val="00C45467"/>
    <w:rsid w:val="00C47123"/>
    <w:rsid w:val="00C54507"/>
    <w:rsid w:val="00C54A87"/>
    <w:rsid w:val="00C57D56"/>
    <w:rsid w:val="00C60B08"/>
    <w:rsid w:val="00C64CE4"/>
    <w:rsid w:val="00C67FA7"/>
    <w:rsid w:val="00C8156B"/>
    <w:rsid w:val="00C82309"/>
    <w:rsid w:val="00C864DC"/>
    <w:rsid w:val="00C878E5"/>
    <w:rsid w:val="00CA0ABB"/>
    <w:rsid w:val="00CA1041"/>
    <w:rsid w:val="00CA1722"/>
    <w:rsid w:val="00CA27C3"/>
    <w:rsid w:val="00CA4711"/>
    <w:rsid w:val="00CA6621"/>
    <w:rsid w:val="00CA6B02"/>
    <w:rsid w:val="00CA6C68"/>
    <w:rsid w:val="00CB0B7F"/>
    <w:rsid w:val="00CB18B1"/>
    <w:rsid w:val="00CB2780"/>
    <w:rsid w:val="00CB38CA"/>
    <w:rsid w:val="00CB6F2B"/>
    <w:rsid w:val="00CC1067"/>
    <w:rsid w:val="00CC12D5"/>
    <w:rsid w:val="00CC580E"/>
    <w:rsid w:val="00CC5BA3"/>
    <w:rsid w:val="00CC727D"/>
    <w:rsid w:val="00CD01FE"/>
    <w:rsid w:val="00CD0DDE"/>
    <w:rsid w:val="00CD293E"/>
    <w:rsid w:val="00CD3324"/>
    <w:rsid w:val="00CE1FE8"/>
    <w:rsid w:val="00CE2505"/>
    <w:rsid w:val="00CE27FC"/>
    <w:rsid w:val="00CE2BEB"/>
    <w:rsid w:val="00CE3AD1"/>
    <w:rsid w:val="00CE6480"/>
    <w:rsid w:val="00CE6C6E"/>
    <w:rsid w:val="00CE7090"/>
    <w:rsid w:val="00CF090B"/>
    <w:rsid w:val="00CF2CAF"/>
    <w:rsid w:val="00CF4242"/>
    <w:rsid w:val="00D00379"/>
    <w:rsid w:val="00D00E37"/>
    <w:rsid w:val="00D01832"/>
    <w:rsid w:val="00D04723"/>
    <w:rsid w:val="00D110AD"/>
    <w:rsid w:val="00D118CC"/>
    <w:rsid w:val="00D141FC"/>
    <w:rsid w:val="00D163AE"/>
    <w:rsid w:val="00D17042"/>
    <w:rsid w:val="00D21C96"/>
    <w:rsid w:val="00D21E1C"/>
    <w:rsid w:val="00D22A12"/>
    <w:rsid w:val="00D246F8"/>
    <w:rsid w:val="00D2667D"/>
    <w:rsid w:val="00D27558"/>
    <w:rsid w:val="00D2771F"/>
    <w:rsid w:val="00D303DC"/>
    <w:rsid w:val="00D30854"/>
    <w:rsid w:val="00D310CA"/>
    <w:rsid w:val="00D31127"/>
    <w:rsid w:val="00D32EE1"/>
    <w:rsid w:val="00D33258"/>
    <w:rsid w:val="00D40116"/>
    <w:rsid w:val="00D41DF2"/>
    <w:rsid w:val="00D43451"/>
    <w:rsid w:val="00D453BF"/>
    <w:rsid w:val="00D45C7A"/>
    <w:rsid w:val="00D46B40"/>
    <w:rsid w:val="00D46B44"/>
    <w:rsid w:val="00D4735E"/>
    <w:rsid w:val="00D47CC8"/>
    <w:rsid w:val="00D50703"/>
    <w:rsid w:val="00D51372"/>
    <w:rsid w:val="00D544F0"/>
    <w:rsid w:val="00D55587"/>
    <w:rsid w:val="00D56BD6"/>
    <w:rsid w:val="00D57381"/>
    <w:rsid w:val="00D60628"/>
    <w:rsid w:val="00D60D98"/>
    <w:rsid w:val="00D737C7"/>
    <w:rsid w:val="00D750F3"/>
    <w:rsid w:val="00D759AC"/>
    <w:rsid w:val="00D76AF0"/>
    <w:rsid w:val="00D76C6E"/>
    <w:rsid w:val="00D77DDC"/>
    <w:rsid w:val="00D80B6D"/>
    <w:rsid w:val="00D80FAF"/>
    <w:rsid w:val="00D83938"/>
    <w:rsid w:val="00D8502D"/>
    <w:rsid w:val="00D8513A"/>
    <w:rsid w:val="00D85BBB"/>
    <w:rsid w:val="00D90ADA"/>
    <w:rsid w:val="00D93F1C"/>
    <w:rsid w:val="00D94CEA"/>
    <w:rsid w:val="00D95929"/>
    <w:rsid w:val="00D9690A"/>
    <w:rsid w:val="00DA13A4"/>
    <w:rsid w:val="00DA2DAA"/>
    <w:rsid w:val="00DA7B87"/>
    <w:rsid w:val="00DA7DAC"/>
    <w:rsid w:val="00DB0367"/>
    <w:rsid w:val="00DB37EF"/>
    <w:rsid w:val="00DB5F9C"/>
    <w:rsid w:val="00DB63D9"/>
    <w:rsid w:val="00DB6CC3"/>
    <w:rsid w:val="00DB7E77"/>
    <w:rsid w:val="00DC0784"/>
    <w:rsid w:val="00DC0E36"/>
    <w:rsid w:val="00DC20EE"/>
    <w:rsid w:val="00DC30A5"/>
    <w:rsid w:val="00DC30D0"/>
    <w:rsid w:val="00DC3F71"/>
    <w:rsid w:val="00DC4711"/>
    <w:rsid w:val="00DC5C33"/>
    <w:rsid w:val="00DC5F84"/>
    <w:rsid w:val="00DD154C"/>
    <w:rsid w:val="00DD205C"/>
    <w:rsid w:val="00DD4BDD"/>
    <w:rsid w:val="00DD52C1"/>
    <w:rsid w:val="00DD6E74"/>
    <w:rsid w:val="00DE1A7D"/>
    <w:rsid w:val="00DE5847"/>
    <w:rsid w:val="00DE65AC"/>
    <w:rsid w:val="00DE69CC"/>
    <w:rsid w:val="00DF04DA"/>
    <w:rsid w:val="00DF1FFF"/>
    <w:rsid w:val="00DF6AE1"/>
    <w:rsid w:val="00DF72D4"/>
    <w:rsid w:val="00DF7A3E"/>
    <w:rsid w:val="00E00DC6"/>
    <w:rsid w:val="00E00EB2"/>
    <w:rsid w:val="00E02292"/>
    <w:rsid w:val="00E02CCE"/>
    <w:rsid w:val="00E02ED1"/>
    <w:rsid w:val="00E02FC7"/>
    <w:rsid w:val="00E044EC"/>
    <w:rsid w:val="00E05471"/>
    <w:rsid w:val="00E05804"/>
    <w:rsid w:val="00E058A3"/>
    <w:rsid w:val="00E11BD1"/>
    <w:rsid w:val="00E1461A"/>
    <w:rsid w:val="00E151F3"/>
    <w:rsid w:val="00E15A82"/>
    <w:rsid w:val="00E17539"/>
    <w:rsid w:val="00E2306C"/>
    <w:rsid w:val="00E32181"/>
    <w:rsid w:val="00E341D6"/>
    <w:rsid w:val="00E35707"/>
    <w:rsid w:val="00E42296"/>
    <w:rsid w:val="00E43D85"/>
    <w:rsid w:val="00E44495"/>
    <w:rsid w:val="00E52C11"/>
    <w:rsid w:val="00E55827"/>
    <w:rsid w:val="00E57F9B"/>
    <w:rsid w:val="00E6319B"/>
    <w:rsid w:val="00E63BFA"/>
    <w:rsid w:val="00E64D70"/>
    <w:rsid w:val="00E6726D"/>
    <w:rsid w:val="00E67581"/>
    <w:rsid w:val="00E70EBC"/>
    <w:rsid w:val="00E7333B"/>
    <w:rsid w:val="00E744BC"/>
    <w:rsid w:val="00E81433"/>
    <w:rsid w:val="00E81C95"/>
    <w:rsid w:val="00E85297"/>
    <w:rsid w:val="00E852A3"/>
    <w:rsid w:val="00E854FA"/>
    <w:rsid w:val="00E855B1"/>
    <w:rsid w:val="00E85B77"/>
    <w:rsid w:val="00E85C1F"/>
    <w:rsid w:val="00E86896"/>
    <w:rsid w:val="00E874F2"/>
    <w:rsid w:val="00E909E2"/>
    <w:rsid w:val="00E92A9E"/>
    <w:rsid w:val="00E97A43"/>
    <w:rsid w:val="00EA0C1C"/>
    <w:rsid w:val="00EA23EC"/>
    <w:rsid w:val="00EA2CE5"/>
    <w:rsid w:val="00EA2EF1"/>
    <w:rsid w:val="00EA3BA2"/>
    <w:rsid w:val="00EA477A"/>
    <w:rsid w:val="00EA4CB2"/>
    <w:rsid w:val="00EA56B9"/>
    <w:rsid w:val="00EB1F74"/>
    <w:rsid w:val="00EB6810"/>
    <w:rsid w:val="00EB7229"/>
    <w:rsid w:val="00EB7AB1"/>
    <w:rsid w:val="00EC039E"/>
    <w:rsid w:val="00EC2121"/>
    <w:rsid w:val="00EC304A"/>
    <w:rsid w:val="00EC36C2"/>
    <w:rsid w:val="00EC3BD3"/>
    <w:rsid w:val="00EC4F4C"/>
    <w:rsid w:val="00EC6133"/>
    <w:rsid w:val="00EC73D3"/>
    <w:rsid w:val="00EC7F0E"/>
    <w:rsid w:val="00ED0273"/>
    <w:rsid w:val="00ED10B9"/>
    <w:rsid w:val="00ED10FD"/>
    <w:rsid w:val="00ED2D1F"/>
    <w:rsid w:val="00ED58E9"/>
    <w:rsid w:val="00ED6B34"/>
    <w:rsid w:val="00ED79D6"/>
    <w:rsid w:val="00EE1831"/>
    <w:rsid w:val="00EE2EA3"/>
    <w:rsid w:val="00EE6DD8"/>
    <w:rsid w:val="00EF213B"/>
    <w:rsid w:val="00EF2F7C"/>
    <w:rsid w:val="00EF336B"/>
    <w:rsid w:val="00EF651C"/>
    <w:rsid w:val="00EF66D7"/>
    <w:rsid w:val="00F00576"/>
    <w:rsid w:val="00F01CBF"/>
    <w:rsid w:val="00F02CB8"/>
    <w:rsid w:val="00F03F85"/>
    <w:rsid w:val="00F04C6B"/>
    <w:rsid w:val="00F056CD"/>
    <w:rsid w:val="00F1101A"/>
    <w:rsid w:val="00F1156B"/>
    <w:rsid w:val="00F123DF"/>
    <w:rsid w:val="00F14155"/>
    <w:rsid w:val="00F14982"/>
    <w:rsid w:val="00F14F6A"/>
    <w:rsid w:val="00F17CF8"/>
    <w:rsid w:val="00F21322"/>
    <w:rsid w:val="00F215FE"/>
    <w:rsid w:val="00F225DC"/>
    <w:rsid w:val="00F23006"/>
    <w:rsid w:val="00F24929"/>
    <w:rsid w:val="00F24AA5"/>
    <w:rsid w:val="00F2598D"/>
    <w:rsid w:val="00F27E5C"/>
    <w:rsid w:val="00F336A2"/>
    <w:rsid w:val="00F338C4"/>
    <w:rsid w:val="00F34CE4"/>
    <w:rsid w:val="00F360BC"/>
    <w:rsid w:val="00F42045"/>
    <w:rsid w:val="00F427E2"/>
    <w:rsid w:val="00F4472C"/>
    <w:rsid w:val="00F44AEB"/>
    <w:rsid w:val="00F45620"/>
    <w:rsid w:val="00F50CA6"/>
    <w:rsid w:val="00F50E79"/>
    <w:rsid w:val="00F53DEC"/>
    <w:rsid w:val="00F544B1"/>
    <w:rsid w:val="00F5470D"/>
    <w:rsid w:val="00F55A81"/>
    <w:rsid w:val="00F569B4"/>
    <w:rsid w:val="00F57F9B"/>
    <w:rsid w:val="00F63CCA"/>
    <w:rsid w:val="00F64000"/>
    <w:rsid w:val="00F71092"/>
    <w:rsid w:val="00F7238C"/>
    <w:rsid w:val="00F75D78"/>
    <w:rsid w:val="00F77420"/>
    <w:rsid w:val="00F80EE8"/>
    <w:rsid w:val="00F81DA7"/>
    <w:rsid w:val="00F825E6"/>
    <w:rsid w:val="00F852D9"/>
    <w:rsid w:val="00F87177"/>
    <w:rsid w:val="00F90767"/>
    <w:rsid w:val="00F9173C"/>
    <w:rsid w:val="00F9256E"/>
    <w:rsid w:val="00F9588D"/>
    <w:rsid w:val="00F967A1"/>
    <w:rsid w:val="00F96EED"/>
    <w:rsid w:val="00F97B53"/>
    <w:rsid w:val="00FA0081"/>
    <w:rsid w:val="00FA00DD"/>
    <w:rsid w:val="00FA1F74"/>
    <w:rsid w:val="00FA7D5C"/>
    <w:rsid w:val="00FB062E"/>
    <w:rsid w:val="00FB18D0"/>
    <w:rsid w:val="00FB2ED6"/>
    <w:rsid w:val="00FB3A74"/>
    <w:rsid w:val="00FC00C6"/>
    <w:rsid w:val="00FC02D8"/>
    <w:rsid w:val="00FC0368"/>
    <w:rsid w:val="00FC1486"/>
    <w:rsid w:val="00FC2522"/>
    <w:rsid w:val="00FC31B6"/>
    <w:rsid w:val="00FC4324"/>
    <w:rsid w:val="00FC5B56"/>
    <w:rsid w:val="00FC71FD"/>
    <w:rsid w:val="00FD4B12"/>
    <w:rsid w:val="00FD7D67"/>
    <w:rsid w:val="00FE46FB"/>
    <w:rsid w:val="00FE494C"/>
    <w:rsid w:val="00FF176A"/>
    <w:rsid w:val="00FF58A7"/>
    <w:rsid w:val="00FF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684D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hyperlink" Target="mailto:lenka.kuzelova@bcas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yperlink" Target="https://www.bcas.cz/o-nas/broker-consulting-index-podilovych-fondu/" TargetMode="Externa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hyperlink" Target="https://www.bcas.cz/onas/pro-media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6B74A-648D-4A38-B8B7-A0C719B23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960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Lenka Kuželová</cp:lastModifiedBy>
  <cp:revision>3</cp:revision>
  <dcterms:created xsi:type="dcterms:W3CDTF">2024-06-13T08:26:00Z</dcterms:created>
  <dcterms:modified xsi:type="dcterms:W3CDTF">2024-06-14T06:34:00Z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