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6A9EF2EE" w14:textId="318AFB90" w:rsidR="005541A6"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DA68D5">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ve více než 150 kancelářích</w:t>
      </w:r>
      <w:r w:rsidRPr="005B7E46">
        <w:rPr>
          <w:rFonts w:asciiTheme="minorHAnsi" w:hAnsiTheme="minorHAnsi" w:cstheme="minorHAnsi"/>
          <w:sz w:val="20"/>
          <w:szCs w:val="20"/>
        </w:rPr>
        <w:t xml:space="preserve"> </w:t>
      </w:r>
      <w:r>
        <w:rPr>
          <w:rFonts w:asciiTheme="minorHAnsi" w:hAnsiTheme="minorHAnsi" w:cstheme="minorHAnsi"/>
          <w:sz w:val="20"/>
          <w:szCs w:val="20"/>
        </w:rPr>
        <w:t>a na několika desítkách poboček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Pr>
          <w:rFonts w:asciiTheme="minorHAnsi" w:hAnsiTheme="minorHAnsi" w:cstheme="minorHAnsi"/>
          <w:sz w:val="20"/>
          <w:szCs w:val="20"/>
        </w:rPr>
        <w:t xml:space="preserve"> služby společně, to je Broker Point Premium,</w:t>
      </w:r>
      <w:r w:rsidRPr="00961519">
        <w:rPr>
          <w:rFonts w:asciiTheme="minorHAnsi" w:hAnsiTheme="minorHAnsi" w:cstheme="minorHAnsi"/>
          <w:sz w:val="20"/>
          <w:szCs w:val="20"/>
        </w:rPr>
        <w:t xml:space="preserve"> </w:t>
      </w:r>
      <w:r>
        <w:rPr>
          <w:rFonts w:asciiTheme="minorHAnsi" w:hAnsiTheme="minorHAnsi" w:cstheme="minorHAnsi"/>
          <w:sz w:val="20"/>
          <w:szCs w:val="20"/>
        </w:rPr>
        <w:t xml:space="preserve">jehož přináší společnost Broker Consulting, která za vedení franšízy a její podporu získala ocenění </w:t>
      </w:r>
      <w:r w:rsidRPr="00A0680F">
        <w:rPr>
          <w:rFonts w:asciiTheme="minorHAnsi" w:hAnsiTheme="minorHAnsi" w:cstheme="minorHAnsi"/>
          <w:b/>
          <w:color w:val="FF0000"/>
          <w:sz w:val="20"/>
          <w:szCs w:val="20"/>
        </w:rPr>
        <w:t>Franchisor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od České asociace franchisingu</w:t>
      </w:r>
      <w:r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Pr>
            <w:rStyle w:val="Hypertextovodkaz"/>
            <w:rFonts w:asciiTheme="minorHAnsi" w:hAnsiTheme="minorHAnsi" w:cstheme="minorHAnsi"/>
            <w:color w:val="auto"/>
            <w:sz w:val="20"/>
            <w:szCs w:val="20"/>
          </w:rPr>
          <w:t>brokerpointy</w:t>
        </w:r>
        <w:r w:rsidRPr="005B7E46">
          <w:rPr>
            <w:rStyle w:val="Hypertextovodkaz"/>
            <w:rFonts w:asciiTheme="minorHAnsi" w:hAnsiTheme="minorHAnsi" w:cstheme="minorHAnsi"/>
            <w:color w:val="auto"/>
            <w:sz w:val="20"/>
            <w:szCs w:val="20"/>
          </w:rPr>
          <w:t>.cz</w:t>
        </w:r>
      </w:hyperlink>
      <w:r w:rsidRPr="005B7E46">
        <w:rPr>
          <w:rStyle w:val="Hypertextovodkaz"/>
          <w:rFonts w:asciiTheme="minorHAnsi" w:hAnsiTheme="minorHAnsi" w:cstheme="minorHAnsi"/>
          <w:color w:val="auto"/>
          <w:sz w:val="20"/>
          <w:szCs w:val="20"/>
          <w:u w:val="none"/>
        </w:rPr>
        <w:t xml:space="preserve">, </w:t>
      </w:r>
      <w:r>
        <w:rPr>
          <w:rStyle w:val="Hypertextovodkaz"/>
          <w:rFonts w:asciiTheme="minorHAnsi" w:hAnsiTheme="minorHAnsi" w:cstheme="minorHAnsi"/>
          <w:color w:val="auto"/>
          <w:sz w:val="20"/>
          <w:szCs w:val="20"/>
          <w:u w:val="none"/>
        </w:rPr>
        <w:t>brokerpoint</w:t>
      </w:r>
      <w:hyperlink r:id="rId11" w:history="1">
        <w:r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754C4A66" w14:textId="59F0F364" w:rsidR="009E6D78" w:rsidRPr="005541A6" w:rsidRDefault="009E6D78" w:rsidP="005541A6">
      <w:pPr>
        <w:spacing w:after="120"/>
        <w:jc w:val="center"/>
        <w:rPr>
          <w:rFonts w:asciiTheme="minorHAnsi" w:hAnsiTheme="minorHAnsi" w:cstheme="minorHAnsi"/>
          <w:sz w:val="20"/>
          <w:szCs w:val="20"/>
          <w:lang w:val="de-DE"/>
        </w:rPr>
      </w:pPr>
      <w:r>
        <w:rPr>
          <w:rFonts w:asciiTheme="minorHAnsi" w:hAnsiTheme="minorHAnsi" w:cstheme="minorHAnsi"/>
          <w:b/>
          <w:sz w:val="30"/>
          <w:szCs w:val="30"/>
        </w:rPr>
        <w:lastRenderedPageBreak/>
        <w:t xml:space="preserve">Náklady na </w:t>
      </w:r>
      <w:r w:rsidR="00801E4C">
        <w:rPr>
          <w:rFonts w:asciiTheme="minorHAnsi" w:hAnsiTheme="minorHAnsi" w:cstheme="minorHAnsi"/>
          <w:b/>
          <w:sz w:val="30"/>
          <w:szCs w:val="30"/>
        </w:rPr>
        <w:t>pojištění typického vozu</w:t>
      </w:r>
      <w:r w:rsidR="00296C74">
        <w:rPr>
          <w:rFonts w:asciiTheme="minorHAnsi" w:hAnsiTheme="minorHAnsi" w:cstheme="minorHAnsi"/>
          <w:b/>
          <w:sz w:val="30"/>
          <w:szCs w:val="30"/>
        </w:rPr>
        <w:t xml:space="preserve"> nepatrně</w:t>
      </w:r>
      <w:r w:rsidR="00801E4C">
        <w:rPr>
          <w:rFonts w:asciiTheme="minorHAnsi" w:hAnsiTheme="minorHAnsi" w:cstheme="minorHAnsi"/>
          <w:b/>
          <w:sz w:val="30"/>
          <w:szCs w:val="30"/>
        </w:rPr>
        <w:t xml:space="preserve"> stouply</w:t>
      </w:r>
    </w:p>
    <w:p w14:paraId="6B059FA1" w14:textId="2B55834C" w:rsidR="004A6343" w:rsidRDefault="00942785" w:rsidP="00BC7898">
      <w:pPr>
        <w:pStyle w:val="Odstavecseseznamem"/>
        <w:numPr>
          <w:ilvl w:val="0"/>
          <w:numId w:val="24"/>
        </w:numPr>
        <w:ind w:left="357" w:right="40" w:hanging="357"/>
        <w:rPr>
          <w:rFonts w:asciiTheme="minorHAnsi" w:hAnsiTheme="minorHAnsi" w:cstheme="minorHAnsi"/>
          <w:b/>
        </w:rPr>
      </w:pPr>
      <w:r>
        <w:rPr>
          <w:rFonts w:asciiTheme="minorHAnsi" w:hAnsiTheme="minorHAnsi" w:cstheme="minorHAnsi"/>
          <w:b/>
        </w:rPr>
        <w:t>N</w:t>
      </w:r>
      <w:r>
        <w:rPr>
          <w:rFonts w:asciiTheme="minorHAnsi" w:hAnsiTheme="minorHAnsi" w:cstheme="minorHAnsi"/>
          <w:b/>
          <w:color w:val="000000" w:themeColor="text1"/>
          <w:sz w:val="21"/>
          <w:szCs w:val="21"/>
        </w:rPr>
        <w:t>áklady na povinné ručení</w:t>
      </w:r>
      <w:r w:rsidR="00801E4C">
        <w:rPr>
          <w:rFonts w:asciiTheme="minorHAnsi" w:hAnsiTheme="minorHAnsi" w:cstheme="minorHAnsi"/>
          <w:b/>
          <w:color w:val="000000" w:themeColor="text1"/>
          <w:sz w:val="21"/>
          <w:szCs w:val="21"/>
        </w:rPr>
        <w:t xml:space="preserve"> se</w:t>
      </w:r>
      <w:r>
        <w:rPr>
          <w:rFonts w:asciiTheme="minorHAnsi" w:hAnsiTheme="minorHAnsi" w:cstheme="minorHAnsi"/>
          <w:b/>
          <w:color w:val="000000" w:themeColor="text1"/>
          <w:sz w:val="21"/>
          <w:szCs w:val="21"/>
        </w:rPr>
        <w:t xml:space="preserve"> v dubnu, dle Broker Consulting POVIndexu, zvedly v průměru o 20</w:t>
      </w:r>
      <w:r w:rsidR="00801E4C">
        <w:rPr>
          <w:rFonts w:asciiTheme="minorHAnsi" w:hAnsiTheme="minorHAnsi" w:cstheme="minorHAnsi"/>
          <w:b/>
          <w:color w:val="000000" w:themeColor="text1"/>
          <w:sz w:val="21"/>
          <w:szCs w:val="21"/>
        </w:rPr>
        <w:t xml:space="preserve"> korun.</w:t>
      </w:r>
    </w:p>
    <w:p w14:paraId="201FCCAF" w14:textId="7EA1A768" w:rsidR="00BC7898" w:rsidRDefault="00801E4C" w:rsidP="00BC7898">
      <w:pPr>
        <w:pStyle w:val="Odstavecseseznamem"/>
        <w:numPr>
          <w:ilvl w:val="0"/>
          <w:numId w:val="24"/>
        </w:numPr>
        <w:ind w:left="357" w:right="40" w:hanging="357"/>
        <w:rPr>
          <w:rFonts w:asciiTheme="minorHAnsi" w:hAnsiTheme="minorHAnsi" w:cstheme="minorHAnsi"/>
          <w:b/>
        </w:rPr>
      </w:pPr>
      <w:r>
        <w:rPr>
          <w:rFonts w:asciiTheme="minorHAnsi" w:hAnsiTheme="minorHAnsi" w:cstheme="minorHAnsi"/>
          <w:b/>
        </w:rPr>
        <w:t>Průměrná cena povinného ručení se však stále pohybuje pod sedmi tisíci korunami.</w:t>
      </w:r>
    </w:p>
    <w:p w14:paraId="5DF2B2CF" w14:textId="6990E598" w:rsidR="00B169AF" w:rsidRDefault="005A46D5" w:rsidP="00886981">
      <w:pPr>
        <w:pStyle w:val="Odstavecseseznamem"/>
        <w:numPr>
          <w:ilvl w:val="0"/>
          <w:numId w:val="24"/>
        </w:numPr>
        <w:spacing w:after="120"/>
        <w:ind w:left="357" w:right="40" w:hanging="357"/>
        <w:rPr>
          <w:rFonts w:asciiTheme="minorHAnsi" w:hAnsiTheme="minorHAnsi" w:cstheme="minorHAnsi"/>
          <w:b/>
        </w:rPr>
      </w:pPr>
      <w:r>
        <w:rPr>
          <w:rFonts w:asciiTheme="minorHAnsi" w:hAnsiTheme="minorHAnsi" w:cstheme="minorHAnsi"/>
          <w:b/>
        </w:rPr>
        <w:t>Cenu povinného ručení ovlivňuje několik faktorů</w:t>
      </w:r>
      <w:r w:rsidR="00801E4C">
        <w:rPr>
          <w:rFonts w:asciiTheme="minorHAnsi" w:hAnsiTheme="minorHAnsi" w:cstheme="minorHAnsi"/>
          <w:b/>
        </w:rPr>
        <w:t>, například bydliště a věk řidiče</w:t>
      </w:r>
      <w:r w:rsidR="00BC7898" w:rsidRPr="00BC7898">
        <w:rPr>
          <w:rFonts w:asciiTheme="minorHAnsi" w:hAnsiTheme="minorHAnsi" w:cstheme="minorHAnsi"/>
          <w:b/>
        </w:rPr>
        <w:t>.</w:t>
      </w:r>
    </w:p>
    <w:p w14:paraId="76C4F44C" w14:textId="77777777" w:rsidR="00886981" w:rsidRPr="00886981" w:rsidRDefault="00886981" w:rsidP="00886981">
      <w:pPr>
        <w:pStyle w:val="Odstavecseseznamem"/>
        <w:spacing w:after="120"/>
        <w:ind w:left="357" w:right="40" w:firstLine="0"/>
        <w:rPr>
          <w:rFonts w:asciiTheme="minorHAnsi" w:hAnsiTheme="minorHAnsi" w:cstheme="minorHAnsi"/>
          <w:b/>
        </w:rPr>
      </w:pPr>
    </w:p>
    <w:p w14:paraId="5BFF0943" w14:textId="39281C41" w:rsidR="00801E4C" w:rsidRPr="0083450E" w:rsidRDefault="00825B44" w:rsidP="00A83718">
      <w:pPr>
        <w:spacing w:after="120"/>
        <w:ind w:right="40"/>
        <w:jc w:val="both"/>
        <w:rPr>
          <w:rFonts w:asciiTheme="minorHAnsi" w:hAnsiTheme="minorHAnsi" w:cstheme="minorHAnsi"/>
          <w:b/>
          <w:sz w:val="21"/>
          <w:szCs w:val="21"/>
        </w:rPr>
      </w:pPr>
      <w:r w:rsidRPr="00A83718">
        <w:rPr>
          <w:rFonts w:asciiTheme="minorHAnsi" w:hAnsiTheme="minorHAnsi" w:cstheme="minorHAnsi"/>
          <w:i/>
        </w:rPr>
        <w:t>Praha</w:t>
      </w:r>
      <w:r w:rsidR="004978E9">
        <w:rPr>
          <w:rFonts w:asciiTheme="minorHAnsi" w:hAnsiTheme="minorHAnsi" w:cstheme="minorHAnsi"/>
          <w:i/>
        </w:rPr>
        <w:t>, 14</w:t>
      </w:r>
      <w:r w:rsidR="000C1BE2">
        <w:rPr>
          <w:rFonts w:asciiTheme="minorHAnsi" w:hAnsiTheme="minorHAnsi" w:cstheme="minorHAnsi"/>
          <w:i/>
        </w:rPr>
        <w:t>. května</w:t>
      </w:r>
      <w:r w:rsidR="00AD3D91">
        <w:rPr>
          <w:rFonts w:asciiTheme="minorHAnsi" w:hAnsiTheme="minorHAnsi" w:cstheme="minorHAnsi"/>
          <w:i/>
        </w:rPr>
        <w:t xml:space="preserve"> 2024 </w:t>
      </w:r>
      <w:r w:rsidR="00B20F7B" w:rsidRPr="00A83718">
        <w:rPr>
          <w:rFonts w:asciiTheme="minorHAnsi" w:hAnsiTheme="minorHAnsi" w:cstheme="minorHAnsi"/>
          <w:b/>
        </w:rPr>
        <w:t>–</w:t>
      </w:r>
      <w:r w:rsidR="00B20F7B" w:rsidRPr="005541A6">
        <w:rPr>
          <w:rFonts w:asciiTheme="minorHAnsi" w:hAnsiTheme="minorHAnsi" w:cstheme="minorHAnsi"/>
          <w:b/>
          <w:sz w:val="21"/>
          <w:szCs w:val="21"/>
        </w:rPr>
        <w:t xml:space="preserve"> </w:t>
      </w:r>
      <w:r w:rsidR="0083450E">
        <w:rPr>
          <w:rFonts w:asciiTheme="minorHAnsi" w:hAnsiTheme="minorHAnsi" w:cstheme="minorHAnsi"/>
          <w:b/>
          <w:sz w:val="21"/>
          <w:szCs w:val="21"/>
        </w:rPr>
        <w:t>Náklady na pojištění typického vozu se v měsíci dubnu nepatrně zvýšily</w:t>
      </w:r>
      <w:r w:rsidR="008511B1">
        <w:rPr>
          <w:rFonts w:asciiTheme="minorHAnsi" w:hAnsiTheme="minorHAnsi" w:cstheme="minorHAnsi"/>
          <w:b/>
          <w:sz w:val="21"/>
          <w:szCs w:val="21"/>
        </w:rPr>
        <w:t>. P</w:t>
      </w:r>
      <w:r w:rsidR="0083450E">
        <w:rPr>
          <w:rFonts w:asciiTheme="minorHAnsi" w:hAnsiTheme="minorHAnsi" w:cstheme="minorHAnsi"/>
          <w:b/>
          <w:sz w:val="21"/>
          <w:szCs w:val="21"/>
        </w:rPr>
        <w:t>rovozovatelé nové Škody O</w:t>
      </w:r>
      <w:r w:rsidR="004978E9">
        <w:rPr>
          <w:rFonts w:asciiTheme="minorHAnsi" w:hAnsiTheme="minorHAnsi" w:cstheme="minorHAnsi"/>
          <w:b/>
          <w:sz w:val="21"/>
          <w:szCs w:val="21"/>
        </w:rPr>
        <w:t>ctavie</w:t>
      </w:r>
      <w:r w:rsidR="0083450E">
        <w:rPr>
          <w:rFonts w:asciiTheme="minorHAnsi" w:hAnsiTheme="minorHAnsi" w:cstheme="minorHAnsi"/>
          <w:b/>
          <w:sz w:val="21"/>
          <w:szCs w:val="21"/>
        </w:rPr>
        <w:t xml:space="preserve"> </w:t>
      </w:r>
      <w:r w:rsidR="0083450E" w:rsidRPr="0083450E">
        <w:rPr>
          <w:rFonts w:asciiTheme="minorHAnsi" w:hAnsiTheme="minorHAnsi" w:cstheme="minorHAnsi"/>
          <w:b/>
          <w:color w:val="000000" w:themeColor="text1"/>
          <w:sz w:val="21"/>
          <w:szCs w:val="21"/>
        </w:rPr>
        <w:t>1,6 TDI, 85 kW a dalších běžných vozi</w:t>
      </w:r>
      <w:r w:rsidR="00CA5323">
        <w:rPr>
          <w:rFonts w:asciiTheme="minorHAnsi" w:hAnsiTheme="minorHAnsi" w:cstheme="minorHAnsi"/>
          <w:b/>
          <w:color w:val="000000" w:themeColor="text1"/>
          <w:sz w:val="21"/>
          <w:szCs w:val="21"/>
        </w:rPr>
        <w:t>del</w:t>
      </w:r>
      <w:r w:rsidR="0083450E">
        <w:rPr>
          <w:rFonts w:asciiTheme="minorHAnsi" w:hAnsiTheme="minorHAnsi" w:cstheme="minorHAnsi"/>
          <w:b/>
          <w:color w:val="000000" w:themeColor="text1"/>
          <w:sz w:val="21"/>
          <w:szCs w:val="21"/>
        </w:rPr>
        <w:t xml:space="preserve">, které zastupuje </w:t>
      </w:r>
      <w:r w:rsidR="00733DB0">
        <w:rPr>
          <w:rFonts w:asciiTheme="minorHAnsi" w:hAnsiTheme="minorHAnsi" w:cstheme="minorHAnsi"/>
          <w:b/>
          <w:color w:val="000000" w:themeColor="text1"/>
          <w:sz w:val="21"/>
          <w:szCs w:val="21"/>
        </w:rPr>
        <w:t xml:space="preserve">Broker </w:t>
      </w:r>
      <w:proofErr w:type="spellStart"/>
      <w:r w:rsidR="00733DB0">
        <w:rPr>
          <w:rFonts w:asciiTheme="minorHAnsi" w:hAnsiTheme="minorHAnsi" w:cstheme="minorHAnsi"/>
          <w:b/>
          <w:color w:val="000000" w:themeColor="text1"/>
          <w:sz w:val="21"/>
          <w:szCs w:val="21"/>
        </w:rPr>
        <w:t>Consulting</w:t>
      </w:r>
      <w:proofErr w:type="spellEnd"/>
      <w:r w:rsidR="00CA5323">
        <w:rPr>
          <w:rFonts w:asciiTheme="minorHAnsi" w:hAnsiTheme="minorHAnsi" w:cstheme="minorHAnsi"/>
          <w:b/>
          <w:color w:val="000000" w:themeColor="text1"/>
          <w:sz w:val="21"/>
          <w:szCs w:val="21"/>
        </w:rPr>
        <w:t xml:space="preserve"> </w:t>
      </w:r>
      <w:proofErr w:type="spellStart"/>
      <w:r w:rsidR="009762EA">
        <w:rPr>
          <w:rFonts w:asciiTheme="minorHAnsi" w:hAnsiTheme="minorHAnsi" w:cstheme="minorHAnsi"/>
          <w:b/>
          <w:color w:val="000000" w:themeColor="text1"/>
          <w:sz w:val="21"/>
          <w:szCs w:val="21"/>
        </w:rPr>
        <w:t>POVIndex</w:t>
      </w:r>
      <w:proofErr w:type="spellEnd"/>
      <w:r w:rsidR="009762EA">
        <w:rPr>
          <w:rFonts w:asciiTheme="minorHAnsi" w:hAnsiTheme="minorHAnsi" w:cstheme="minorHAnsi"/>
          <w:b/>
          <w:color w:val="000000" w:themeColor="text1"/>
          <w:sz w:val="21"/>
          <w:szCs w:val="21"/>
        </w:rPr>
        <w:t>,</w:t>
      </w:r>
      <w:r w:rsidR="009762EA">
        <w:rPr>
          <w:rFonts w:asciiTheme="minorHAnsi" w:hAnsiTheme="minorHAnsi" w:cstheme="minorHAnsi"/>
          <w:color w:val="000000" w:themeColor="text1"/>
          <w:sz w:val="21"/>
          <w:szCs w:val="21"/>
        </w:rPr>
        <w:t xml:space="preserve"> </w:t>
      </w:r>
      <w:r w:rsidR="009762EA">
        <w:rPr>
          <w:rFonts w:asciiTheme="minorHAnsi" w:hAnsiTheme="minorHAnsi" w:cstheme="minorHAnsi"/>
          <w:b/>
          <w:color w:val="000000" w:themeColor="text1"/>
          <w:sz w:val="21"/>
          <w:szCs w:val="21"/>
        </w:rPr>
        <w:t>toto</w:t>
      </w:r>
      <w:r w:rsidR="0083450E">
        <w:rPr>
          <w:rFonts w:asciiTheme="minorHAnsi" w:hAnsiTheme="minorHAnsi" w:cstheme="minorHAnsi"/>
          <w:b/>
          <w:color w:val="000000" w:themeColor="text1"/>
          <w:sz w:val="21"/>
          <w:szCs w:val="21"/>
        </w:rPr>
        <w:t xml:space="preserve"> zvýšení</w:t>
      </w:r>
      <w:r w:rsidR="008511B1">
        <w:rPr>
          <w:rFonts w:asciiTheme="minorHAnsi" w:hAnsiTheme="minorHAnsi" w:cstheme="minorHAnsi"/>
          <w:b/>
          <w:color w:val="000000" w:themeColor="text1"/>
          <w:sz w:val="21"/>
          <w:szCs w:val="21"/>
        </w:rPr>
        <w:t xml:space="preserve"> téměř nepocítili</w:t>
      </w:r>
      <w:r w:rsidR="0083450E">
        <w:rPr>
          <w:rFonts w:asciiTheme="minorHAnsi" w:hAnsiTheme="minorHAnsi" w:cstheme="minorHAnsi"/>
          <w:b/>
          <w:color w:val="000000" w:themeColor="text1"/>
          <w:sz w:val="21"/>
          <w:szCs w:val="21"/>
        </w:rPr>
        <w:t xml:space="preserve">. </w:t>
      </w:r>
      <w:r w:rsidR="004978E9">
        <w:rPr>
          <w:rFonts w:asciiTheme="minorHAnsi" w:hAnsiTheme="minorHAnsi" w:cstheme="minorHAnsi"/>
          <w:b/>
          <w:sz w:val="21"/>
          <w:szCs w:val="21"/>
        </w:rPr>
        <w:t xml:space="preserve">Konkrétně se hodnota zvýšila </w:t>
      </w:r>
      <w:r w:rsidR="008511B1">
        <w:rPr>
          <w:rFonts w:asciiTheme="minorHAnsi" w:hAnsiTheme="minorHAnsi" w:cstheme="minorHAnsi"/>
          <w:b/>
          <w:sz w:val="21"/>
          <w:szCs w:val="21"/>
        </w:rPr>
        <w:t xml:space="preserve">z březnových 6 907 korun na dubnových 6 927 korun. </w:t>
      </w:r>
      <w:r w:rsidR="00CA5323">
        <w:rPr>
          <w:rFonts w:asciiTheme="minorHAnsi" w:hAnsiTheme="minorHAnsi" w:cstheme="minorHAnsi"/>
          <w:b/>
        </w:rPr>
        <w:t xml:space="preserve">Průměrná cena povinného ručení se  </w:t>
      </w:r>
      <w:r w:rsidR="008511B1">
        <w:rPr>
          <w:rFonts w:asciiTheme="minorHAnsi" w:hAnsiTheme="minorHAnsi" w:cstheme="minorHAnsi"/>
          <w:b/>
        </w:rPr>
        <w:t xml:space="preserve">však </w:t>
      </w:r>
      <w:r w:rsidR="00CA5323">
        <w:rPr>
          <w:rFonts w:asciiTheme="minorHAnsi" w:hAnsiTheme="minorHAnsi" w:cstheme="minorHAnsi"/>
          <w:b/>
        </w:rPr>
        <w:t>stále pohybuje pod sedmi tisíci korunami. J</w:t>
      </w:r>
      <w:r w:rsidR="008511B1">
        <w:rPr>
          <w:rFonts w:asciiTheme="minorHAnsi" w:hAnsiTheme="minorHAnsi" w:cstheme="minorHAnsi"/>
          <w:b/>
        </w:rPr>
        <w:t>ejí výši ale</w:t>
      </w:r>
      <w:r w:rsidR="00CA5323">
        <w:rPr>
          <w:rFonts w:asciiTheme="minorHAnsi" w:hAnsiTheme="minorHAnsi" w:cstheme="minorHAnsi"/>
          <w:b/>
        </w:rPr>
        <w:t xml:space="preserve"> ovlivňuje řada faktorů, jako je věk a historie řidiče, bydliště a t</w:t>
      </w:r>
      <w:r w:rsidR="00412C89">
        <w:rPr>
          <w:rFonts w:asciiTheme="minorHAnsi" w:hAnsiTheme="minorHAnsi" w:cstheme="minorHAnsi"/>
          <w:b/>
        </w:rPr>
        <w:t>aké parametry vozidla.</w:t>
      </w:r>
    </w:p>
    <w:p w14:paraId="1D2AD5A9" w14:textId="7D00ECE5" w:rsidR="008F00F6" w:rsidRDefault="009762EA" w:rsidP="008F00F6">
      <w:pPr>
        <w:spacing w:after="120"/>
        <w:ind w:right="40"/>
        <w:jc w:val="both"/>
        <w:rPr>
          <w:rFonts w:asciiTheme="minorHAnsi" w:hAnsiTheme="minorHAnsi" w:cstheme="minorHAnsi"/>
          <w:b/>
          <w:bCs/>
          <w:sz w:val="21"/>
          <w:szCs w:val="21"/>
        </w:rPr>
      </w:pPr>
      <w:r>
        <w:rPr>
          <w:rFonts w:asciiTheme="minorHAnsi" w:hAnsiTheme="minorHAnsi" w:cstheme="minorHAnsi"/>
          <w:color w:val="000000" w:themeColor="text1"/>
          <w:sz w:val="21"/>
          <w:szCs w:val="21"/>
        </w:rPr>
        <w:t xml:space="preserve">Broker </w:t>
      </w:r>
      <w:proofErr w:type="spellStart"/>
      <w:r>
        <w:rPr>
          <w:rFonts w:asciiTheme="minorHAnsi" w:hAnsiTheme="minorHAnsi" w:cstheme="minorHAnsi"/>
          <w:color w:val="000000" w:themeColor="text1"/>
          <w:sz w:val="21"/>
          <w:szCs w:val="21"/>
        </w:rPr>
        <w:t>Consulting</w:t>
      </w:r>
      <w:proofErr w:type="spellEnd"/>
      <w:r>
        <w:rPr>
          <w:rFonts w:asciiTheme="minorHAnsi" w:hAnsiTheme="minorHAnsi" w:cstheme="minorHAnsi"/>
          <w:color w:val="000000" w:themeColor="text1"/>
          <w:sz w:val="21"/>
          <w:szCs w:val="21"/>
        </w:rPr>
        <w:t xml:space="preserve"> Index povinného ručení, který </w:t>
      </w:r>
      <w:r w:rsidRPr="00AD79CC">
        <w:rPr>
          <w:rFonts w:asciiTheme="minorHAnsi" w:hAnsiTheme="minorHAnsi" w:cstheme="minorHAnsi"/>
          <w:color w:val="000000" w:themeColor="text1"/>
          <w:sz w:val="21"/>
          <w:szCs w:val="21"/>
        </w:rPr>
        <w:t>sleduje vývoj nákladů na povinné ručení pro řidiče bez historie</w:t>
      </w:r>
      <w:r>
        <w:rPr>
          <w:rFonts w:asciiTheme="minorHAnsi" w:hAnsiTheme="minorHAnsi" w:cstheme="minorHAnsi"/>
          <w:color w:val="000000" w:themeColor="text1"/>
          <w:sz w:val="21"/>
          <w:szCs w:val="21"/>
        </w:rPr>
        <w:t xml:space="preserve">, evidoval v dubnu mírný nárůst hodnot. </w:t>
      </w:r>
      <w:r w:rsidR="00B5592F">
        <w:rPr>
          <w:rFonts w:asciiTheme="minorHAnsi" w:hAnsiTheme="minorHAnsi" w:cstheme="minorHAnsi"/>
          <w:sz w:val="21"/>
          <w:szCs w:val="21"/>
        </w:rPr>
        <w:t>Prům</w:t>
      </w:r>
      <w:r>
        <w:rPr>
          <w:rFonts w:asciiTheme="minorHAnsi" w:hAnsiTheme="minorHAnsi" w:cstheme="minorHAnsi"/>
          <w:sz w:val="21"/>
          <w:szCs w:val="21"/>
        </w:rPr>
        <w:t xml:space="preserve">ěrná hodnota POVIndexu se </w:t>
      </w:r>
      <w:r w:rsidR="00B5592F">
        <w:rPr>
          <w:rFonts w:asciiTheme="minorHAnsi" w:hAnsiTheme="minorHAnsi" w:cstheme="minorHAnsi"/>
          <w:sz w:val="21"/>
          <w:szCs w:val="21"/>
        </w:rPr>
        <w:t xml:space="preserve">v dubnu zastavila na 6 927 </w:t>
      </w:r>
      <w:r>
        <w:rPr>
          <w:rFonts w:asciiTheme="minorHAnsi" w:hAnsiTheme="minorHAnsi" w:cstheme="minorHAnsi"/>
          <w:sz w:val="21"/>
          <w:szCs w:val="21"/>
        </w:rPr>
        <w:t>korunách a oproti březnu (6 907 </w:t>
      </w:r>
      <w:r w:rsidR="00B5592F">
        <w:rPr>
          <w:rFonts w:asciiTheme="minorHAnsi" w:hAnsiTheme="minorHAnsi" w:cstheme="minorHAnsi"/>
          <w:sz w:val="21"/>
          <w:szCs w:val="21"/>
        </w:rPr>
        <w:t>korun) přinesla zvýšení o 20 korun.  Ještě v lednu se průměrné hodnoty POVIndexu pohybovaly nad sedmi tisíci korunami, konkrétně šlo o 7</w:t>
      </w:r>
      <w:r w:rsidR="00B16D05">
        <w:rPr>
          <w:rFonts w:asciiTheme="minorHAnsi" w:hAnsiTheme="minorHAnsi" w:cstheme="minorHAnsi"/>
          <w:sz w:val="21"/>
          <w:szCs w:val="21"/>
        </w:rPr>
        <w:t> </w:t>
      </w:r>
      <w:r w:rsidR="00B5592F">
        <w:rPr>
          <w:rFonts w:asciiTheme="minorHAnsi" w:hAnsiTheme="minorHAnsi" w:cstheme="minorHAnsi"/>
          <w:sz w:val="21"/>
          <w:szCs w:val="21"/>
        </w:rPr>
        <w:t>023</w:t>
      </w:r>
      <w:r w:rsidR="00B16D05">
        <w:rPr>
          <w:rFonts w:asciiTheme="minorHAnsi" w:hAnsiTheme="minorHAnsi" w:cstheme="minorHAnsi"/>
          <w:sz w:val="21"/>
          <w:szCs w:val="21"/>
        </w:rPr>
        <w:t> </w:t>
      </w:r>
      <w:r w:rsidR="00B5592F">
        <w:rPr>
          <w:rFonts w:asciiTheme="minorHAnsi" w:hAnsiTheme="minorHAnsi" w:cstheme="minorHAnsi"/>
          <w:sz w:val="21"/>
          <w:szCs w:val="21"/>
        </w:rPr>
        <w:t>korun, v únoru se pak jednalo o 7006 korun.</w:t>
      </w:r>
      <w:r w:rsidR="008F00F6" w:rsidRPr="008F00F6">
        <w:rPr>
          <w:rFonts w:asciiTheme="minorHAnsi" w:hAnsiTheme="minorHAnsi" w:cstheme="minorHAnsi"/>
        </w:rPr>
        <w:t xml:space="preserve"> </w:t>
      </w:r>
      <w:r w:rsidR="00151FD6">
        <w:rPr>
          <w:rFonts w:asciiTheme="minorHAnsi" w:hAnsiTheme="minorHAnsi" w:cstheme="minorHAnsi"/>
        </w:rPr>
        <w:t>„</w:t>
      </w:r>
      <w:r w:rsidR="00733DB0" w:rsidRPr="00151FD6">
        <w:rPr>
          <w:rFonts w:asciiTheme="minorHAnsi" w:hAnsiTheme="minorHAnsi" w:cstheme="minorHAnsi"/>
          <w:i/>
        </w:rPr>
        <w:t>Za posledních pět let je letošní dubnový I</w:t>
      </w:r>
      <w:r w:rsidR="00886981">
        <w:rPr>
          <w:rFonts w:asciiTheme="minorHAnsi" w:hAnsiTheme="minorHAnsi" w:cstheme="minorHAnsi"/>
          <w:i/>
        </w:rPr>
        <w:t xml:space="preserve">ndex nejvyšší, </w:t>
      </w:r>
      <w:r w:rsidR="00733DB0" w:rsidRPr="00151FD6">
        <w:rPr>
          <w:rFonts w:asciiTheme="minorHAnsi" w:hAnsiTheme="minorHAnsi" w:cstheme="minorHAnsi"/>
          <w:i/>
        </w:rPr>
        <w:t>s první příčky sesadil ten loňský, jehož hodnota se ve stej</w:t>
      </w:r>
      <w:r w:rsidR="00151FD6" w:rsidRPr="00151FD6">
        <w:rPr>
          <w:rFonts w:asciiTheme="minorHAnsi" w:hAnsiTheme="minorHAnsi" w:cstheme="minorHAnsi"/>
          <w:i/>
        </w:rPr>
        <w:t>ném období zastavila na 6 848 korunách. Hodnotou třetí nejvyšší byl poté Index z roku 2020 (6 712 korun), následován rokem 2022 (6 659 korun) a nejnižší hodnota POVIndexu byla evidována v roce 2021 (6 329 korun), přičemž p</w:t>
      </w:r>
      <w:r w:rsidR="00886981">
        <w:rPr>
          <w:rFonts w:asciiTheme="minorHAnsi" w:hAnsiTheme="minorHAnsi" w:cstheme="minorHAnsi"/>
          <w:i/>
        </w:rPr>
        <w:t xml:space="preserve">růměrnou hodnotou námi sledovaného </w:t>
      </w:r>
      <w:r w:rsidR="00151FD6" w:rsidRPr="00151FD6">
        <w:rPr>
          <w:rFonts w:asciiTheme="minorHAnsi" w:hAnsiTheme="minorHAnsi" w:cstheme="minorHAnsi"/>
          <w:i/>
        </w:rPr>
        <w:t>pětileté</w:t>
      </w:r>
      <w:r w:rsidR="00886981">
        <w:rPr>
          <w:rFonts w:asciiTheme="minorHAnsi" w:hAnsiTheme="minorHAnsi" w:cstheme="minorHAnsi"/>
          <w:i/>
        </w:rPr>
        <w:t>ho</w:t>
      </w:r>
      <w:r w:rsidR="00151FD6" w:rsidRPr="00151FD6">
        <w:rPr>
          <w:rFonts w:asciiTheme="minorHAnsi" w:hAnsiTheme="minorHAnsi" w:cstheme="minorHAnsi"/>
          <w:i/>
        </w:rPr>
        <w:t xml:space="preserve"> ob</w:t>
      </w:r>
      <w:r w:rsidR="00886981">
        <w:rPr>
          <w:rFonts w:asciiTheme="minorHAnsi" w:hAnsiTheme="minorHAnsi" w:cstheme="minorHAnsi"/>
          <w:i/>
        </w:rPr>
        <w:t>dobí je 6 767,</w:t>
      </w:r>
      <w:r w:rsidR="00151FD6">
        <w:rPr>
          <w:rFonts w:asciiTheme="minorHAnsi" w:hAnsiTheme="minorHAnsi" w:cstheme="minorHAnsi"/>
          <w:i/>
        </w:rPr>
        <w:t>80 korun,“</w:t>
      </w:r>
      <w:r w:rsidR="00151FD6" w:rsidRPr="00151FD6">
        <w:rPr>
          <w:rFonts w:asciiTheme="minorHAnsi" w:hAnsiTheme="minorHAnsi" w:cs="Arial"/>
          <w:sz w:val="21"/>
          <w:szCs w:val="21"/>
        </w:rPr>
        <w:t xml:space="preserve"> </w:t>
      </w:r>
      <w:r w:rsidR="00151FD6">
        <w:rPr>
          <w:rFonts w:asciiTheme="minorHAnsi" w:hAnsiTheme="minorHAnsi" w:cs="Arial"/>
          <w:sz w:val="21"/>
          <w:szCs w:val="21"/>
        </w:rPr>
        <w:t>komentuje vývoj Indexu</w:t>
      </w:r>
      <w:r w:rsidR="00151FD6" w:rsidRPr="005541A6">
        <w:rPr>
          <w:rFonts w:asciiTheme="minorHAnsi" w:hAnsiTheme="minorHAnsi" w:cstheme="minorHAnsi"/>
          <w:b/>
          <w:bCs/>
          <w:sz w:val="21"/>
          <w:szCs w:val="21"/>
        </w:rPr>
        <w:t xml:space="preserve"> analytik neživotního pojištění společnosti Broker </w:t>
      </w:r>
      <w:proofErr w:type="spellStart"/>
      <w:r w:rsidR="00151FD6" w:rsidRPr="005541A6">
        <w:rPr>
          <w:rFonts w:asciiTheme="minorHAnsi" w:hAnsiTheme="minorHAnsi" w:cstheme="minorHAnsi"/>
          <w:b/>
          <w:bCs/>
          <w:sz w:val="21"/>
          <w:szCs w:val="21"/>
        </w:rPr>
        <w:t>Consulting</w:t>
      </w:r>
      <w:proofErr w:type="spellEnd"/>
      <w:r w:rsidR="00151FD6" w:rsidRPr="005541A6">
        <w:rPr>
          <w:rFonts w:asciiTheme="minorHAnsi" w:hAnsiTheme="minorHAnsi" w:cstheme="minorHAnsi"/>
          <w:b/>
          <w:bCs/>
          <w:sz w:val="21"/>
          <w:szCs w:val="21"/>
        </w:rPr>
        <w:t xml:space="preserve"> Jiří Váchal</w:t>
      </w:r>
      <w:r w:rsidR="00151FD6">
        <w:rPr>
          <w:rFonts w:asciiTheme="minorHAnsi" w:hAnsiTheme="minorHAnsi" w:cstheme="minorHAnsi"/>
          <w:b/>
          <w:bCs/>
          <w:sz w:val="21"/>
          <w:szCs w:val="21"/>
        </w:rPr>
        <w:t>.</w:t>
      </w:r>
    </w:p>
    <w:p w14:paraId="278CFEEF" w14:textId="77777777" w:rsidR="001B7B44" w:rsidRPr="009762EA" w:rsidRDefault="001B7B44" w:rsidP="008F00F6">
      <w:pPr>
        <w:spacing w:after="120"/>
        <w:ind w:right="40"/>
        <w:jc w:val="both"/>
        <w:rPr>
          <w:rFonts w:asciiTheme="minorHAnsi" w:hAnsiTheme="minorHAnsi" w:cstheme="minorHAnsi"/>
          <w:sz w:val="21"/>
          <w:szCs w:val="21"/>
        </w:rPr>
      </w:pPr>
      <w:bookmarkStart w:id="0" w:name="_GoBack"/>
      <w:bookmarkEnd w:id="0"/>
    </w:p>
    <w:p w14:paraId="0883B7C5" w14:textId="38A85B46" w:rsidR="005541A6" w:rsidRPr="005541A6" w:rsidRDefault="00886981" w:rsidP="005541A6">
      <w:pPr>
        <w:spacing w:after="120"/>
        <w:ind w:right="40"/>
        <w:jc w:val="center"/>
        <w:rPr>
          <w:rFonts w:asciiTheme="minorHAnsi" w:hAnsiTheme="minorHAnsi" w:cstheme="minorHAnsi"/>
          <w:sz w:val="21"/>
          <w:szCs w:val="21"/>
        </w:rPr>
      </w:pPr>
      <w:r>
        <w:rPr>
          <w:rFonts w:asciiTheme="minorHAnsi" w:hAnsiTheme="minorHAnsi" w:cstheme="minorHAnsi"/>
          <w:noProof/>
          <w:sz w:val="21"/>
          <w:szCs w:val="21"/>
          <w:lang w:bidi="ar-SA"/>
        </w:rPr>
        <w:drawing>
          <wp:inline distT="0" distB="0" distL="0" distR="0" wp14:anchorId="2DC250EA" wp14:editId="66961B64">
            <wp:extent cx="6654165" cy="29800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z názvu.png"/>
                    <pic:cNvPicPr/>
                  </pic:nvPicPr>
                  <pic:blipFill>
                    <a:blip r:embed="rId17">
                      <a:extLst>
                        <a:ext uri="{28A0092B-C50C-407E-A947-70E740481C1C}">
                          <a14:useLocalDpi xmlns:a14="http://schemas.microsoft.com/office/drawing/2010/main" val="0"/>
                        </a:ext>
                      </a:extLst>
                    </a:blip>
                    <a:stretch>
                      <a:fillRect/>
                    </a:stretch>
                  </pic:blipFill>
                  <pic:spPr>
                    <a:xfrm>
                      <a:off x="0" y="0"/>
                      <a:ext cx="6654165" cy="2980055"/>
                    </a:xfrm>
                    <a:prstGeom prst="rect">
                      <a:avLst/>
                    </a:prstGeom>
                  </pic:spPr>
                </pic:pic>
              </a:graphicData>
            </a:graphic>
          </wp:inline>
        </w:drawing>
      </w:r>
    </w:p>
    <w:p w14:paraId="2FF885ED" w14:textId="77777777" w:rsidR="00B169AF" w:rsidRDefault="00B169AF" w:rsidP="005541A6">
      <w:pPr>
        <w:spacing w:after="120"/>
        <w:jc w:val="both"/>
        <w:rPr>
          <w:rFonts w:asciiTheme="minorHAnsi" w:hAnsiTheme="minorHAnsi" w:cstheme="minorHAnsi"/>
          <w:sz w:val="21"/>
          <w:szCs w:val="21"/>
        </w:rPr>
      </w:pPr>
    </w:p>
    <w:p w14:paraId="22648E1C" w14:textId="4BFAF511" w:rsidR="00957E00" w:rsidRPr="0026064A" w:rsidRDefault="00B16D05" w:rsidP="00957E00">
      <w:pPr>
        <w:spacing w:after="120"/>
        <w:jc w:val="both"/>
        <w:rPr>
          <w:rFonts w:asciiTheme="minorHAnsi" w:hAnsiTheme="minorHAnsi" w:cstheme="minorHAnsi"/>
          <w:bCs/>
          <w:sz w:val="21"/>
          <w:szCs w:val="21"/>
        </w:rPr>
      </w:pPr>
      <w:r>
        <w:rPr>
          <w:rFonts w:asciiTheme="minorHAnsi" w:hAnsiTheme="minorHAnsi" w:cstheme="minorHAnsi"/>
          <w:sz w:val="21"/>
          <w:szCs w:val="21"/>
        </w:rPr>
        <w:t xml:space="preserve">Mírné zvýšení </w:t>
      </w:r>
      <w:r w:rsidR="000607B6">
        <w:rPr>
          <w:rFonts w:asciiTheme="minorHAnsi" w:hAnsiTheme="minorHAnsi" w:cstheme="minorHAnsi"/>
          <w:sz w:val="21"/>
          <w:szCs w:val="21"/>
        </w:rPr>
        <w:t>průměrné hodnoty POVIndexu</w:t>
      </w:r>
      <w:r w:rsidR="000F7DEE">
        <w:rPr>
          <w:rFonts w:asciiTheme="minorHAnsi" w:hAnsiTheme="minorHAnsi" w:cstheme="minorHAnsi"/>
          <w:sz w:val="21"/>
          <w:szCs w:val="21"/>
        </w:rPr>
        <w:t xml:space="preserve"> je evidováno</w:t>
      </w:r>
      <w:r>
        <w:rPr>
          <w:rFonts w:asciiTheme="minorHAnsi" w:hAnsiTheme="minorHAnsi" w:cstheme="minorHAnsi"/>
          <w:sz w:val="21"/>
          <w:szCs w:val="21"/>
        </w:rPr>
        <w:t xml:space="preserve"> v dubnu</w:t>
      </w:r>
      <w:r w:rsidR="000607B6">
        <w:rPr>
          <w:rFonts w:asciiTheme="minorHAnsi" w:hAnsiTheme="minorHAnsi" w:cstheme="minorHAnsi"/>
          <w:sz w:val="21"/>
          <w:szCs w:val="21"/>
        </w:rPr>
        <w:t xml:space="preserve"> také v</w:t>
      </w:r>
      <w:r>
        <w:rPr>
          <w:rFonts w:asciiTheme="minorHAnsi" w:hAnsiTheme="minorHAnsi" w:cstheme="minorHAnsi"/>
          <w:sz w:val="21"/>
          <w:szCs w:val="21"/>
        </w:rPr>
        <w:t> </w:t>
      </w:r>
      <w:r w:rsidR="000607B6">
        <w:rPr>
          <w:rFonts w:asciiTheme="minorHAnsi" w:hAnsiTheme="minorHAnsi" w:cstheme="minorHAnsi"/>
          <w:sz w:val="21"/>
          <w:szCs w:val="21"/>
        </w:rPr>
        <w:t>Praze</w:t>
      </w:r>
      <w:r>
        <w:rPr>
          <w:rFonts w:asciiTheme="minorHAnsi" w:hAnsiTheme="minorHAnsi" w:cstheme="minorHAnsi"/>
          <w:sz w:val="21"/>
          <w:szCs w:val="21"/>
        </w:rPr>
        <w:t>, a to z březnových 7 726 korun na aktuálních 7 739 korun. „</w:t>
      </w:r>
      <w:r w:rsidRPr="00957E00">
        <w:rPr>
          <w:rFonts w:asciiTheme="minorHAnsi" w:hAnsiTheme="minorHAnsi" w:cstheme="minorHAnsi"/>
          <w:i/>
          <w:sz w:val="21"/>
          <w:szCs w:val="21"/>
        </w:rPr>
        <w:t>Podíváme-li se na měsíc únor, vidíme téměř totožné hodnoty (7 738 korun), jakých dosáhl POVIndex v měsíci dubnu. S</w:t>
      </w:r>
      <w:r w:rsidR="00957E00">
        <w:rPr>
          <w:rFonts w:asciiTheme="minorHAnsi" w:hAnsiTheme="minorHAnsi" w:cstheme="minorHAnsi"/>
          <w:i/>
          <w:sz w:val="21"/>
          <w:szCs w:val="21"/>
        </w:rPr>
        <w:t>e svými</w:t>
      </w:r>
      <w:r w:rsidRPr="00957E00">
        <w:rPr>
          <w:rFonts w:asciiTheme="minorHAnsi" w:hAnsiTheme="minorHAnsi" w:cstheme="minorHAnsi"/>
          <w:i/>
          <w:sz w:val="21"/>
          <w:szCs w:val="21"/>
        </w:rPr>
        <w:t xml:space="preserve"> 7 779 kor</w:t>
      </w:r>
      <w:r w:rsidR="00957E00" w:rsidRPr="00957E00">
        <w:rPr>
          <w:rFonts w:asciiTheme="minorHAnsi" w:hAnsiTheme="minorHAnsi" w:cstheme="minorHAnsi"/>
          <w:i/>
          <w:sz w:val="21"/>
          <w:szCs w:val="21"/>
        </w:rPr>
        <w:t>un</w:t>
      </w:r>
      <w:r w:rsidR="00957E00">
        <w:rPr>
          <w:rFonts w:asciiTheme="minorHAnsi" w:hAnsiTheme="minorHAnsi" w:cstheme="minorHAnsi"/>
          <w:i/>
          <w:sz w:val="21"/>
          <w:szCs w:val="21"/>
        </w:rPr>
        <w:t>ami</w:t>
      </w:r>
      <w:r w:rsidR="00957E00" w:rsidRPr="00957E00">
        <w:rPr>
          <w:rFonts w:asciiTheme="minorHAnsi" w:hAnsiTheme="minorHAnsi" w:cstheme="minorHAnsi"/>
          <w:i/>
          <w:sz w:val="21"/>
          <w:szCs w:val="21"/>
        </w:rPr>
        <w:t xml:space="preserve"> však kraluje lednová hodnota,“</w:t>
      </w:r>
      <w:r w:rsidR="00957E00" w:rsidRPr="00957E00">
        <w:rPr>
          <w:rFonts w:asciiTheme="minorHAnsi" w:hAnsiTheme="minorHAnsi" w:cs="Arial"/>
          <w:sz w:val="21"/>
          <w:szCs w:val="21"/>
        </w:rPr>
        <w:t xml:space="preserve"> </w:t>
      </w:r>
      <w:r w:rsidR="00957E00" w:rsidRPr="005541A6">
        <w:rPr>
          <w:rFonts w:asciiTheme="minorHAnsi" w:hAnsiTheme="minorHAnsi" w:cs="Arial"/>
          <w:sz w:val="21"/>
          <w:szCs w:val="21"/>
        </w:rPr>
        <w:t>uvedl</w:t>
      </w:r>
      <w:r w:rsidR="00957E00" w:rsidRPr="005541A6">
        <w:rPr>
          <w:rFonts w:asciiTheme="minorHAnsi" w:hAnsiTheme="minorHAnsi" w:cstheme="minorHAnsi"/>
          <w:b/>
          <w:bCs/>
          <w:sz w:val="21"/>
          <w:szCs w:val="21"/>
        </w:rPr>
        <w:t xml:space="preserve"> </w:t>
      </w:r>
      <w:r w:rsidR="00CC453F">
        <w:rPr>
          <w:rFonts w:asciiTheme="minorHAnsi" w:hAnsiTheme="minorHAnsi" w:cstheme="minorHAnsi"/>
          <w:b/>
          <w:bCs/>
          <w:sz w:val="21"/>
          <w:szCs w:val="21"/>
        </w:rPr>
        <w:t xml:space="preserve">Jiří Váchal ze </w:t>
      </w:r>
      <w:r w:rsidR="00957E00" w:rsidRPr="005541A6">
        <w:rPr>
          <w:rFonts w:asciiTheme="minorHAnsi" w:hAnsiTheme="minorHAnsi" w:cstheme="minorHAnsi"/>
          <w:b/>
          <w:bCs/>
          <w:sz w:val="21"/>
          <w:szCs w:val="21"/>
        </w:rPr>
        <w:t>společnosti Broke</w:t>
      </w:r>
      <w:r w:rsidR="00CC453F">
        <w:rPr>
          <w:rFonts w:asciiTheme="minorHAnsi" w:hAnsiTheme="minorHAnsi" w:cstheme="minorHAnsi"/>
          <w:b/>
          <w:bCs/>
          <w:sz w:val="21"/>
          <w:szCs w:val="21"/>
        </w:rPr>
        <w:t xml:space="preserve">r Consulting. </w:t>
      </w:r>
      <w:r w:rsidR="00957E00">
        <w:rPr>
          <w:rFonts w:asciiTheme="minorHAnsi" w:hAnsiTheme="minorHAnsi" w:cstheme="minorHAnsi"/>
          <w:b/>
          <w:bCs/>
          <w:sz w:val="21"/>
          <w:szCs w:val="21"/>
        </w:rPr>
        <w:t xml:space="preserve"> </w:t>
      </w:r>
      <w:r w:rsidR="0026064A">
        <w:rPr>
          <w:rFonts w:asciiTheme="minorHAnsi" w:hAnsiTheme="minorHAnsi" w:cstheme="minorHAnsi"/>
          <w:bCs/>
          <w:sz w:val="21"/>
          <w:szCs w:val="21"/>
        </w:rPr>
        <w:t xml:space="preserve">Meziroční srovnání hodnot ukazuje, že letošní dubnový Index je se svou hodnotou 7 739 korun nejvyšší za posledních pět </w:t>
      </w:r>
      <w:r w:rsidR="0026064A">
        <w:rPr>
          <w:rFonts w:asciiTheme="minorHAnsi" w:hAnsiTheme="minorHAnsi" w:cstheme="minorHAnsi"/>
          <w:bCs/>
          <w:sz w:val="21"/>
          <w:szCs w:val="21"/>
        </w:rPr>
        <w:lastRenderedPageBreak/>
        <w:t xml:space="preserve">let, následován rokem 2020 (7 503 korun). Nejnižší hodnota POVIndexu byla v dubnu zaznamenána v roce 2021 (7 009 korun), </w:t>
      </w:r>
      <w:r w:rsidR="00886981">
        <w:rPr>
          <w:rFonts w:asciiTheme="minorHAnsi" w:hAnsiTheme="minorHAnsi" w:cstheme="minorHAnsi"/>
          <w:bCs/>
          <w:sz w:val="21"/>
          <w:szCs w:val="21"/>
        </w:rPr>
        <w:t xml:space="preserve"> následovaná léty 2022 (7 398 korun) a 2023 (7 500 korun).</w:t>
      </w:r>
    </w:p>
    <w:p w14:paraId="1B91B074" w14:textId="77777777" w:rsidR="00D73D3F" w:rsidRDefault="00D73D3F" w:rsidP="00D73D3F">
      <w:pPr>
        <w:tabs>
          <w:tab w:val="left" w:pos="3686"/>
        </w:tabs>
        <w:jc w:val="both"/>
        <w:rPr>
          <w:rFonts w:asciiTheme="minorHAnsi" w:hAnsiTheme="minorHAnsi" w:cstheme="minorHAnsi"/>
        </w:rPr>
      </w:pPr>
    </w:p>
    <w:p w14:paraId="08E974CF" w14:textId="2C31DB04" w:rsidR="00D73D3F" w:rsidRDefault="00D73D3F" w:rsidP="00D73D3F">
      <w:pPr>
        <w:tabs>
          <w:tab w:val="left" w:pos="3686"/>
        </w:tabs>
        <w:jc w:val="both"/>
        <w:rPr>
          <w:rFonts w:asciiTheme="minorHAnsi" w:hAnsiTheme="minorHAnsi" w:cstheme="minorHAnsi"/>
        </w:rPr>
      </w:pPr>
      <w:r>
        <w:rPr>
          <w:rFonts w:asciiTheme="minorHAnsi" w:hAnsiTheme="minorHAnsi" w:cstheme="minorHAnsi"/>
        </w:rPr>
        <w:t xml:space="preserve">Zvýšení nákladu na pojištění typického vozu neminulo ani středočeský Benešov. </w:t>
      </w:r>
      <w:r w:rsidR="000C1BE2">
        <w:rPr>
          <w:rFonts w:asciiTheme="minorHAnsi" w:hAnsiTheme="minorHAnsi" w:cstheme="minorHAnsi"/>
        </w:rPr>
        <w:t>Hodnota</w:t>
      </w:r>
      <w:r>
        <w:rPr>
          <w:rFonts w:asciiTheme="minorHAnsi" w:hAnsiTheme="minorHAnsi" w:cstheme="minorHAnsi"/>
        </w:rPr>
        <w:t xml:space="preserve"> Broker Consulting POVIndexu zde oproti přechozímu měsíci (6 089 korun) zaznamenala nárůst o 27 korun, na konečných 6 116 korun. Tato hodnota je i přes mírné zvýšení nižší, než tomu bylo lednu (6 267 korun) a únoru (6 274 korun). V pětiletém horizontu </w:t>
      </w:r>
      <w:r w:rsidR="0026064A">
        <w:rPr>
          <w:rFonts w:asciiTheme="minorHAnsi" w:hAnsiTheme="minorHAnsi" w:cstheme="minorHAnsi"/>
        </w:rPr>
        <w:t>zaujala letošní dubnová hodnota druhou příčku, oproti předchozímu roku (6 196 korun) poklesla o 80 korun. Ve zbývajících letech, tedy v roce 2020 (5 </w:t>
      </w:r>
      <w:r w:rsidR="00CC453F">
        <w:rPr>
          <w:rFonts w:asciiTheme="minorHAnsi" w:hAnsiTheme="minorHAnsi" w:cstheme="minorHAnsi"/>
        </w:rPr>
        <w:t>92</w:t>
      </w:r>
      <w:r w:rsidR="0026064A">
        <w:rPr>
          <w:rFonts w:asciiTheme="minorHAnsi" w:hAnsiTheme="minorHAnsi" w:cstheme="minorHAnsi"/>
        </w:rPr>
        <w:t>2 korun), 2021 (5 649 korun) a 2022 (5 919 korun) se hodnota POVIndexu pohybovala pod šesti tisíci korunami.</w:t>
      </w:r>
    </w:p>
    <w:p w14:paraId="3841042D" w14:textId="77777777" w:rsidR="00D73D3F" w:rsidRDefault="00D73D3F" w:rsidP="00D73D3F">
      <w:pPr>
        <w:tabs>
          <w:tab w:val="left" w:pos="3686"/>
        </w:tabs>
        <w:jc w:val="both"/>
        <w:rPr>
          <w:rFonts w:asciiTheme="minorHAnsi" w:hAnsiTheme="minorHAnsi" w:cstheme="minorHAnsi"/>
        </w:rPr>
      </w:pPr>
    </w:p>
    <w:p w14:paraId="5974E8FA" w14:textId="77777777" w:rsidR="00886981" w:rsidRPr="00E211E6" w:rsidRDefault="00886981" w:rsidP="00886981">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 xml:space="preserve">BOX: Dubnové </w:t>
      </w:r>
      <w:r w:rsidRPr="00E211E6">
        <w:rPr>
          <w:rFonts w:asciiTheme="minorHAnsi" w:hAnsiTheme="minorHAnsi" w:cstheme="minorHAnsi"/>
          <w:b/>
          <w:bCs/>
          <w:color w:val="4F81BD" w:themeColor="accent1"/>
          <w:sz w:val="21"/>
          <w:szCs w:val="21"/>
        </w:rPr>
        <w:t>hodnoty Broker Consulting POVIndexu</w:t>
      </w:r>
      <w:r>
        <w:rPr>
          <w:rFonts w:asciiTheme="minorHAnsi" w:hAnsiTheme="minorHAnsi" w:cstheme="minorHAnsi"/>
          <w:b/>
          <w:bCs/>
          <w:color w:val="4F81BD" w:themeColor="accent1"/>
          <w:sz w:val="21"/>
          <w:szCs w:val="21"/>
        </w:rPr>
        <w:t xml:space="preserve"> (celorepublikový průměr)</w:t>
      </w:r>
    </w:p>
    <w:tbl>
      <w:tblPr>
        <w:tblStyle w:val="Mkatabulky"/>
        <w:tblW w:w="0" w:type="auto"/>
        <w:tblLook w:val="04A0" w:firstRow="1" w:lastRow="0" w:firstColumn="1" w:lastColumn="0" w:noHBand="0" w:noVBand="1"/>
      </w:tblPr>
      <w:tblGrid>
        <w:gridCol w:w="2689"/>
        <w:gridCol w:w="2268"/>
      </w:tblGrid>
      <w:tr w:rsidR="00886981" w:rsidRPr="00E211E6" w14:paraId="71F6FDA9" w14:textId="77777777" w:rsidTr="002C7134">
        <w:tc>
          <w:tcPr>
            <w:tcW w:w="2689" w:type="dxa"/>
          </w:tcPr>
          <w:p w14:paraId="751AA17F" w14:textId="77777777" w:rsidR="00886981" w:rsidRPr="00E211E6" w:rsidRDefault="00886981" w:rsidP="002C7134">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Rok</w:t>
            </w:r>
          </w:p>
        </w:tc>
        <w:tc>
          <w:tcPr>
            <w:tcW w:w="2268" w:type="dxa"/>
          </w:tcPr>
          <w:p w14:paraId="19B28DCF" w14:textId="77777777" w:rsidR="00886981" w:rsidRPr="00E211E6" w:rsidRDefault="00886981" w:rsidP="002C7134">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r>
      <w:tr w:rsidR="00886981" w:rsidRPr="00E211E6" w14:paraId="5A1DFC29" w14:textId="77777777" w:rsidTr="002C7134">
        <w:tc>
          <w:tcPr>
            <w:tcW w:w="2689" w:type="dxa"/>
          </w:tcPr>
          <w:p w14:paraId="2B6E36D4"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2020</w:t>
            </w:r>
          </w:p>
        </w:tc>
        <w:tc>
          <w:tcPr>
            <w:tcW w:w="2268" w:type="dxa"/>
          </w:tcPr>
          <w:p w14:paraId="3E3A355D" w14:textId="77777777" w:rsidR="00886981" w:rsidRPr="00E211E6" w:rsidRDefault="00886981" w:rsidP="002C7134">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6 712 </w:t>
            </w:r>
            <w:r w:rsidRPr="00E211E6">
              <w:rPr>
                <w:rFonts w:asciiTheme="minorHAnsi" w:hAnsiTheme="minorHAnsi" w:cstheme="minorHAnsi"/>
                <w:color w:val="4F81BD" w:themeColor="accent1"/>
                <w:sz w:val="21"/>
                <w:szCs w:val="21"/>
              </w:rPr>
              <w:t>Kč</w:t>
            </w:r>
          </w:p>
        </w:tc>
      </w:tr>
      <w:tr w:rsidR="00886981" w:rsidRPr="00E211E6" w14:paraId="5667F997" w14:textId="77777777" w:rsidTr="002C7134">
        <w:tc>
          <w:tcPr>
            <w:tcW w:w="2689" w:type="dxa"/>
          </w:tcPr>
          <w:p w14:paraId="4B5FA6C2"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2021</w:t>
            </w:r>
          </w:p>
        </w:tc>
        <w:tc>
          <w:tcPr>
            <w:tcW w:w="2268" w:type="dxa"/>
          </w:tcPr>
          <w:p w14:paraId="2F8D2F9A" w14:textId="77777777" w:rsidR="00886981" w:rsidRPr="00E211E6" w:rsidRDefault="00886981" w:rsidP="002C7134">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6 329 Kč</w:t>
            </w:r>
          </w:p>
        </w:tc>
      </w:tr>
      <w:tr w:rsidR="00886981" w:rsidRPr="00E211E6" w14:paraId="1BDF3423" w14:textId="77777777" w:rsidTr="002C7134">
        <w:tc>
          <w:tcPr>
            <w:tcW w:w="2689" w:type="dxa"/>
          </w:tcPr>
          <w:p w14:paraId="6DDEFD1B"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2022</w:t>
            </w:r>
          </w:p>
        </w:tc>
        <w:tc>
          <w:tcPr>
            <w:tcW w:w="2268" w:type="dxa"/>
          </w:tcPr>
          <w:p w14:paraId="1EA0DA30" w14:textId="77777777" w:rsidR="00886981" w:rsidRPr="00E211E6" w:rsidRDefault="00886981" w:rsidP="002C7134">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6 659 Kč</w:t>
            </w:r>
          </w:p>
        </w:tc>
      </w:tr>
      <w:tr w:rsidR="00886981" w:rsidRPr="00E211E6" w14:paraId="0C8FAD41" w14:textId="77777777" w:rsidTr="002C7134">
        <w:tc>
          <w:tcPr>
            <w:tcW w:w="2689" w:type="dxa"/>
          </w:tcPr>
          <w:p w14:paraId="5CDFEE3E"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2023</w:t>
            </w:r>
          </w:p>
        </w:tc>
        <w:tc>
          <w:tcPr>
            <w:tcW w:w="2268" w:type="dxa"/>
          </w:tcPr>
          <w:p w14:paraId="15C39DF6" w14:textId="77777777" w:rsidR="00886981" w:rsidRPr="00E211E6" w:rsidRDefault="00886981" w:rsidP="002C7134">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6 848</w:t>
            </w:r>
            <w:r w:rsidRPr="00E211E6">
              <w:rPr>
                <w:rFonts w:asciiTheme="minorHAnsi" w:hAnsiTheme="minorHAnsi" w:cstheme="minorHAnsi"/>
                <w:color w:val="4F81BD" w:themeColor="accent1"/>
                <w:sz w:val="21"/>
                <w:szCs w:val="21"/>
              </w:rPr>
              <w:t xml:space="preserve"> Kč</w:t>
            </w:r>
          </w:p>
        </w:tc>
      </w:tr>
      <w:tr w:rsidR="00886981" w:rsidRPr="00E211E6" w14:paraId="08692157" w14:textId="77777777" w:rsidTr="002C7134">
        <w:tc>
          <w:tcPr>
            <w:tcW w:w="2689" w:type="dxa"/>
          </w:tcPr>
          <w:p w14:paraId="7EF643A4" w14:textId="77777777" w:rsidR="00886981"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2024 </w:t>
            </w:r>
          </w:p>
        </w:tc>
        <w:tc>
          <w:tcPr>
            <w:tcW w:w="2268" w:type="dxa"/>
          </w:tcPr>
          <w:p w14:paraId="488DF126" w14:textId="77777777" w:rsidR="00886981" w:rsidRDefault="00886981" w:rsidP="002C7134">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6 927 Kč</w:t>
            </w:r>
          </w:p>
        </w:tc>
      </w:tr>
      <w:tr w:rsidR="00886981" w:rsidRPr="00E211E6" w14:paraId="260EF658" w14:textId="77777777" w:rsidTr="002C7134">
        <w:tc>
          <w:tcPr>
            <w:tcW w:w="2689" w:type="dxa"/>
          </w:tcPr>
          <w:p w14:paraId="4430B49D"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Průměr za celé sledování</w:t>
            </w:r>
          </w:p>
        </w:tc>
        <w:tc>
          <w:tcPr>
            <w:tcW w:w="2268" w:type="dxa"/>
          </w:tcPr>
          <w:p w14:paraId="1B8DB2BE" w14:textId="77777777" w:rsidR="00886981" w:rsidRPr="00E211E6" w:rsidRDefault="00886981" w:rsidP="002C7134">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6 767,80</w:t>
            </w:r>
            <w:r w:rsidRPr="00E211E6">
              <w:rPr>
                <w:rFonts w:asciiTheme="minorHAnsi" w:hAnsiTheme="minorHAnsi" w:cstheme="minorHAnsi"/>
                <w:color w:val="4F81BD" w:themeColor="accent1"/>
                <w:sz w:val="21"/>
                <w:szCs w:val="21"/>
              </w:rPr>
              <w:t xml:space="preserve"> Kč</w:t>
            </w:r>
          </w:p>
        </w:tc>
      </w:tr>
    </w:tbl>
    <w:p w14:paraId="270D6736" w14:textId="77777777" w:rsidR="00886981" w:rsidRDefault="00886981" w:rsidP="00886981">
      <w:pPr>
        <w:spacing w:after="120"/>
        <w:ind w:right="130"/>
        <w:rPr>
          <w:rFonts w:asciiTheme="minorHAnsi" w:hAnsiTheme="minorHAnsi" w:cstheme="minorHAnsi"/>
          <w:b/>
          <w:bCs/>
          <w:color w:val="4F81BD" w:themeColor="accent1"/>
          <w:sz w:val="21"/>
          <w:szCs w:val="21"/>
        </w:rPr>
      </w:pPr>
    </w:p>
    <w:p w14:paraId="483D42E8" w14:textId="77777777" w:rsidR="00886981" w:rsidRDefault="00886981" w:rsidP="00886981">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BOX: Dubnové</w:t>
      </w:r>
      <w:r w:rsidRPr="00E211E6">
        <w:rPr>
          <w:rFonts w:asciiTheme="minorHAnsi" w:hAnsiTheme="minorHAnsi" w:cstheme="minorHAnsi"/>
          <w:b/>
          <w:bCs/>
          <w:color w:val="4F81BD" w:themeColor="accent1"/>
          <w:sz w:val="21"/>
          <w:szCs w:val="21"/>
        </w:rPr>
        <w:t xml:space="preserve"> hodnoty Broker Consulting POVIndexu</w:t>
      </w:r>
      <w:r>
        <w:rPr>
          <w:rFonts w:asciiTheme="minorHAnsi" w:hAnsiTheme="minorHAnsi" w:cstheme="minorHAnsi"/>
          <w:b/>
          <w:bCs/>
          <w:color w:val="4F81BD" w:themeColor="accent1"/>
          <w:sz w:val="21"/>
          <w:szCs w:val="21"/>
        </w:rPr>
        <w:t xml:space="preserve">  BOX: Dubnové</w:t>
      </w:r>
      <w:r w:rsidRPr="00E211E6">
        <w:rPr>
          <w:rFonts w:asciiTheme="minorHAnsi" w:hAnsiTheme="minorHAnsi" w:cstheme="minorHAnsi"/>
          <w:b/>
          <w:bCs/>
          <w:color w:val="4F81BD" w:themeColor="accent1"/>
          <w:sz w:val="21"/>
          <w:szCs w:val="21"/>
        </w:rPr>
        <w:t xml:space="preserve"> hodnoty Broker Consulting POVIndexu</w:t>
      </w:r>
      <w:r>
        <w:rPr>
          <w:rFonts w:asciiTheme="minorHAnsi" w:hAnsiTheme="minorHAnsi" w:cstheme="minorHAnsi"/>
          <w:b/>
          <w:bCs/>
          <w:color w:val="4F81BD" w:themeColor="accent1"/>
          <w:sz w:val="21"/>
          <w:szCs w:val="21"/>
        </w:rPr>
        <w:t xml:space="preserve"> </w:t>
      </w:r>
    </w:p>
    <w:p w14:paraId="713C9246" w14:textId="77777777" w:rsidR="00886981" w:rsidRPr="00E211E6" w:rsidRDefault="00886981" w:rsidP="00886981">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PRAHA</w:t>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t xml:space="preserve">         BENEŠOV u PRAHY</w:t>
      </w:r>
    </w:p>
    <w:p w14:paraId="3BC47906" w14:textId="77777777" w:rsidR="00886981" w:rsidRPr="00E211E6" w:rsidRDefault="00886981" w:rsidP="00886981">
      <w:pPr>
        <w:spacing w:after="120"/>
        <w:ind w:right="130"/>
        <w:rPr>
          <w:rFonts w:asciiTheme="minorHAnsi" w:hAnsiTheme="minorHAnsi" w:cstheme="minorHAnsi"/>
          <w:b/>
          <w:bCs/>
          <w:color w:val="4F81BD" w:themeColor="accent1"/>
          <w:sz w:val="21"/>
          <w:szCs w:val="21"/>
        </w:rPr>
      </w:pPr>
    </w:p>
    <w:tbl>
      <w:tblPr>
        <w:tblStyle w:val="Mkatabulky"/>
        <w:tblW w:w="0" w:type="auto"/>
        <w:tblLook w:val="04A0" w:firstRow="1" w:lastRow="0" w:firstColumn="1" w:lastColumn="0" w:noHBand="0" w:noVBand="1"/>
      </w:tblPr>
      <w:tblGrid>
        <w:gridCol w:w="2167"/>
        <w:gridCol w:w="1828"/>
        <w:gridCol w:w="1828"/>
        <w:gridCol w:w="1828"/>
      </w:tblGrid>
      <w:tr w:rsidR="00886981" w:rsidRPr="00E211E6" w14:paraId="0EAC5B03" w14:textId="77777777" w:rsidTr="002C7134">
        <w:trPr>
          <w:trHeight w:val="358"/>
        </w:trPr>
        <w:tc>
          <w:tcPr>
            <w:tcW w:w="2167" w:type="dxa"/>
          </w:tcPr>
          <w:p w14:paraId="7B639CBD" w14:textId="77777777" w:rsidR="00886981" w:rsidRPr="00E211E6" w:rsidRDefault="00886981" w:rsidP="002C7134">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Rok</w:t>
            </w:r>
          </w:p>
        </w:tc>
        <w:tc>
          <w:tcPr>
            <w:tcW w:w="1828" w:type="dxa"/>
          </w:tcPr>
          <w:p w14:paraId="3780FC64" w14:textId="77777777" w:rsidR="00886981" w:rsidRPr="00E211E6" w:rsidRDefault="00886981" w:rsidP="002C7134">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c>
          <w:tcPr>
            <w:tcW w:w="1828" w:type="dxa"/>
          </w:tcPr>
          <w:p w14:paraId="6A5F5A5F" w14:textId="77777777" w:rsidR="00886981" w:rsidRPr="00E211E6" w:rsidRDefault="00886981" w:rsidP="002C7134">
            <w:pPr>
              <w:spacing w:after="120"/>
              <w:ind w:right="130"/>
              <w:jc w:val="center"/>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 xml:space="preserve"> </w:t>
            </w:r>
            <w:r w:rsidRPr="00E211E6">
              <w:rPr>
                <w:rFonts w:asciiTheme="minorHAnsi" w:hAnsiTheme="minorHAnsi" w:cstheme="minorHAnsi"/>
                <w:b/>
                <w:bCs/>
                <w:color w:val="4F81BD" w:themeColor="accent1"/>
                <w:sz w:val="21"/>
                <w:szCs w:val="21"/>
              </w:rPr>
              <w:t>Rok</w:t>
            </w:r>
          </w:p>
        </w:tc>
        <w:tc>
          <w:tcPr>
            <w:tcW w:w="1828" w:type="dxa"/>
          </w:tcPr>
          <w:p w14:paraId="671AEABE" w14:textId="77777777" w:rsidR="00886981" w:rsidRPr="00E211E6" w:rsidRDefault="00886981" w:rsidP="002C7134">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r>
      <w:tr w:rsidR="00886981" w:rsidRPr="00E211E6" w14:paraId="7D303FED" w14:textId="77777777" w:rsidTr="002C7134">
        <w:trPr>
          <w:trHeight w:val="349"/>
        </w:trPr>
        <w:tc>
          <w:tcPr>
            <w:tcW w:w="2167" w:type="dxa"/>
          </w:tcPr>
          <w:p w14:paraId="052C295B"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   </w:t>
            </w:r>
            <w:r w:rsidRPr="00E211E6">
              <w:rPr>
                <w:rFonts w:asciiTheme="minorHAnsi" w:hAnsiTheme="minorHAnsi" w:cstheme="minorHAnsi"/>
                <w:color w:val="4F81BD" w:themeColor="accent1"/>
                <w:sz w:val="21"/>
                <w:szCs w:val="21"/>
              </w:rPr>
              <w:t>2020</w:t>
            </w:r>
          </w:p>
        </w:tc>
        <w:tc>
          <w:tcPr>
            <w:tcW w:w="1828" w:type="dxa"/>
          </w:tcPr>
          <w:p w14:paraId="0A3B426E" w14:textId="77777777" w:rsidR="00886981" w:rsidRPr="00E211E6" w:rsidRDefault="00886981" w:rsidP="002C7134">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7 503</w:t>
            </w:r>
            <w:r w:rsidRPr="00E211E6">
              <w:rPr>
                <w:rFonts w:asciiTheme="minorHAnsi" w:hAnsiTheme="minorHAnsi" w:cstheme="minorHAnsi"/>
                <w:color w:val="4F81BD" w:themeColor="accent1"/>
                <w:sz w:val="21"/>
                <w:szCs w:val="21"/>
              </w:rPr>
              <w:t xml:space="preserve"> Kč</w:t>
            </w:r>
          </w:p>
        </w:tc>
        <w:tc>
          <w:tcPr>
            <w:tcW w:w="1828" w:type="dxa"/>
          </w:tcPr>
          <w:p w14:paraId="1E703C8C" w14:textId="77777777" w:rsidR="00886981" w:rsidRDefault="00886981" w:rsidP="002C7134">
            <w:pPr>
              <w:spacing w:after="120"/>
              <w:ind w:right="130"/>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2020</w:t>
            </w:r>
          </w:p>
        </w:tc>
        <w:tc>
          <w:tcPr>
            <w:tcW w:w="1828" w:type="dxa"/>
          </w:tcPr>
          <w:p w14:paraId="52CF7E61" w14:textId="77777777" w:rsidR="00886981" w:rsidRDefault="00886981" w:rsidP="002C7134">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5 922</w:t>
            </w:r>
            <w:r w:rsidRPr="00E211E6">
              <w:rPr>
                <w:rFonts w:asciiTheme="minorHAnsi" w:hAnsiTheme="minorHAnsi" w:cstheme="minorHAnsi"/>
                <w:color w:val="4F81BD" w:themeColor="accent1"/>
                <w:sz w:val="21"/>
                <w:szCs w:val="21"/>
              </w:rPr>
              <w:t xml:space="preserve"> Kč</w:t>
            </w:r>
          </w:p>
        </w:tc>
      </w:tr>
      <w:tr w:rsidR="00886981" w:rsidRPr="00E211E6" w14:paraId="65D6B32F" w14:textId="77777777" w:rsidTr="002C7134">
        <w:trPr>
          <w:trHeight w:val="358"/>
        </w:trPr>
        <w:tc>
          <w:tcPr>
            <w:tcW w:w="2167" w:type="dxa"/>
          </w:tcPr>
          <w:p w14:paraId="3F116E7E"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 2021</w:t>
            </w:r>
          </w:p>
        </w:tc>
        <w:tc>
          <w:tcPr>
            <w:tcW w:w="1828" w:type="dxa"/>
          </w:tcPr>
          <w:p w14:paraId="1AC8BA4F" w14:textId="77777777" w:rsidR="00886981" w:rsidRPr="00E211E6" w:rsidRDefault="00886981" w:rsidP="002C7134">
            <w:pPr>
              <w:spacing w:after="120"/>
              <w:ind w:right="130"/>
              <w:rPr>
                <w:rFonts w:asciiTheme="minorHAnsi" w:hAnsiTheme="minorHAnsi" w:cstheme="minorHAnsi"/>
                <w:color w:val="4F81BD" w:themeColor="accent1"/>
                <w:sz w:val="21"/>
                <w:szCs w:val="21"/>
              </w:rPr>
            </w:pPr>
            <w:r w:rsidRPr="00345D3E">
              <w:rPr>
                <w:rFonts w:asciiTheme="minorHAnsi" w:hAnsiTheme="minorHAnsi" w:cs="Arial"/>
                <w:color w:val="4F81BD" w:themeColor="accent1"/>
                <w:sz w:val="20"/>
                <w:szCs w:val="20"/>
              </w:rPr>
              <w:t>7</w:t>
            </w:r>
            <w:r>
              <w:rPr>
                <w:rFonts w:asciiTheme="minorHAnsi" w:hAnsiTheme="minorHAnsi" w:cs="Arial"/>
                <w:color w:val="4F81BD" w:themeColor="accent1"/>
                <w:sz w:val="20"/>
                <w:szCs w:val="20"/>
              </w:rPr>
              <w:t xml:space="preserve"> 009 </w:t>
            </w:r>
            <w:r w:rsidRPr="00345D3E">
              <w:rPr>
                <w:rFonts w:asciiTheme="minorHAnsi" w:hAnsiTheme="minorHAnsi" w:cs="Arial"/>
                <w:color w:val="4F81BD" w:themeColor="accent1"/>
                <w:sz w:val="20"/>
                <w:szCs w:val="20"/>
              </w:rPr>
              <w:t>Kč</w:t>
            </w:r>
          </w:p>
        </w:tc>
        <w:tc>
          <w:tcPr>
            <w:tcW w:w="1828" w:type="dxa"/>
          </w:tcPr>
          <w:p w14:paraId="21A016B5" w14:textId="77777777" w:rsidR="00886981" w:rsidRPr="00345D3E" w:rsidRDefault="00886981" w:rsidP="002C7134">
            <w:pPr>
              <w:spacing w:after="120"/>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2021</w:t>
            </w:r>
          </w:p>
        </w:tc>
        <w:tc>
          <w:tcPr>
            <w:tcW w:w="1828" w:type="dxa"/>
          </w:tcPr>
          <w:p w14:paraId="1593E577" w14:textId="77777777" w:rsidR="00886981" w:rsidRPr="00345D3E" w:rsidRDefault="00886981" w:rsidP="002C7134">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5 649</w:t>
            </w:r>
            <w:r w:rsidRPr="00345D3E">
              <w:rPr>
                <w:rFonts w:asciiTheme="minorHAnsi" w:hAnsiTheme="minorHAnsi" w:cs="Arial"/>
                <w:color w:val="4F81BD" w:themeColor="accent1"/>
                <w:sz w:val="20"/>
                <w:szCs w:val="20"/>
              </w:rPr>
              <w:t xml:space="preserve"> Kč</w:t>
            </w:r>
          </w:p>
        </w:tc>
      </w:tr>
      <w:tr w:rsidR="00886981" w:rsidRPr="00345D3E" w14:paraId="455BC45D" w14:textId="77777777" w:rsidTr="002C7134">
        <w:trPr>
          <w:trHeight w:val="358"/>
        </w:trPr>
        <w:tc>
          <w:tcPr>
            <w:tcW w:w="2167" w:type="dxa"/>
          </w:tcPr>
          <w:p w14:paraId="78A511AD"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2022</w:t>
            </w:r>
          </w:p>
        </w:tc>
        <w:tc>
          <w:tcPr>
            <w:tcW w:w="1828" w:type="dxa"/>
          </w:tcPr>
          <w:p w14:paraId="6FA4007F" w14:textId="77777777" w:rsidR="00886981" w:rsidRPr="00345D3E" w:rsidRDefault="00886981" w:rsidP="002C7134">
            <w:pPr>
              <w:spacing w:after="120"/>
              <w:ind w:right="130"/>
              <w:rPr>
                <w:rFonts w:asciiTheme="minorHAnsi" w:hAnsiTheme="minorHAnsi" w:cstheme="minorHAnsi"/>
                <w:color w:val="4F81BD" w:themeColor="accent1"/>
                <w:sz w:val="21"/>
                <w:szCs w:val="21"/>
              </w:rPr>
            </w:pPr>
            <w:r w:rsidRPr="00345D3E">
              <w:rPr>
                <w:rFonts w:asciiTheme="minorHAnsi" w:hAnsiTheme="minorHAnsi" w:cs="Arial"/>
                <w:color w:val="4F81BD" w:themeColor="accent1"/>
                <w:sz w:val="20"/>
                <w:szCs w:val="20"/>
              </w:rPr>
              <w:t>7</w:t>
            </w:r>
            <w:r>
              <w:rPr>
                <w:rFonts w:asciiTheme="minorHAnsi" w:hAnsiTheme="minorHAnsi" w:cs="Arial"/>
                <w:color w:val="4F81BD" w:themeColor="accent1"/>
                <w:sz w:val="20"/>
                <w:szCs w:val="20"/>
              </w:rPr>
              <w:t xml:space="preserve">  389</w:t>
            </w:r>
            <w:r w:rsidRPr="00345D3E">
              <w:rPr>
                <w:rFonts w:asciiTheme="minorHAnsi" w:hAnsiTheme="minorHAnsi" w:cs="Arial"/>
                <w:color w:val="4F81BD" w:themeColor="accent1"/>
                <w:sz w:val="20"/>
                <w:szCs w:val="20"/>
              </w:rPr>
              <w:t xml:space="preserve"> Kč</w:t>
            </w:r>
          </w:p>
        </w:tc>
        <w:tc>
          <w:tcPr>
            <w:tcW w:w="1828" w:type="dxa"/>
          </w:tcPr>
          <w:p w14:paraId="01B402A6" w14:textId="77777777" w:rsidR="00886981" w:rsidRPr="00345D3E" w:rsidRDefault="00886981" w:rsidP="002C7134">
            <w:pPr>
              <w:spacing w:after="120"/>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2022</w:t>
            </w:r>
          </w:p>
        </w:tc>
        <w:tc>
          <w:tcPr>
            <w:tcW w:w="1828" w:type="dxa"/>
          </w:tcPr>
          <w:p w14:paraId="71D64D2E" w14:textId="77777777" w:rsidR="00886981" w:rsidRPr="00345D3E" w:rsidRDefault="00886981" w:rsidP="002C7134">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5 919</w:t>
            </w:r>
            <w:r w:rsidRPr="00345D3E">
              <w:rPr>
                <w:rFonts w:asciiTheme="minorHAnsi" w:hAnsiTheme="minorHAnsi" w:cs="Arial"/>
                <w:color w:val="4F81BD" w:themeColor="accent1"/>
                <w:sz w:val="20"/>
                <w:szCs w:val="20"/>
              </w:rPr>
              <w:t xml:space="preserve"> Kč</w:t>
            </w:r>
          </w:p>
        </w:tc>
      </w:tr>
      <w:tr w:rsidR="00886981" w:rsidRPr="00345D3E" w14:paraId="52B83D31" w14:textId="77777777" w:rsidTr="002C7134">
        <w:trPr>
          <w:trHeight w:val="349"/>
        </w:trPr>
        <w:tc>
          <w:tcPr>
            <w:tcW w:w="2167" w:type="dxa"/>
          </w:tcPr>
          <w:p w14:paraId="6C890EDB"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2023</w:t>
            </w:r>
          </w:p>
        </w:tc>
        <w:tc>
          <w:tcPr>
            <w:tcW w:w="1828" w:type="dxa"/>
          </w:tcPr>
          <w:p w14:paraId="610BD70D" w14:textId="77777777" w:rsidR="00886981" w:rsidRPr="00345D3E" w:rsidRDefault="00886981" w:rsidP="002C7134">
            <w:pPr>
              <w:spacing w:after="120"/>
              <w:ind w:right="130"/>
              <w:rPr>
                <w:rFonts w:asciiTheme="minorHAnsi" w:hAnsiTheme="minorHAnsi" w:cstheme="minorHAnsi"/>
                <w:color w:val="4F81BD" w:themeColor="accent1"/>
                <w:sz w:val="21"/>
                <w:szCs w:val="21"/>
              </w:rPr>
            </w:pPr>
            <w:r w:rsidRPr="00345D3E">
              <w:rPr>
                <w:rFonts w:asciiTheme="minorHAnsi" w:hAnsiTheme="minorHAnsi" w:cs="Arial"/>
                <w:color w:val="4F81BD" w:themeColor="accent1"/>
                <w:sz w:val="20"/>
                <w:szCs w:val="20"/>
              </w:rPr>
              <w:t>7</w:t>
            </w:r>
            <w:r>
              <w:rPr>
                <w:rFonts w:asciiTheme="minorHAnsi" w:hAnsiTheme="minorHAnsi" w:cs="Arial"/>
                <w:color w:val="4F81BD" w:themeColor="accent1"/>
                <w:sz w:val="20"/>
                <w:szCs w:val="20"/>
              </w:rPr>
              <w:t xml:space="preserve"> 500</w:t>
            </w:r>
            <w:r w:rsidRPr="00345D3E">
              <w:rPr>
                <w:rFonts w:asciiTheme="minorHAnsi" w:hAnsiTheme="minorHAnsi" w:cs="Arial"/>
                <w:color w:val="4F81BD" w:themeColor="accent1"/>
                <w:sz w:val="20"/>
                <w:szCs w:val="20"/>
              </w:rPr>
              <w:t xml:space="preserve"> Kč</w:t>
            </w:r>
          </w:p>
        </w:tc>
        <w:tc>
          <w:tcPr>
            <w:tcW w:w="1828" w:type="dxa"/>
          </w:tcPr>
          <w:p w14:paraId="1E45F25B" w14:textId="77777777" w:rsidR="00886981" w:rsidRPr="00345D3E" w:rsidRDefault="00886981" w:rsidP="002C7134">
            <w:pPr>
              <w:spacing w:after="120"/>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2023</w:t>
            </w:r>
          </w:p>
        </w:tc>
        <w:tc>
          <w:tcPr>
            <w:tcW w:w="1828" w:type="dxa"/>
          </w:tcPr>
          <w:p w14:paraId="7C6F3E5C" w14:textId="77777777" w:rsidR="00886981" w:rsidRPr="00345D3E" w:rsidRDefault="00886981" w:rsidP="002C7134">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6 196</w:t>
            </w:r>
            <w:r w:rsidRPr="00345D3E">
              <w:rPr>
                <w:rFonts w:asciiTheme="minorHAnsi" w:hAnsiTheme="minorHAnsi" w:cs="Arial"/>
                <w:color w:val="4F81BD" w:themeColor="accent1"/>
                <w:sz w:val="20"/>
                <w:szCs w:val="20"/>
              </w:rPr>
              <w:t xml:space="preserve"> Kč</w:t>
            </w:r>
          </w:p>
        </w:tc>
      </w:tr>
      <w:tr w:rsidR="00886981" w:rsidRPr="00345D3E" w14:paraId="01514479" w14:textId="77777777" w:rsidTr="002C7134">
        <w:trPr>
          <w:trHeight w:val="358"/>
        </w:trPr>
        <w:tc>
          <w:tcPr>
            <w:tcW w:w="2167" w:type="dxa"/>
          </w:tcPr>
          <w:p w14:paraId="01105EB1" w14:textId="77777777" w:rsidR="00886981" w:rsidRDefault="00886981" w:rsidP="002C7134">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2024</w:t>
            </w:r>
          </w:p>
        </w:tc>
        <w:tc>
          <w:tcPr>
            <w:tcW w:w="1828" w:type="dxa"/>
          </w:tcPr>
          <w:p w14:paraId="6C0D5044" w14:textId="77777777" w:rsidR="00886981" w:rsidRPr="00345D3E" w:rsidRDefault="00886981" w:rsidP="002C7134">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7 739 K</w:t>
            </w:r>
            <w:r w:rsidRPr="00345D3E">
              <w:rPr>
                <w:rFonts w:asciiTheme="minorHAnsi" w:hAnsiTheme="minorHAnsi" w:cs="Arial"/>
                <w:color w:val="4F81BD" w:themeColor="accent1"/>
                <w:sz w:val="20"/>
                <w:szCs w:val="20"/>
              </w:rPr>
              <w:t>č</w:t>
            </w:r>
          </w:p>
        </w:tc>
        <w:tc>
          <w:tcPr>
            <w:tcW w:w="1828" w:type="dxa"/>
          </w:tcPr>
          <w:p w14:paraId="55CD21BC" w14:textId="77777777" w:rsidR="00886981" w:rsidRDefault="00886981" w:rsidP="002C7134">
            <w:pPr>
              <w:spacing w:after="120"/>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2024</w:t>
            </w:r>
          </w:p>
        </w:tc>
        <w:tc>
          <w:tcPr>
            <w:tcW w:w="1828" w:type="dxa"/>
          </w:tcPr>
          <w:p w14:paraId="3994175E" w14:textId="77777777" w:rsidR="00886981" w:rsidRDefault="00886981" w:rsidP="002C7134">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6 116</w:t>
            </w:r>
            <w:r w:rsidRPr="00345D3E">
              <w:rPr>
                <w:rFonts w:asciiTheme="minorHAnsi" w:hAnsiTheme="minorHAnsi" w:cs="Arial"/>
                <w:color w:val="4F81BD" w:themeColor="accent1"/>
                <w:sz w:val="20"/>
                <w:szCs w:val="20"/>
              </w:rPr>
              <w:t xml:space="preserve"> </w:t>
            </w:r>
            <w:r>
              <w:rPr>
                <w:rFonts w:asciiTheme="minorHAnsi" w:hAnsiTheme="minorHAnsi" w:cs="Arial"/>
                <w:color w:val="4F81BD" w:themeColor="accent1"/>
                <w:sz w:val="20"/>
                <w:szCs w:val="20"/>
              </w:rPr>
              <w:t>K</w:t>
            </w:r>
            <w:r w:rsidRPr="00345D3E">
              <w:rPr>
                <w:rFonts w:asciiTheme="minorHAnsi" w:hAnsiTheme="minorHAnsi" w:cs="Arial"/>
                <w:color w:val="4F81BD" w:themeColor="accent1"/>
                <w:sz w:val="20"/>
                <w:szCs w:val="20"/>
              </w:rPr>
              <w:t>č</w:t>
            </w:r>
          </w:p>
        </w:tc>
      </w:tr>
      <w:tr w:rsidR="00886981" w:rsidRPr="00345D3E" w14:paraId="021F5E86" w14:textId="77777777" w:rsidTr="002C7134">
        <w:trPr>
          <w:trHeight w:val="349"/>
        </w:trPr>
        <w:tc>
          <w:tcPr>
            <w:tcW w:w="2167" w:type="dxa"/>
          </w:tcPr>
          <w:p w14:paraId="25BC88D6" w14:textId="77777777" w:rsidR="00886981" w:rsidRPr="00E211E6" w:rsidRDefault="00886981" w:rsidP="002C7134">
            <w:pPr>
              <w:spacing w:after="120"/>
              <w:ind w:right="130"/>
              <w:jc w:val="center"/>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Průměr za celé sledování</w:t>
            </w:r>
          </w:p>
        </w:tc>
        <w:tc>
          <w:tcPr>
            <w:tcW w:w="1828" w:type="dxa"/>
          </w:tcPr>
          <w:p w14:paraId="4CDA3A08" w14:textId="77777777" w:rsidR="00886981" w:rsidRPr="00345D3E" w:rsidRDefault="00886981" w:rsidP="002C7134">
            <w:pPr>
              <w:spacing w:after="120"/>
              <w:ind w:right="130"/>
              <w:rPr>
                <w:rFonts w:asciiTheme="minorHAnsi" w:hAnsiTheme="minorHAnsi" w:cstheme="minorHAnsi"/>
                <w:color w:val="4F81BD" w:themeColor="accent1"/>
                <w:sz w:val="21"/>
                <w:szCs w:val="21"/>
              </w:rPr>
            </w:pPr>
            <w:r>
              <w:rPr>
                <w:rFonts w:asciiTheme="minorHAnsi" w:hAnsiTheme="minorHAnsi" w:cs="Arial"/>
                <w:color w:val="4F81BD" w:themeColor="accent1"/>
                <w:sz w:val="20"/>
                <w:szCs w:val="20"/>
              </w:rPr>
              <w:t>7 519,70</w:t>
            </w:r>
            <w:r w:rsidRPr="00345D3E">
              <w:rPr>
                <w:rFonts w:asciiTheme="minorHAnsi" w:hAnsiTheme="minorHAnsi" w:cs="Arial"/>
                <w:color w:val="4F81BD" w:themeColor="accent1"/>
                <w:sz w:val="20"/>
                <w:szCs w:val="20"/>
              </w:rPr>
              <w:t xml:space="preserve"> Kč</w:t>
            </w:r>
          </w:p>
        </w:tc>
        <w:tc>
          <w:tcPr>
            <w:tcW w:w="1828" w:type="dxa"/>
          </w:tcPr>
          <w:p w14:paraId="6AF12466" w14:textId="77777777" w:rsidR="00886981" w:rsidRDefault="00886981" w:rsidP="002C7134">
            <w:pPr>
              <w:spacing w:after="120"/>
              <w:ind w:right="130"/>
              <w:rPr>
                <w:rFonts w:asciiTheme="minorHAnsi" w:hAnsiTheme="minorHAnsi" w:cs="Arial"/>
                <w:color w:val="4F81BD" w:themeColor="accent1"/>
                <w:sz w:val="20"/>
                <w:szCs w:val="20"/>
              </w:rPr>
            </w:pPr>
            <w:r w:rsidRPr="00E211E6">
              <w:rPr>
                <w:rFonts w:asciiTheme="minorHAnsi" w:hAnsiTheme="minorHAnsi" w:cstheme="minorHAnsi"/>
                <w:color w:val="4F81BD" w:themeColor="accent1"/>
                <w:sz w:val="21"/>
                <w:szCs w:val="21"/>
              </w:rPr>
              <w:t>Průměr za celé sledování</w:t>
            </w:r>
          </w:p>
        </w:tc>
        <w:tc>
          <w:tcPr>
            <w:tcW w:w="1828" w:type="dxa"/>
          </w:tcPr>
          <w:p w14:paraId="400E5D55" w14:textId="77777777" w:rsidR="00886981" w:rsidRDefault="00886981" w:rsidP="002C7134">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6 009,50</w:t>
            </w:r>
            <w:r w:rsidRPr="00345D3E">
              <w:rPr>
                <w:rFonts w:asciiTheme="minorHAnsi" w:hAnsiTheme="minorHAnsi" w:cs="Arial"/>
                <w:color w:val="4F81BD" w:themeColor="accent1"/>
                <w:sz w:val="20"/>
                <w:szCs w:val="20"/>
              </w:rPr>
              <w:t xml:space="preserve"> Kč</w:t>
            </w:r>
          </w:p>
        </w:tc>
      </w:tr>
    </w:tbl>
    <w:p w14:paraId="0879E997" w14:textId="77777777" w:rsidR="00886981" w:rsidRDefault="00886981" w:rsidP="00886981">
      <w:pPr>
        <w:spacing w:after="120"/>
        <w:ind w:right="130"/>
        <w:rPr>
          <w:rFonts w:asciiTheme="minorHAnsi" w:hAnsiTheme="minorHAnsi" w:cstheme="minorHAnsi"/>
          <w:sz w:val="21"/>
          <w:szCs w:val="21"/>
        </w:rPr>
      </w:pPr>
    </w:p>
    <w:p w14:paraId="6FDE6C86" w14:textId="5482622D" w:rsidR="008A5443" w:rsidRPr="005541A6" w:rsidRDefault="008A5443" w:rsidP="00B20F7B">
      <w:pPr>
        <w:spacing w:after="120"/>
        <w:ind w:right="130"/>
        <w:rPr>
          <w:rFonts w:asciiTheme="minorHAnsi" w:hAnsiTheme="minorHAnsi" w:cstheme="minorHAnsi"/>
          <w:sz w:val="21"/>
          <w:szCs w:val="21"/>
        </w:rPr>
      </w:pPr>
    </w:p>
    <w:p w14:paraId="2E5C494E" w14:textId="51A7069E" w:rsidR="003D405C" w:rsidRDefault="003D405C" w:rsidP="0084046D">
      <w:pPr>
        <w:spacing w:after="120"/>
        <w:ind w:right="130"/>
        <w:jc w:val="both"/>
        <w:rPr>
          <w:rFonts w:asciiTheme="minorHAnsi" w:hAnsiTheme="minorHAnsi" w:cstheme="minorHAnsi"/>
          <w:b/>
          <w:sz w:val="21"/>
          <w:szCs w:val="21"/>
        </w:rPr>
      </w:pPr>
      <w:r>
        <w:rPr>
          <w:rFonts w:asciiTheme="minorHAnsi" w:hAnsiTheme="minorHAnsi" w:cstheme="minorHAnsi"/>
          <w:b/>
          <w:sz w:val="21"/>
          <w:szCs w:val="21"/>
        </w:rPr>
        <w:t>Výpočet povinného ručení</w:t>
      </w:r>
    </w:p>
    <w:p w14:paraId="0FB5C0A1" w14:textId="1E7836D5" w:rsidR="003D405C" w:rsidRDefault="003D405C" w:rsidP="0084046D">
      <w:pPr>
        <w:spacing w:after="120"/>
        <w:ind w:right="130"/>
        <w:jc w:val="both"/>
        <w:rPr>
          <w:rFonts w:asciiTheme="minorHAnsi" w:hAnsiTheme="minorHAnsi" w:cstheme="minorHAnsi"/>
          <w:i/>
          <w:sz w:val="21"/>
          <w:szCs w:val="21"/>
        </w:rPr>
      </w:pPr>
      <w:r>
        <w:rPr>
          <w:rFonts w:asciiTheme="minorHAnsi" w:hAnsiTheme="minorHAnsi" w:cstheme="minorHAnsi"/>
          <w:sz w:val="21"/>
          <w:szCs w:val="21"/>
        </w:rPr>
        <w:t>Povinné ručení je pojištění vozidla, které zákon určuje jako povinné. Primárním účelem tohoto typu pojištění je ochránit řidiče před placením obrovských částek v</w:t>
      </w:r>
      <w:r w:rsidR="00E2543E">
        <w:rPr>
          <w:rFonts w:asciiTheme="minorHAnsi" w:hAnsiTheme="minorHAnsi" w:cstheme="minorHAnsi"/>
          <w:sz w:val="21"/>
          <w:szCs w:val="21"/>
        </w:rPr>
        <w:t> </w:t>
      </w:r>
      <w:r>
        <w:rPr>
          <w:rFonts w:asciiTheme="minorHAnsi" w:hAnsiTheme="minorHAnsi" w:cstheme="minorHAnsi"/>
          <w:sz w:val="21"/>
          <w:szCs w:val="21"/>
        </w:rPr>
        <w:t>případě</w:t>
      </w:r>
      <w:r w:rsidR="00E2543E">
        <w:rPr>
          <w:rFonts w:asciiTheme="minorHAnsi" w:hAnsiTheme="minorHAnsi" w:cstheme="minorHAnsi"/>
          <w:sz w:val="21"/>
          <w:szCs w:val="21"/>
        </w:rPr>
        <w:t>, že</w:t>
      </w:r>
      <w:r>
        <w:rPr>
          <w:rFonts w:asciiTheme="minorHAnsi" w:hAnsiTheme="minorHAnsi" w:cstheme="minorHAnsi"/>
          <w:sz w:val="21"/>
          <w:szCs w:val="21"/>
        </w:rPr>
        <w:t xml:space="preserve"> </w:t>
      </w:r>
      <w:r w:rsidR="00E2543E">
        <w:rPr>
          <w:rFonts w:asciiTheme="minorHAnsi" w:hAnsiTheme="minorHAnsi" w:cstheme="minorHAnsi"/>
          <w:sz w:val="21"/>
          <w:szCs w:val="21"/>
        </w:rPr>
        <w:t>způsobí</w:t>
      </w:r>
      <w:r>
        <w:rPr>
          <w:rFonts w:asciiTheme="minorHAnsi" w:hAnsiTheme="minorHAnsi" w:cstheme="minorHAnsi"/>
          <w:sz w:val="21"/>
          <w:szCs w:val="21"/>
        </w:rPr>
        <w:t xml:space="preserve"> dopravní</w:t>
      </w:r>
      <w:r w:rsidR="00E2543E">
        <w:rPr>
          <w:rFonts w:asciiTheme="minorHAnsi" w:hAnsiTheme="minorHAnsi" w:cstheme="minorHAnsi"/>
          <w:sz w:val="21"/>
          <w:szCs w:val="21"/>
        </w:rPr>
        <w:t xml:space="preserve"> nehodu</w:t>
      </w:r>
      <w:r>
        <w:rPr>
          <w:rFonts w:asciiTheme="minorHAnsi" w:hAnsiTheme="minorHAnsi" w:cstheme="minorHAnsi"/>
          <w:sz w:val="21"/>
          <w:szCs w:val="21"/>
        </w:rPr>
        <w:t xml:space="preserve">. </w:t>
      </w:r>
      <w:r w:rsidR="00CC453F">
        <w:rPr>
          <w:rFonts w:asciiTheme="minorHAnsi" w:hAnsiTheme="minorHAnsi" w:cstheme="minorHAnsi"/>
          <w:sz w:val="21"/>
          <w:szCs w:val="21"/>
        </w:rPr>
        <w:t>„</w:t>
      </w:r>
      <w:r w:rsidR="00E2543E">
        <w:rPr>
          <w:rFonts w:asciiTheme="minorHAnsi" w:hAnsiTheme="minorHAnsi" w:cstheme="minorHAnsi"/>
          <w:sz w:val="21"/>
          <w:szCs w:val="21"/>
        </w:rPr>
        <w:t>V</w:t>
      </w:r>
      <w:r w:rsidR="00E2543E" w:rsidRPr="006340BB">
        <w:rPr>
          <w:rFonts w:asciiTheme="minorHAnsi" w:hAnsiTheme="minorHAnsi" w:cstheme="minorHAnsi"/>
          <w:i/>
          <w:sz w:val="21"/>
          <w:szCs w:val="21"/>
        </w:rPr>
        <w:t xml:space="preserve">ýslednou cenu ovlivňuje celá řada </w:t>
      </w:r>
      <w:r w:rsidR="00E2543E" w:rsidRPr="006340BB">
        <w:rPr>
          <w:rFonts w:asciiTheme="minorHAnsi" w:hAnsiTheme="minorHAnsi" w:cstheme="minorHAnsi"/>
          <w:i/>
          <w:sz w:val="21"/>
          <w:szCs w:val="21"/>
        </w:rPr>
        <w:lastRenderedPageBreak/>
        <w:t xml:space="preserve">faktorů, </w:t>
      </w:r>
      <w:r w:rsidR="006340BB" w:rsidRPr="006340BB">
        <w:rPr>
          <w:rFonts w:asciiTheme="minorHAnsi" w:hAnsiTheme="minorHAnsi" w:cstheme="minorHAnsi"/>
          <w:i/>
          <w:sz w:val="21"/>
          <w:szCs w:val="21"/>
        </w:rPr>
        <w:t>ale i kombinace produktů, kterou si jako klient u pojišťovny sjednáte. Typicky výhodnější cena je při uzavření povinného ručení v kombinaci s pojištěním havarijn</w:t>
      </w:r>
      <w:r w:rsidR="00CC453F">
        <w:rPr>
          <w:rFonts w:asciiTheme="minorHAnsi" w:hAnsiTheme="minorHAnsi" w:cstheme="minorHAnsi"/>
          <w:i/>
          <w:sz w:val="21"/>
          <w:szCs w:val="21"/>
        </w:rPr>
        <w:t xml:space="preserve">ím, a to u jednoho poskytovatele,“ </w:t>
      </w:r>
      <w:r w:rsidR="00CC453F">
        <w:rPr>
          <w:rFonts w:asciiTheme="minorHAnsi" w:hAnsiTheme="minorHAnsi" w:cstheme="minorHAnsi"/>
          <w:sz w:val="21"/>
          <w:szCs w:val="21"/>
        </w:rPr>
        <w:t>doplňuje k výpočtu ceny</w:t>
      </w:r>
      <w:r w:rsidR="00CC453F" w:rsidRPr="00CC453F">
        <w:rPr>
          <w:rFonts w:asciiTheme="minorHAnsi" w:hAnsiTheme="minorHAnsi" w:cstheme="minorHAnsi"/>
          <w:b/>
          <w:bCs/>
          <w:sz w:val="21"/>
          <w:szCs w:val="21"/>
        </w:rPr>
        <w:t xml:space="preserve"> </w:t>
      </w:r>
      <w:r w:rsidR="00CC453F">
        <w:rPr>
          <w:rFonts w:asciiTheme="minorHAnsi" w:hAnsiTheme="minorHAnsi" w:cstheme="minorHAnsi"/>
          <w:b/>
          <w:bCs/>
          <w:sz w:val="21"/>
          <w:szCs w:val="21"/>
        </w:rPr>
        <w:t xml:space="preserve">Jiří Váchal ze </w:t>
      </w:r>
      <w:r w:rsidR="00CC453F" w:rsidRPr="005541A6">
        <w:rPr>
          <w:rFonts w:asciiTheme="minorHAnsi" w:hAnsiTheme="minorHAnsi" w:cstheme="minorHAnsi"/>
          <w:b/>
          <w:bCs/>
          <w:sz w:val="21"/>
          <w:szCs w:val="21"/>
        </w:rPr>
        <w:t>společnosti Broke</w:t>
      </w:r>
      <w:r w:rsidR="00CC453F">
        <w:rPr>
          <w:rFonts w:asciiTheme="minorHAnsi" w:hAnsiTheme="minorHAnsi" w:cstheme="minorHAnsi"/>
          <w:b/>
          <w:bCs/>
          <w:sz w:val="21"/>
          <w:szCs w:val="21"/>
        </w:rPr>
        <w:t>r Consulting.</w:t>
      </w:r>
    </w:p>
    <w:p w14:paraId="2C9F3E69" w14:textId="0FE392D2" w:rsidR="006340BB" w:rsidRPr="006340BB" w:rsidRDefault="006340BB" w:rsidP="0084046D">
      <w:pPr>
        <w:spacing w:after="120"/>
        <w:ind w:right="130"/>
        <w:jc w:val="both"/>
        <w:rPr>
          <w:rFonts w:asciiTheme="minorHAnsi" w:hAnsiTheme="minorHAnsi" w:cstheme="minorHAnsi"/>
          <w:b/>
          <w:sz w:val="21"/>
          <w:szCs w:val="21"/>
        </w:rPr>
      </w:pPr>
      <w:r w:rsidRPr="006340BB">
        <w:rPr>
          <w:rFonts w:asciiTheme="minorHAnsi" w:hAnsiTheme="minorHAnsi" w:cstheme="minorHAnsi"/>
          <w:b/>
          <w:sz w:val="21"/>
          <w:szCs w:val="21"/>
        </w:rPr>
        <w:t>Cenu primárně ovlivňuje:</w:t>
      </w:r>
    </w:p>
    <w:p w14:paraId="212F8FAD" w14:textId="184F404F" w:rsidR="00E2543E" w:rsidRDefault="00E2543E" w:rsidP="00E2543E">
      <w:pPr>
        <w:pStyle w:val="Odstavecseseznamem"/>
        <w:numPr>
          <w:ilvl w:val="0"/>
          <w:numId w:val="36"/>
        </w:numPr>
        <w:spacing w:after="120"/>
        <w:ind w:right="130"/>
        <w:jc w:val="both"/>
        <w:rPr>
          <w:rFonts w:asciiTheme="minorHAnsi" w:hAnsiTheme="minorHAnsi" w:cstheme="minorHAnsi"/>
          <w:sz w:val="21"/>
          <w:szCs w:val="21"/>
        </w:rPr>
      </w:pPr>
      <w:r w:rsidRPr="00CC453F">
        <w:rPr>
          <w:rFonts w:asciiTheme="minorHAnsi" w:hAnsiTheme="minorHAnsi" w:cstheme="minorHAnsi"/>
          <w:b/>
          <w:sz w:val="21"/>
          <w:szCs w:val="21"/>
        </w:rPr>
        <w:t>Věk pojištěnce</w:t>
      </w:r>
      <w:r>
        <w:rPr>
          <w:rFonts w:asciiTheme="minorHAnsi" w:hAnsiTheme="minorHAnsi" w:cstheme="minorHAnsi"/>
          <w:sz w:val="21"/>
          <w:szCs w:val="21"/>
        </w:rPr>
        <w:t xml:space="preserve"> – mladší řidiči obvykle zaplatí za pojištění více, a to kvůli vyššímu riziku nehod.</w:t>
      </w:r>
    </w:p>
    <w:p w14:paraId="46A1DC57" w14:textId="43B969FD" w:rsidR="00E2543E" w:rsidRDefault="00E2543E" w:rsidP="00E2543E">
      <w:pPr>
        <w:pStyle w:val="Odstavecseseznamem"/>
        <w:numPr>
          <w:ilvl w:val="0"/>
          <w:numId w:val="36"/>
        </w:numPr>
        <w:spacing w:after="120"/>
        <w:ind w:right="130"/>
        <w:jc w:val="both"/>
        <w:rPr>
          <w:rFonts w:asciiTheme="minorHAnsi" w:hAnsiTheme="minorHAnsi" w:cstheme="minorHAnsi"/>
          <w:sz w:val="21"/>
          <w:szCs w:val="21"/>
        </w:rPr>
      </w:pPr>
      <w:r w:rsidRPr="00CC453F">
        <w:rPr>
          <w:rFonts w:asciiTheme="minorHAnsi" w:hAnsiTheme="minorHAnsi" w:cstheme="minorHAnsi"/>
          <w:b/>
          <w:sz w:val="21"/>
          <w:szCs w:val="21"/>
        </w:rPr>
        <w:t>Adresa trvalého bydliště</w:t>
      </w:r>
      <w:r>
        <w:rPr>
          <w:rFonts w:asciiTheme="minorHAnsi" w:hAnsiTheme="minorHAnsi" w:cstheme="minorHAnsi"/>
          <w:sz w:val="21"/>
          <w:szCs w:val="21"/>
        </w:rPr>
        <w:t xml:space="preserve"> – zohledňuje lokalitu, ve které může být například větší riziko vzniku nehod nebo krádeží vozidel.</w:t>
      </w:r>
    </w:p>
    <w:p w14:paraId="0995CAD9" w14:textId="20F1AB01" w:rsidR="00E2543E" w:rsidRDefault="0092700A" w:rsidP="00E2543E">
      <w:pPr>
        <w:pStyle w:val="Odstavecseseznamem"/>
        <w:numPr>
          <w:ilvl w:val="0"/>
          <w:numId w:val="36"/>
        </w:numPr>
        <w:spacing w:after="120"/>
        <w:ind w:right="130"/>
        <w:jc w:val="both"/>
        <w:rPr>
          <w:rFonts w:asciiTheme="minorHAnsi" w:hAnsiTheme="minorHAnsi" w:cstheme="minorHAnsi"/>
          <w:sz w:val="21"/>
          <w:szCs w:val="21"/>
        </w:rPr>
      </w:pPr>
      <w:r>
        <w:rPr>
          <w:rFonts w:asciiTheme="minorHAnsi" w:hAnsiTheme="minorHAnsi" w:cstheme="minorHAnsi"/>
          <w:b/>
          <w:sz w:val="21"/>
          <w:szCs w:val="21"/>
        </w:rPr>
        <w:t>Druh vozidla, výkon</w:t>
      </w:r>
      <w:r w:rsidR="00E2543E" w:rsidRPr="00CC453F">
        <w:rPr>
          <w:rFonts w:asciiTheme="minorHAnsi" w:hAnsiTheme="minorHAnsi" w:cstheme="minorHAnsi"/>
          <w:b/>
          <w:sz w:val="21"/>
          <w:szCs w:val="21"/>
        </w:rPr>
        <w:t xml:space="preserve"> a objem motoru</w:t>
      </w:r>
      <w:r w:rsidR="00E2543E">
        <w:rPr>
          <w:rFonts w:asciiTheme="minorHAnsi" w:hAnsiTheme="minorHAnsi" w:cstheme="minorHAnsi"/>
          <w:sz w:val="21"/>
          <w:szCs w:val="21"/>
        </w:rPr>
        <w:t xml:space="preserve"> – </w:t>
      </w:r>
      <w:r>
        <w:rPr>
          <w:rFonts w:asciiTheme="minorHAnsi" w:hAnsiTheme="minorHAnsi" w:cstheme="minorHAnsi"/>
          <w:sz w:val="21"/>
          <w:szCs w:val="21"/>
        </w:rPr>
        <w:t xml:space="preserve"> velkou roli zde hraje i účel užívání vozidla. </w:t>
      </w:r>
      <w:r w:rsidR="00CD31F0">
        <w:rPr>
          <w:rFonts w:asciiTheme="minorHAnsi" w:hAnsiTheme="minorHAnsi" w:cstheme="minorHAnsi"/>
          <w:sz w:val="21"/>
          <w:szCs w:val="21"/>
        </w:rPr>
        <w:t xml:space="preserve">Pojištění vozidel určených </w:t>
      </w:r>
      <w:r>
        <w:rPr>
          <w:rFonts w:asciiTheme="minorHAnsi" w:hAnsiTheme="minorHAnsi" w:cstheme="minorHAnsi"/>
          <w:sz w:val="21"/>
          <w:szCs w:val="21"/>
        </w:rPr>
        <w:t xml:space="preserve">pro soukromé účely </w:t>
      </w:r>
      <w:r w:rsidR="00CD31F0">
        <w:rPr>
          <w:rFonts w:asciiTheme="minorHAnsi" w:hAnsiTheme="minorHAnsi" w:cstheme="minorHAnsi"/>
          <w:sz w:val="21"/>
          <w:szCs w:val="21"/>
        </w:rPr>
        <w:t>bývá levnější. Vyšší pojistné zaplatí také majitelé vozidel se silnějším motorem.</w:t>
      </w:r>
    </w:p>
    <w:p w14:paraId="497C6CCA" w14:textId="7309C7E1" w:rsidR="00E2543E" w:rsidRDefault="00E2543E" w:rsidP="00E2543E">
      <w:pPr>
        <w:pStyle w:val="Odstavecseseznamem"/>
        <w:numPr>
          <w:ilvl w:val="0"/>
          <w:numId w:val="36"/>
        </w:numPr>
        <w:spacing w:after="120"/>
        <w:ind w:right="130"/>
        <w:jc w:val="both"/>
        <w:rPr>
          <w:rFonts w:asciiTheme="minorHAnsi" w:hAnsiTheme="minorHAnsi" w:cstheme="minorHAnsi"/>
          <w:sz w:val="21"/>
          <w:szCs w:val="21"/>
        </w:rPr>
      </w:pPr>
      <w:r w:rsidRPr="00CC453F">
        <w:rPr>
          <w:rFonts w:asciiTheme="minorHAnsi" w:hAnsiTheme="minorHAnsi" w:cstheme="minorHAnsi"/>
          <w:b/>
          <w:sz w:val="21"/>
          <w:szCs w:val="21"/>
        </w:rPr>
        <w:t>Bonusové měsíce</w:t>
      </w:r>
      <w:r>
        <w:rPr>
          <w:rFonts w:asciiTheme="minorHAnsi" w:hAnsiTheme="minorHAnsi" w:cstheme="minorHAnsi"/>
          <w:sz w:val="21"/>
          <w:szCs w:val="21"/>
        </w:rPr>
        <w:t xml:space="preserve"> – historie bez nehod může vést ke slevám na pojistném.</w:t>
      </w:r>
    </w:p>
    <w:p w14:paraId="5945EC89" w14:textId="5C92F61C" w:rsidR="00CD31F0" w:rsidRDefault="00CD31F0" w:rsidP="00E2543E">
      <w:pPr>
        <w:pStyle w:val="Odstavecseseznamem"/>
        <w:numPr>
          <w:ilvl w:val="0"/>
          <w:numId w:val="36"/>
        </w:numPr>
        <w:spacing w:after="120"/>
        <w:ind w:right="130"/>
        <w:jc w:val="both"/>
        <w:rPr>
          <w:rFonts w:asciiTheme="minorHAnsi" w:hAnsiTheme="minorHAnsi" w:cstheme="minorHAnsi"/>
          <w:sz w:val="21"/>
          <w:szCs w:val="21"/>
        </w:rPr>
      </w:pPr>
      <w:r>
        <w:rPr>
          <w:rFonts w:asciiTheme="minorHAnsi" w:hAnsiTheme="minorHAnsi" w:cstheme="minorHAnsi"/>
          <w:b/>
          <w:sz w:val="21"/>
          <w:szCs w:val="21"/>
        </w:rPr>
        <w:t xml:space="preserve">Limity pojistného plnění </w:t>
      </w:r>
      <w:r>
        <w:rPr>
          <w:rFonts w:asciiTheme="minorHAnsi" w:hAnsiTheme="minorHAnsi" w:cstheme="minorHAnsi"/>
          <w:sz w:val="21"/>
          <w:szCs w:val="21"/>
        </w:rPr>
        <w:t>– čím vyšší je limit plnění, tím je pojistné dražší. Na druhou stranu však tyto pojistky lépe pokrývají rozsah případné škody.</w:t>
      </w:r>
    </w:p>
    <w:p w14:paraId="14218D98" w14:textId="77777777" w:rsidR="00E2543E" w:rsidRDefault="00E2543E" w:rsidP="00E2543E">
      <w:pPr>
        <w:spacing w:after="120"/>
        <w:ind w:right="130"/>
        <w:jc w:val="both"/>
        <w:rPr>
          <w:rFonts w:asciiTheme="minorHAnsi" w:hAnsiTheme="minorHAnsi" w:cstheme="minorHAnsi"/>
          <w:sz w:val="21"/>
          <w:szCs w:val="21"/>
        </w:rPr>
      </w:pPr>
    </w:p>
    <w:p w14:paraId="72CC12AB" w14:textId="76BB0F7A" w:rsidR="003D405C" w:rsidRDefault="00E2543E" w:rsidP="0084046D">
      <w:pPr>
        <w:spacing w:after="120"/>
        <w:ind w:right="130"/>
        <w:jc w:val="both"/>
        <w:rPr>
          <w:rFonts w:asciiTheme="minorHAnsi" w:hAnsiTheme="minorHAnsi" w:cstheme="minorHAnsi"/>
          <w:sz w:val="21"/>
          <w:szCs w:val="21"/>
        </w:rPr>
      </w:pPr>
      <w:r w:rsidRPr="00E2543E">
        <w:rPr>
          <w:rFonts w:asciiTheme="minorHAnsi" w:hAnsiTheme="minorHAnsi" w:cstheme="minorHAnsi"/>
          <w:sz w:val="21"/>
          <w:szCs w:val="21"/>
        </w:rPr>
        <w:t>Při výběru správného</w:t>
      </w:r>
      <w:r w:rsidR="000F7DEE">
        <w:rPr>
          <w:rFonts w:asciiTheme="minorHAnsi" w:hAnsiTheme="minorHAnsi" w:cstheme="minorHAnsi"/>
          <w:sz w:val="21"/>
          <w:szCs w:val="21"/>
        </w:rPr>
        <w:t xml:space="preserve"> typu</w:t>
      </w:r>
      <w:r w:rsidRPr="00E2543E">
        <w:rPr>
          <w:rFonts w:asciiTheme="minorHAnsi" w:hAnsiTheme="minorHAnsi" w:cstheme="minorHAnsi"/>
          <w:sz w:val="21"/>
          <w:szCs w:val="21"/>
        </w:rPr>
        <w:t xml:space="preserve"> povinného ručení je třeba nejen sledo</w:t>
      </w:r>
      <w:r>
        <w:rPr>
          <w:rFonts w:asciiTheme="minorHAnsi" w:hAnsiTheme="minorHAnsi" w:cstheme="minorHAnsi"/>
          <w:sz w:val="21"/>
          <w:szCs w:val="21"/>
        </w:rPr>
        <w:t xml:space="preserve">vat cenu pojištění, ale především rozsah jeho krytí a služeb, které jsou konkrétní pojišťovnou </w:t>
      </w:r>
      <w:r w:rsidR="006340BB">
        <w:rPr>
          <w:rFonts w:asciiTheme="minorHAnsi" w:hAnsiTheme="minorHAnsi" w:cstheme="minorHAnsi"/>
          <w:sz w:val="21"/>
          <w:szCs w:val="21"/>
        </w:rPr>
        <w:t>poskytovány. Zvážit bychom měli také možnost připojištění, které nám pomůže pokrýt další rizika, jako jsou škody na svém vlastním vozidle nebo úrazové pojištění. Je důležité si především uvědomit, že povinné ručení je základním kamenem ochrany nejen samotných řidičů, ale i dalších účastníků silničního provozu.</w:t>
      </w:r>
    </w:p>
    <w:p w14:paraId="16F7D594" w14:textId="77777777" w:rsidR="00CC453F" w:rsidRPr="00CC453F" w:rsidRDefault="00CC453F" w:rsidP="0084046D">
      <w:pPr>
        <w:spacing w:after="120"/>
        <w:ind w:right="130"/>
        <w:jc w:val="both"/>
        <w:rPr>
          <w:rFonts w:asciiTheme="minorHAnsi" w:hAnsiTheme="minorHAnsi" w:cstheme="minorHAnsi"/>
          <w:sz w:val="21"/>
          <w:szCs w:val="21"/>
        </w:rPr>
      </w:pPr>
    </w:p>
    <w:p w14:paraId="4E7F8CBF" w14:textId="77777777" w:rsidR="00B20F7B" w:rsidRPr="00AD79CC" w:rsidRDefault="00B20F7B" w:rsidP="00EE591F">
      <w:pPr>
        <w:pBdr>
          <w:top w:val="single" w:sz="4" w:space="1" w:color="auto"/>
        </w:pBdr>
        <w:spacing w:before="120"/>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lastRenderedPageBreak/>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8"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87E92" w14:textId="77777777" w:rsidR="0046325B" w:rsidRDefault="0046325B">
      <w:r>
        <w:separator/>
      </w:r>
    </w:p>
  </w:endnote>
  <w:endnote w:type="continuationSeparator" w:id="0">
    <w:p w14:paraId="4A7B9336" w14:textId="77777777" w:rsidR="0046325B" w:rsidRDefault="00463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17673FA2"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1B7B44">
          <w:rPr>
            <w:rFonts w:asciiTheme="minorHAnsi" w:hAnsiTheme="minorHAnsi" w:cstheme="minorHAnsi"/>
            <w:noProof/>
            <w:sz w:val="20"/>
            <w:szCs w:val="20"/>
          </w:rPr>
          <w:t>4</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46325B">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AA20C" w14:textId="77777777" w:rsidR="0046325B" w:rsidRDefault="0046325B">
      <w:r>
        <w:separator/>
      </w:r>
    </w:p>
  </w:footnote>
  <w:footnote w:type="continuationSeparator" w:id="0">
    <w:p w14:paraId="0111EBB0" w14:textId="77777777" w:rsidR="0046325B" w:rsidRDefault="004632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DC4"/>
    <w:multiLevelType w:val="hybridMultilevel"/>
    <w:tmpl w:val="1A1055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4"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5"/>
  </w:num>
  <w:num w:numId="4">
    <w:abstractNumId w:val="7"/>
  </w:num>
  <w:num w:numId="5">
    <w:abstractNumId w:val="1"/>
  </w:num>
  <w:num w:numId="6">
    <w:abstractNumId w:val="27"/>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0"/>
  </w:num>
  <w:num w:numId="14">
    <w:abstractNumId w:val="33"/>
  </w:num>
  <w:num w:numId="15">
    <w:abstractNumId w:val="2"/>
  </w:num>
  <w:num w:numId="16">
    <w:abstractNumId w:val="17"/>
  </w:num>
  <w:num w:numId="17">
    <w:abstractNumId w:val="6"/>
  </w:num>
  <w:num w:numId="18">
    <w:abstractNumId w:val="12"/>
  </w:num>
  <w:num w:numId="19">
    <w:abstractNumId w:val="24"/>
  </w:num>
  <w:num w:numId="20">
    <w:abstractNumId w:val="29"/>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8"/>
    <w:lvlOverride w:ilvl="0"/>
    <w:lvlOverride w:ilvl="1">
      <w:startOverride w:val="4"/>
    </w:lvlOverride>
    <w:lvlOverride w:ilvl="2"/>
    <w:lvlOverride w:ilvl="3"/>
    <w:lvlOverride w:ilvl="4"/>
    <w:lvlOverride w:ilvl="5"/>
    <w:lvlOverride w:ilvl="6"/>
    <w:lvlOverride w:ilvl="7"/>
    <w:lvlOverride w:ilvl="8"/>
  </w:num>
  <w:num w:numId="24">
    <w:abstractNumId w:val="26"/>
  </w:num>
  <w:num w:numId="25">
    <w:abstractNumId w:val="19"/>
  </w:num>
  <w:num w:numId="26">
    <w:abstractNumId w:val="22"/>
  </w:num>
  <w:num w:numId="27">
    <w:abstractNumId w:val="0"/>
  </w:num>
  <w:num w:numId="28">
    <w:abstractNumId w:val="30"/>
  </w:num>
  <w:num w:numId="29">
    <w:abstractNumId w:val="26"/>
  </w:num>
  <w:num w:numId="30">
    <w:abstractNumId w:val="32"/>
  </w:num>
  <w:num w:numId="31">
    <w:abstractNumId w:val="4"/>
  </w:num>
  <w:num w:numId="32">
    <w:abstractNumId w:val="18"/>
  </w:num>
  <w:num w:numId="33">
    <w:abstractNumId w:val="31"/>
  </w:num>
  <w:num w:numId="34">
    <w:abstractNumId w:val="34"/>
  </w:num>
  <w:num w:numId="35">
    <w:abstractNumId w:val="2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4A3B"/>
    <w:rsid w:val="000153FB"/>
    <w:rsid w:val="00015694"/>
    <w:rsid w:val="00016100"/>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47F"/>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51D0"/>
    <w:rsid w:val="000A6FB0"/>
    <w:rsid w:val="000A77CE"/>
    <w:rsid w:val="000B6053"/>
    <w:rsid w:val="000C1AB4"/>
    <w:rsid w:val="000C1BE2"/>
    <w:rsid w:val="000C32B0"/>
    <w:rsid w:val="000C351D"/>
    <w:rsid w:val="000C38CB"/>
    <w:rsid w:val="000C3C4C"/>
    <w:rsid w:val="000C4DDE"/>
    <w:rsid w:val="000C53D6"/>
    <w:rsid w:val="000C5490"/>
    <w:rsid w:val="000C5B38"/>
    <w:rsid w:val="000C7119"/>
    <w:rsid w:val="000C74BD"/>
    <w:rsid w:val="000C7FAE"/>
    <w:rsid w:val="000D11FB"/>
    <w:rsid w:val="000D133F"/>
    <w:rsid w:val="000D2044"/>
    <w:rsid w:val="000D2DDE"/>
    <w:rsid w:val="000D333C"/>
    <w:rsid w:val="000D6870"/>
    <w:rsid w:val="000E21D2"/>
    <w:rsid w:val="000E286C"/>
    <w:rsid w:val="000E36C6"/>
    <w:rsid w:val="000E4DDD"/>
    <w:rsid w:val="000E7086"/>
    <w:rsid w:val="000F040D"/>
    <w:rsid w:val="000F1935"/>
    <w:rsid w:val="000F47AE"/>
    <w:rsid w:val="000F56EF"/>
    <w:rsid w:val="000F6249"/>
    <w:rsid w:val="000F7DEE"/>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713E"/>
    <w:rsid w:val="0013044E"/>
    <w:rsid w:val="00131F7B"/>
    <w:rsid w:val="00133BFD"/>
    <w:rsid w:val="0013512D"/>
    <w:rsid w:val="00136D21"/>
    <w:rsid w:val="00137003"/>
    <w:rsid w:val="00137E3C"/>
    <w:rsid w:val="00140DA4"/>
    <w:rsid w:val="00141303"/>
    <w:rsid w:val="001434CE"/>
    <w:rsid w:val="0014388A"/>
    <w:rsid w:val="001449CB"/>
    <w:rsid w:val="00146956"/>
    <w:rsid w:val="00147427"/>
    <w:rsid w:val="00147995"/>
    <w:rsid w:val="00150500"/>
    <w:rsid w:val="00151FD6"/>
    <w:rsid w:val="00152185"/>
    <w:rsid w:val="00152EDC"/>
    <w:rsid w:val="00153161"/>
    <w:rsid w:val="00155667"/>
    <w:rsid w:val="00160060"/>
    <w:rsid w:val="001603AF"/>
    <w:rsid w:val="00164219"/>
    <w:rsid w:val="00165614"/>
    <w:rsid w:val="0016561D"/>
    <w:rsid w:val="001665AA"/>
    <w:rsid w:val="0017117C"/>
    <w:rsid w:val="001722EA"/>
    <w:rsid w:val="00173C9F"/>
    <w:rsid w:val="00174065"/>
    <w:rsid w:val="00174394"/>
    <w:rsid w:val="00176EF9"/>
    <w:rsid w:val="0017797E"/>
    <w:rsid w:val="00177E6B"/>
    <w:rsid w:val="0018139F"/>
    <w:rsid w:val="00181E9B"/>
    <w:rsid w:val="001844F8"/>
    <w:rsid w:val="0018541B"/>
    <w:rsid w:val="00186E95"/>
    <w:rsid w:val="00190C04"/>
    <w:rsid w:val="00190E10"/>
    <w:rsid w:val="00193B5D"/>
    <w:rsid w:val="00194628"/>
    <w:rsid w:val="00194A47"/>
    <w:rsid w:val="00197408"/>
    <w:rsid w:val="00197AF4"/>
    <w:rsid w:val="00197DE5"/>
    <w:rsid w:val="001A210B"/>
    <w:rsid w:val="001A269A"/>
    <w:rsid w:val="001A4DDB"/>
    <w:rsid w:val="001A54DD"/>
    <w:rsid w:val="001B195D"/>
    <w:rsid w:val="001B1C05"/>
    <w:rsid w:val="001B444A"/>
    <w:rsid w:val="001B4EE4"/>
    <w:rsid w:val="001B5A35"/>
    <w:rsid w:val="001B5D34"/>
    <w:rsid w:val="001B79AC"/>
    <w:rsid w:val="001B7B44"/>
    <w:rsid w:val="001C4A67"/>
    <w:rsid w:val="001C4C44"/>
    <w:rsid w:val="001D2EF2"/>
    <w:rsid w:val="001D3C90"/>
    <w:rsid w:val="001E1593"/>
    <w:rsid w:val="001E265F"/>
    <w:rsid w:val="001E2B55"/>
    <w:rsid w:val="001E2DCC"/>
    <w:rsid w:val="001E4C14"/>
    <w:rsid w:val="001E4D1C"/>
    <w:rsid w:val="001E68DE"/>
    <w:rsid w:val="001F108C"/>
    <w:rsid w:val="001F27AC"/>
    <w:rsid w:val="001F4AE1"/>
    <w:rsid w:val="001F7F2E"/>
    <w:rsid w:val="00200F89"/>
    <w:rsid w:val="002018E9"/>
    <w:rsid w:val="00202BE8"/>
    <w:rsid w:val="002108A4"/>
    <w:rsid w:val="00211C5C"/>
    <w:rsid w:val="002137BD"/>
    <w:rsid w:val="00214949"/>
    <w:rsid w:val="00214E98"/>
    <w:rsid w:val="00215EF1"/>
    <w:rsid w:val="00215FFE"/>
    <w:rsid w:val="00216985"/>
    <w:rsid w:val="002174D5"/>
    <w:rsid w:val="002234A8"/>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1313"/>
    <w:rsid w:val="002414C7"/>
    <w:rsid w:val="0024150C"/>
    <w:rsid w:val="00242251"/>
    <w:rsid w:val="002506AD"/>
    <w:rsid w:val="00251CC1"/>
    <w:rsid w:val="0025264B"/>
    <w:rsid w:val="00253417"/>
    <w:rsid w:val="0025408A"/>
    <w:rsid w:val="00254F1F"/>
    <w:rsid w:val="002555B1"/>
    <w:rsid w:val="00255D9F"/>
    <w:rsid w:val="00255E96"/>
    <w:rsid w:val="00255FAB"/>
    <w:rsid w:val="00256498"/>
    <w:rsid w:val="0026064A"/>
    <w:rsid w:val="002609B2"/>
    <w:rsid w:val="00261C33"/>
    <w:rsid w:val="00261EE7"/>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96C74"/>
    <w:rsid w:val="002A0C59"/>
    <w:rsid w:val="002A2FB9"/>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301660"/>
    <w:rsid w:val="00302322"/>
    <w:rsid w:val="00302AE6"/>
    <w:rsid w:val="00303223"/>
    <w:rsid w:val="00303BCE"/>
    <w:rsid w:val="00303C85"/>
    <w:rsid w:val="0030477F"/>
    <w:rsid w:val="00305EA9"/>
    <w:rsid w:val="00307CEB"/>
    <w:rsid w:val="00307D0F"/>
    <w:rsid w:val="00312311"/>
    <w:rsid w:val="003128F8"/>
    <w:rsid w:val="003203FF"/>
    <w:rsid w:val="00321026"/>
    <w:rsid w:val="0032274C"/>
    <w:rsid w:val="00322757"/>
    <w:rsid w:val="00322BE1"/>
    <w:rsid w:val="00325CD8"/>
    <w:rsid w:val="00326268"/>
    <w:rsid w:val="00330918"/>
    <w:rsid w:val="0033104C"/>
    <w:rsid w:val="00334CD1"/>
    <w:rsid w:val="003404F4"/>
    <w:rsid w:val="00341A59"/>
    <w:rsid w:val="003428A4"/>
    <w:rsid w:val="003434AD"/>
    <w:rsid w:val="003450E1"/>
    <w:rsid w:val="00345D3E"/>
    <w:rsid w:val="003473B3"/>
    <w:rsid w:val="00347557"/>
    <w:rsid w:val="003504FD"/>
    <w:rsid w:val="00352433"/>
    <w:rsid w:val="0035286E"/>
    <w:rsid w:val="00352D61"/>
    <w:rsid w:val="00354DBF"/>
    <w:rsid w:val="00356FFC"/>
    <w:rsid w:val="00362251"/>
    <w:rsid w:val="00362A5B"/>
    <w:rsid w:val="00363124"/>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76E8"/>
    <w:rsid w:val="003A7C59"/>
    <w:rsid w:val="003A7C9A"/>
    <w:rsid w:val="003B08AC"/>
    <w:rsid w:val="003B2C75"/>
    <w:rsid w:val="003B4B9E"/>
    <w:rsid w:val="003B54D9"/>
    <w:rsid w:val="003B612F"/>
    <w:rsid w:val="003B7BFE"/>
    <w:rsid w:val="003C0030"/>
    <w:rsid w:val="003C4D4B"/>
    <w:rsid w:val="003D03A6"/>
    <w:rsid w:val="003D07A2"/>
    <w:rsid w:val="003D2590"/>
    <w:rsid w:val="003D2711"/>
    <w:rsid w:val="003D2CAC"/>
    <w:rsid w:val="003D386F"/>
    <w:rsid w:val="003D405C"/>
    <w:rsid w:val="003D43DB"/>
    <w:rsid w:val="003D4C73"/>
    <w:rsid w:val="003D556B"/>
    <w:rsid w:val="003D653E"/>
    <w:rsid w:val="003E2280"/>
    <w:rsid w:val="003E2ADC"/>
    <w:rsid w:val="003E5948"/>
    <w:rsid w:val="003E601E"/>
    <w:rsid w:val="003F0EA3"/>
    <w:rsid w:val="003F1184"/>
    <w:rsid w:val="003F38E5"/>
    <w:rsid w:val="003F5DCD"/>
    <w:rsid w:val="003F73C3"/>
    <w:rsid w:val="00400126"/>
    <w:rsid w:val="00401210"/>
    <w:rsid w:val="00402AC6"/>
    <w:rsid w:val="00404CDA"/>
    <w:rsid w:val="00406B06"/>
    <w:rsid w:val="00410BF5"/>
    <w:rsid w:val="0041222E"/>
    <w:rsid w:val="0041224F"/>
    <w:rsid w:val="00412C89"/>
    <w:rsid w:val="004130A2"/>
    <w:rsid w:val="00413446"/>
    <w:rsid w:val="0041452A"/>
    <w:rsid w:val="004151E6"/>
    <w:rsid w:val="00415BA7"/>
    <w:rsid w:val="00416F40"/>
    <w:rsid w:val="00417A8F"/>
    <w:rsid w:val="00417E36"/>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639"/>
    <w:rsid w:val="004407C2"/>
    <w:rsid w:val="004413A6"/>
    <w:rsid w:val="00441D22"/>
    <w:rsid w:val="00444BB9"/>
    <w:rsid w:val="00445D0A"/>
    <w:rsid w:val="00447E56"/>
    <w:rsid w:val="004504BC"/>
    <w:rsid w:val="00453482"/>
    <w:rsid w:val="00453762"/>
    <w:rsid w:val="00453CFE"/>
    <w:rsid w:val="004560F3"/>
    <w:rsid w:val="00457E45"/>
    <w:rsid w:val="0046325B"/>
    <w:rsid w:val="00463570"/>
    <w:rsid w:val="00467207"/>
    <w:rsid w:val="0047109D"/>
    <w:rsid w:val="00472B53"/>
    <w:rsid w:val="00474E92"/>
    <w:rsid w:val="00476C23"/>
    <w:rsid w:val="004809C7"/>
    <w:rsid w:val="00483A48"/>
    <w:rsid w:val="00487579"/>
    <w:rsid w:val="0048779A"/>
    <w:rsid w:val="00493430"/>
    <w:rsid w:val="004951BF"/>
    <w:rsid w:val="00495519"/>
    <w:rsid w:val="00495C15"/>
    <w:rsid w:val="00496EFA"/>
    <w:rsid w:val="004978E9"/>
    <w:rsid w:val="004A1F27"/>
    <w:rsid w:val="004A245D"/>
    <w:rsid w:val="004A2D42"/>
    <w:rsid w:val="004A2E7A"/>
    <w:rsid w:val="004A3A91"/>
    <w:rsid w:val="004A557B"/>
    <w:rsid w:val="004A6343"/>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4111"/>
    <w:rsid w:val="004D52BD"/>
    <w:rsid w:val="004D69FB"/>
    <w:rsid w:val="004E1108"/>
    <w:rsid w:val="004E207F"/>
    <w:rsid w:val="004E3877"/>
    <w:rsid w:val="004E4203"/>
    <w:rsid w:val="004E42A8"/>
    <w:rsid w:val="004E44A2"/>
    <w:rsid w:val="004E7863"/>
    <w:rsid w:val="004F07BC"/>
    <w:rsid w:val="004F0D7B"/>
    <w:rsid w:val="004F0DC0"/>
    <w:rsid w:val="004F2548"/>
    <w:rsid w:val="004F43C7"/>
    <w:rsid w:val="004F5CC5"/>
    <w:rsid w:val="004F63FD"/>
    <w:rsid w:val="00500534"/>
    <w:rsid w:val="0050130C"/>
    <w:rsid w:val="005039B0"/>
    <w:rsid w:val="00504953"/>
    <w:rsid w:val="005058FE"/>
    <w:rsid w:val="00507696"/>
    <w:rsid w:val="005154F9"/>
    <w:rsid w:val="00515C68"/>
    <w:rsid w:val="00520EA0"/>
    <w:rsid w:val="00523BD9"/>
    <w:rsid w:val="00524E33"/>
    <w:rsid w:val="0052644E"/>
    <w:rsid w:val="0052748B"/>
    <w:rsid w:val="005336E7"/>
    <w:rsid w:val="00540A5E"/>
    <w:rsid w:val="00543BFB"/>
    <w:rsid w:val="00543F98"/>
    <w:rsid w:val="00544F68"/>
    <w:rsid w:val="00545CF4"/>
    <w:rsid w:val="00547816"/>
    <w:rsid w:val="00552CC5"/>
    <w:rsid w:val="005541A6"/>
    <w:rsid w:val="005546DD"/>
    <w:rsid w:val="005613E9"/>
    <w:rsid w:val="00561757"/>
    <w:rsid w:val="00561997"/>
    <w:rsid w:val="00562CA8"/>
    <w:rsid w:val="00562DBA"/>
    <w:rsid w:val="00564B35"/>
    <w:rsid w:val="00567402"/>
    <w:rsid w:val="00570D87"/>
    <w:rsid w:val="005733BD"/>
    <w:rsid w:val="0057359A"/>
    <w:rsid w:val="00576552"/>
    <w:rsid w:val="005773EE"/>
    <w:rsid w:val="00580B4C"/>
    <w:rsid w:val="00580D50"/>
    <w:rsid w:val="00582562"/>
    <w:rsid w:val="00582565"/>
    <w:rsid w:val="005837F8"/>
    <w:rsid w:val="005853C3"/>
    <w:rsid w:val="00587549"/>
    <w:rsid w:val="00587B4C"/>
    <w:rsid w:val="0059081F"/>
    <w:rsid w:val="00592002"/>
    <w:rsid w:val="00592071"/>
    <w:rsid w:val="00595E44"/>
    <w:rsid w:val="00596E22"/>
    <w:rsid w:val="005973B7"/>
    <w:rsid w:val="00597E85"/>
    <w:rsid w:val="005A08D2"/>
    <w:rsid w:val="005A46D5"/>
    <w:rsid w:val="005A5F89"/>
    <w:rsid w:val="005A61D5"/>
    <w:rsid w:val="005A6E1C"/>
    <w:rsid w:val="005A75AE"/>
    <w:rsid w:val="005B015E"/>
    <w:rsid w:val="005B13F7"/>
    <w:rsid w:val="005B32C5"/>
    <w:rsid w:val="005B35D6"/>
    <w:rsid w:val="005B360B"/>
    <w:rsid w:val="005B3DDD"/>
    <w:rsid w:val="005B3E4A"/>
    <w:rsid w:val="005C3043"/>
    <w:rsid w:val="005C42D9"/>
    <w:rsid w:val="005C5A6E"/>
    <w:rsid w:val="005D11F0"/>
    <w:rsid w:val="005D3281"/>
    <w:rsid w:val="005D3BDE"/>
    <w:rsid w:val="005D41E6"/>
    <w:rsid w:val="005D4C94"/>
    <w:rsid w:val="005D5B42"/>
    <w:rsid w:val="005D74FB"/>
    <w:rsid w:val="005D7DFF"/>
    <w:rsid w:val="005E1F28"/>
    <w:rsid w:val="005E443E"/>
    <w:rsid w:val="005E4600"/>
    <w:rsid w:val="005E4C96"/>
    <w:rsid w:val="005E60F6"/>
    <w:rsid w:val="005F102C"/>
    <w:rsid w:val="005F2232"/>
    <w:rsid w:val="005F2CF3"/>
    <w:rsid w:val="005F31C1"/>
    <w:rsid w:val="00601F8F"/>
    <w:rsid w:val="006033BD"/>
    <w:rsid w:val="00605FAF"/>
    <w:rsid w:val="00606B19"/>
    <w:rsid w:val="00606FBC"/>
    <w:rsid w:val="00612B3B"/>
    <w:rsid w:val="006156DC"/>
    <w:rsid w:val="00623B26"/>
    <w:rsid w:val="00624C21"/>
    <w:rsid w:val="00625503"/>
    <w:rsid w:val="00630C55"/>
    <w:rsid w:val="0063340F"/>
    <w:rsid w:val="00633924"/>
    <w:rsid w:val="00633DC6"/>
    <w:rsid w:val="006340BB"/>
    <w:rsid w:val="00640494"/>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C83"/>
    <w:rsid w:val="00682B2C"/>
    <w:rsid w:val="006849F6"/>
    <w:rsid w:val="00684B75"/>
    <w:rsid w:val="00684BC2"/>
    <w:rsid w:val="00684D30"/>
    <w:rsid w:val="006856FF"/>
    <w:rsid w:val="006863D8"/>
    <w:rsid w:val="00686B26"/>
    <w:rsid w:val="006900AC"/>
    <w:rsid w:val="00690AD8"/>
    <w:rsid w:val="00695734"/>
    <w:rsid w:val="00695EEC"/>
    <w:rsid w:val="006972BF"/>
    <w:rsid w:val="006A20B3"/>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E15E4"/>
    <w:rsid w:val="006E1F02"/>
    <w:rsid w:val="006E3397"/>
    <w:rsid w:val="006F11BD"/>
    <w:rsid w:val="006F3882"/>
    <w:rsid w:val="006F4BEB"/>
    <w:rsid w:val="006F5AEF"/>
    <w:rsid w:val="006F6676"/>
    <w:rsid w:val="007001E0"/>
    <w:rsid w:val="007123C2"/>
    <w:rsid w:val="0071316F"/>
    <w:rsid w:val="007136E6"/>
    <w:rsid w:val="0072021D"/>
    <w:rsid w:val="00720E37"/>
    <w:rsid w:val="00720F68"/>
    <w:rsid w:val="00720FC0"/>
    <w:rsid w:val="0072349E"/>
    <w:rsid w:val="007238DB"/>
    <w:rsid w:val="00724536"/>
    <w:rsid w:val="007253E3"/>
    <w:rsid w:val="007255CD"/>
    <w:rsid w:val="007315C3"/>
    <w:rsid w:val="007318BA"/>
    <w:rsid w:val="007334EA"/>
    <w:rsid w:val="00733DB0"/>
    <w:rsid w:val="00735F36"/>
    <w:rsid w:val="00736B2F"/>
    <w:rsid w:val="00737025"/>
    <w:rsid w:val="00737A54"/>
    <w:rsid w:val="00737FB2"/>
    <w:rsid w:val="00741E4A"/>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81039"/>
    <w:rsid w:val="007825E8"/>
    <w:rsid w:val="00790246"/>
    <w:rsid w:val="00791031"/>
    <w:rsid w:val="0079157C"/>
    <w:rsid w:val="00792A34"/>
    <w:rsid w:val="00793C25"/>
    <w:rsid w:val="007A1136"/>
    <w:rsid w:val="007A5C4C"/>
    <w:rsid w:val="007B0579"/>
    <w:rsid w:val="007B3A99"/>
    <w:rsid w:val="007B41A6"/>
    <w:rsid w:val="007B6AD8"/>
    <w:rsid w:val="007B6D97"/>
    <w:rsid w:val="007B7906"/>
    <w:rsid w:val="007C4432"/>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E6E94"/>
    <w:rsid w:val="007F2249"/>
    <w:rsid w:val="007F28B9"/>
    <w:rsid w:val="007F6C2A"/>
    <w:rsid w:val="008001D1"/>
    <w:rsid w:val="008008D4"/>
    <w:rsid w:val="00801262"/>
    <w:rsid w:val="00801E4C"/>
    <w:rsid w:val="008020D3"/>
    <w:rsid w:val="00802C52"/>
    <w:rsid w:val="008043AE"/>
    <w:rsid w:val="00804869"/>
    <w:rsid w:val="00804908"/>
    <w:rsid w:val="0080704C"/>
    <w:rsid w:val="00807BBD"/>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50E"/>
    <w:rsid w:val="008355CE"/>
    <w:rsid w:val="00835736"/>
    <w:rsid w:val="00836DF0"/>
    <w:rsid w:val="00837AF9"/>
    <w:rsid w:val="0084046D"/>
    <w:rsid w:val="008464E5"/>
    <w:rsid w:val="00850F9B"/>
    <w:rsid w:val="008511B1"/>
    <w:rsid w:val="00853260"/>
    <w:rsid w:val="00854470"/>
    <w:rsid w:val="00857D72"/>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6981"/>
    <w:rsid w:val="00887004"/>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68D"/>
    <w:rsid w:val="008D4344"/>
    <w:rsid w:val="008D4839"/>
    <w:rsid w:val="008E0C1C"/>
    <w:rsid w:val="008E45B5"/>
    <w:rsid w:val="008E4A71"/>
    <w:rsid w:val="008E5FF5"/>
    <w:rsid w:val="008F0075"/>
    <w:rsid w:val="008F00F6"/>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2700A"/>
    <w:rsid w:val="0093538A"/>
    <w:rsid w:val="009362DC"/>
    <w:rsid w:val="009365EB"/>
    <w:rsid w:val="00936E2B"/>
    <w:rsid w:val="00936F1B"/>
    <w:rsid w:val="00937D6D"/>
    <w:rsid w:val="00937EF5"/>
    <w:rsid w:val="00940EA3"/>
    <w:rsid w:val="00942785"/>
    <w:rsid w:val="00943C72"/>
    <w:rsid w:val="00947A3E"/>
    <w:rsid w:val="00947E0F"/>
    <w:rsid w:val="00950337"/>
    <w:rsid w:val="009509CC"/>
    <w:rsid w:val="00951DB8"/>
    <w:rsid w:val="0095216F"/>
    <w:rsid w:val="0095680F"/>
    <w:rsid w:val="00956932"/>
    <w:rsid w:val="00956A25"/>
    <w:rsid w:val="00957E00"/>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7EDE"/>
    <w:rsid w:val="009706CE"/>
    <w:rsid w:val="00974A2D"/>
    <w:rsid w:val="009762EA"/>
    <w:rsid w:val="0097633B"/>
    <w:rsid w:val="00976A70"/>
    <w:rsid w:val="00977B31"/>
    <w:rsid w:val="0098018F"/>
    <w:rsid w:val="00982060"/>
    <w:rsid w:val="00982774"/>
    <w:rsid w:val="00982991"/>
    <w:rsid w:val="00983C40"/>
    <w:rsid w:val="00984D4F"/>
    <w:rsid w:val="00986C46"/>
    <w:rsid w:val="009911D2"/>
    <w:rsid w:val="009925A1"/>
    <w:rsid w:val="00996A46"/>
    <w:rsid w:val="00996ED3"/>
    <w:rsid w:val="009A1543"/>
    <w:rsid w:val="009A315A"/>
    <w:rsid w:val="009A36FD"/>
    <w:rsid w:val="009A3C36"/>
    <w:rsid w:val="009A40CA"/>
    <w:rsid w:val="009A6BB3"/>
    <w:rsid w:val="009B4FF9"/>
    <w:rsid w:val="009C0793"/>
    <w:rsid w:val="009C0ECA"/>
    <w:rsid w:val="009C138D"/>
    <w:rsid w:val="009C1B84"/>
    <w:rsid w:val="009C365B"/>
    <w:rsid w:val="009C535B"/>
    <w:rsid w:val="009C5C65"/>
    <w:rsid w:val="009C7478"/>
    <w:rsid w:val="009D23D9"/>
    <w:rsid w:val="009D2988"/>
    <w:rsid w:val="009D3BDF"/>
    <w:rsid w:val="009D556F"/>
    <w:rsid w:val="009D66DF"/>
    <w:rsid w:val="009D6FFC"/>
    <w:rsid w:val="009E3060"/>
    <w:rsid w:val="009E317D"/>
    <w:rsid w:val="009E4188"/>
    <w:rsid w:val="009E6ADA"/>
    <w:rsid w:val="009E6D78"/>
    <w:rsid w:val="009F0FAC"/>
    <w:rsid w:val="009F2CB2"/>
    <w:rsid w:val="009F42D5"/>
    <w:rsid w:val="009F59EE"/>
    <w:rsid w:val="00A00614"/>
    <w:rsid w:val="00A03F16"/>
    <w:rsid w:val="00A0626C"/>
    <w:rsid w:val="00A06687"/>
    <w:rsid w:val="00A0680F"/>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26E5"/>
    <w:rsid w:val="00A34404"/>
    <w:rsid w:val="00A345F7"/>
    <w:rsid w:val="00A351F4"/>
    <w:rsid w:val="00A35204"/>
    <w:rsid w:val="00A35900"/>
    <w:rsid w:val="00A36D79"/>
    <w:rsid w:val="00A371A8"/>
    <w:rsid w:val="00A401A3"/>
    <w:rsid w:val="00A4441D"/>
    <w:rsid w:val="00A477F8"/>
    <w:rsid w:val="00A51DB8"/>
    <w:rsid w:val="00A526C9"/>
    <w:rsid w:val="00A52E40"/>
    <w:rsid w:val="00A553F8"/>
    <w:rsid w:val="00A644DF"/>
    <w:rsid w:val="00A661EE"/>
    <w:rsid w:val="00A672EA"/>
    <w:rsid w:val="00A67865"/>
    <w:rsid w:val="00A706DB"/>
    <w:rsid w:val="00A741C7"/>
    <w:rsid w:val="00A75581"/>
    <w:rsid w:val="00A80A8B"/>
    <w:rsid w:val="00A82D27"/>
    <w:rsid w:val="00A83718"/>
    <w:rsid w:val="00A84D63"/>
    <w:rsid w:val="00A85069"/>
    <w:rsid w:val="00A86EF2"/>
    <w:rsid w:val="00A902B4"/>
    <w:rsid w:val="00A93669"/>
    <w:rsid w:val="00A969E4"/>
    <w:rsid w:val="00A973F9"/>
    <w:rsid w:val="00AA0C1B"/>
    <w:rsid w:val="00AA104C"/>
    <w:rsid w:val="00AA13C3"/>
    <w:rsid w:val="00AA1D7A"/>
    <w:rsid w:val="00AA1EF9"/>
    <w:rsid w:val="00AA3C5C"/>
    <w:rsid w:val="00AA58B4"/>
    <w:rsid w:val="00AB150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69AF"/>
    <w:rsid w:val="00B16D05"/>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92F"/>
    <w:rsid w:val="00B55F72"/>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5F03"/>
    <w:rsid w:val="00BC10FE"/>
    <w:rsid w:val="00BC1BA1"/>
    <w:rsid w:val="00BC30D1"/>
    <w:rsid w:val="00BC3CB6"/>
    <w:rsid w:val="00BC43C3"/>
    <w:rsid w:val="00BC6C6E"/>
    <w:rsid w:val="00BC7898"/>
    <w:rsid w:val="00BD0305"/>
    <w:rsid w:val="00BD18EA"/>
    <w:rsid w:val="00BD25BD"/>
    <w:rsid w:val="00BD26AB"/>
    <w:rsid w:val="00BD4FB4"/>
    <w:rsid w:val="00BD56CC"/>
    <w:rsid w:val="00BD5B45"/>
    <w:rsid w:val="00BD6A7F"/>
    <w:rsid w:val="00BD7095"/>
    <w:rsid w:val="00BE127F"/>
    <w:rsid w:val="00BE34DD"/>
    <w:rsid w:val="00BE7D75"/>
    <w:rsid w:val="00BF02EE"/>
    <w:rsid w:val="00BF0F80"/>
    <w:rsid w:val="00BF1CB0"/>
    <w:rsid w:val="00BF3B93"/>
    <w:rsid w:val="00BF3C3D"/>
    <w:rsid w:val="00BF4FA6"/>
    <w:rsid w:val="00BF5DE1"/>
    <w:rsid w:val="00BF69D4"/>
    <w:rsid w:val="00C00860"/>
    <w:rsid w:val="00C0488B"/>
    <w:rsid w:val="00C05509"/>
    <w:rsid w:val="00C1291C"/>
    <w:rsid w:val="00C129F0"/>
    <w:rsid w:val="00C12B80"/>
    <w:rsid w:val="00C1553C"/>
    <w:rsid w:val="00C16738"/>
    <w:rsid w:val="00C16A07"/>
    <w:rsid w:val="00C213F3"/>
    <w:rsid w:val="00C2196C"/>
    <w:rsid w:val="00C25196"/>
    <w:rsid w:val="00C25A49"/>
    <w:rsid w:val="00C30103"/>
    <w:rsid w:val="00C30556"/>
    <w:rsid w:val="00C306CA"/>
    <w:rsid w:val="00C35BFC"/>
    <w:rsid w:val="00C36244"/>
    <w:rsid w:val="00C362AF"/>
    <w:rsid w:val="00C36818"/>
    <w:rsid w:val="00C36AC8"/>
    <w:rsid w:val="00C36E73"/>
    <w:rsid w:val="00C40157"/>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EBC"/>
    <w:rsid w:val="00C87E22"/>
    <w:rsid w:val="00C91F7F"/>
    <w:rsid w:val="00C96C4F"/>
    <w:rsid w:val="00CA3F3D"/>
    <w:rsid w:val="00CA3FE4"/>
    <w:rsid w:val="00CA5323"/>
    <w:rsid w:val="00CA5FC8"/>
    <w:rsid w:val="00CB1985"/>
    <w:rsid w:val="00CB40F4"/>
    <w:rsid w:val="00CB50DD"/>
    <w:rsid w:val="00CB7416"/>
    <w:rsid w:val="00CC04E3"/>
    <w:rsid w:val="00CC32D9"/>
    <w:rsid w:val="00CC453F"/>
    <w:rsid w:val="00CC45E5"/>
    <w:rsid w:val="00CC5BEB"/>
    <w:rsid w:val="00CC60A9"/>
    <w:rsid w:val="00CC7C89"/>
    <w:rsid w:val="00CD1C31"/>
    <w:rsid w:val="00CD2522"/>
    <w:rsid w:val="00CD31F0"/>
    <w:rsid w:val="00CD3324"/>
    <w:rsid w:val="00CD3C1E"/>
    <w:rsid w:val="00CD4B4B"/>
    <w:rsid w:val="00CD6EEC"/>
    <w:rsid w:val="00CE2578"/>
    <w:rsid w:val="00CE3577"/>
    <w:rsid w:val="00CF10DA"/>
    <w:rsid w:val="00CF2718"/>
    <w:rsid w:val="00CF3762"/>
    <w:rsid w:val="00CF7691"/>
    <w:rsid w:val="00D01461"/>
    <w:rsid w:val="00D01832"/>
    <w:rsid w:val="00D04122"/>
    <w:rsid w:val="00D047B7"/>
    <w:rsid w:val="00D11870"/>
    <w:rsid w:val="00D132FF"/>
    <w:rsid w:val="00D15557"/>
    <w:rsid w:val="00D15686"/>
    <w:rsid w:val="00D16F9E"/>
    <w:rsid w:val="00D21B27"/>
    <w:rsid w:val="00D223BF"/>
    <w:rsid w:val="00D2253B"/>
    <w:rsid w:val="00D22A67"/>
    <w:rsid w:val="00D245D2"/>
    <w:rsid w:val="00D25B0B"/>
    <w:rsid w:val="00D31127"/>
    <w:rsid w:val="00D31386"/>
    <w:rsid w:val="00D31FA8"/>
    <w:rsid w:val="00D3396D"/>
    <w:rsid w:val="00D3397B"/>
    <w:rsid w:val="00D3569B"/>
    <w:rsid w:val="00D35A90"/>
    <w:rsid w:val="00D36065"/>
    <w:rsid w:val="00D40D11"/>
    <w:rsid w:val="00D423AD"/>
    <w:rsid w:val="00D46528"/>
    <w:rsid w:val="00D46587"/>
    <w:rsid w:val="00D46E13"/>
    <w:rsid w:val="00D4733D"/>
    <w:rsid w:val="00D53085"/>
    <w:rsid w:val="00D532C1"/>
    <w:rsid w:val="00D57146"/>
    <w:rsid w:val="00D618AD"/>
    <w:rsid w:val="00D63DD3"/>
    <w:rsid w:val="00D6464D"/>
    <w:rsid w:val="00D65088"/>
    <w:rsid w:val="00D72895"/>
    <w:rsid w:val="00D73D3F"/>
    <w:rsid w:val="00D76F6E"/>
    <w:rsid w:val="00D777C9"/>
    <w:rsid w:val="00D77E6E"/>
    <w:rsid w:val="00D80B6D"/>
    <w:rsid w:val="00D82E2D"/>
    <w:rsid w:val="00D8513A"/>
    <w:rsid w:val="00D87CCE"/>
    <w:rsid w:val="00D9306C"/>
    <w:rsid w:val="00DA087D"/>
    <w:rsid w:val="00DA1662"/>
    <w:rsid w:val="00DA327C"/>
    <w:rsid w:val="00DA576C"/>
    <w:rsid w:val="00DA68D5"/>
    <w:rsid w:val="00DA6D6A"/>
    <w:rsid w:val="00DA7689"/>
    <w:rsid w:val="00DA78FC"/>
    <w:rsid w:val="00DB270B"/>
    <w:rsid w:val="00DB365A"/>
    <w:rsid w:val="00DB4335"/>
    <w:rsid w:val="00DB7664"/>
    <w:rsid w:val="00DC1FA8"/>
    <w:rsid w:val="00DC2A4B"/>
    <w:rsid w:val="00DC4212"/>
    <w:rsid w:val="00DC6476"/>
    <w:rsid w:val="00DC6AB6"/>
    <w:rsid w:val="00DD1EC1"/>
    <w:rsid w:val="00DD5E05"/>
    <w:rsid w:val="00DE17B0"/>
    <w:rsid w:val="00DE36DE"/>
    <w:rsid w:val="00DE448F"/>
    <w:rsid w:val="00DE4919"/>
    <w:rsid w:val="00DE75F4"/>
    <w:rsid w:val="00DE7686"/>
    <w:rsid w:val="00DE7CE1"/>
    <w:rsid w:val="00DF006F"/>
    <w:rsid w:val="00DF1F56"/>
    <w:rsid w:val="00DF296C"/>
    <w:rsid w:val="00DF2A53"/>
    <w:rsid w:val="00DF388B"/>
    <w:rsid w:val="00DF5CAA"/>
    <w:rsid w:val="00DF5E95"/>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43E"/>
    <w:rsid w:val="00E2591F"/>
    <w:rsid w:val="00E343B0"/>
    <w:rsid w:val="00E35A9F"/>
    <w:rsid w:val="00E364A9"/>
    <w:rsid w:val="00E36E36"/>
    <w:rsid w:val="00E400AA"/>
    <w:rsid w:val="00E40BF0"/>
    <w:rsid w:val="00E41EE8"/>
    <w:rsid w:val="00E42149"/>
    <w:rsid w:val="00E4768E"/>
    <w:rsid w:val="00E47BA7"/>
    <w:rsid w:val="00E515C8"/>
    <w:rsid w:val="00E53945"/>
    <w:rsid w:val="00E55682"/>
    <w:rsid w:val="00E5639B"/>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A29EC"/>
    <w:rsid w:val="00EA3186"/>
    <w:rsid w:val="00EA3C99"/>
    <w:rsid w:val="00EA47AD"/>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4761"/>
    <w:rsid w:val="00EE520F"/>
    <w:rsid w:val="00EE591F"/>
    <w:rsid w:val="00EE6C6D"/>
    <w:rsid w:val="00EE7BDD"/>
    <w:rsid w:val="00EF1568"/>
    <w:rsid w:val="00EF56AC"/>
    <w:rsid w:val="00EF5EE0"/>
    <w:rsid w:val="00EF62F8"/>
    <w:rsid w:val="00F0275F"/>
    <w:rsid w:val="00F040CA"/>
    <w:rsid w:val="00F04FF5"/>
    <w:rsid w:val="00F06420"/>
    <w:rsid w:val="00F06844"/>
    <w:rsid w:val="00F0734C"/>
    <w:rsid w:val="00F10CFA"/>
    <w:rsid w:val="00F1214E"/>
    <w:rsid w:val="00F12CDD"/>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52462"/>
    <w:rsid w:val="00F53850"/>
    <w:rsid w:val="00F542F8"/>
    <w:rsid w:val="00F61061"/>
    <w:rsid w:val="00F63179"/>
    <w:rsid w:val="00F63E7A"/>
    <w:rsid w:val="00F64A9E"/>
    <w:rsid w:val="00F6505F"/>
    <w:rsid w:val="00F655E3"/>
    <w:rsid w:val="00F65A7D"/>
    <w:rsid w:val="00F739AD"/>
    <w:rsid w:val="00F76B0E"/>
    <w:rsid w:val="00F7782E"/>
    <w:rsid w:val="00F77BD8"/>
    <w:rsid w:val="00F801C0"/>
    <w:rsid w:val="00F8482C"/>
    <w:rsid w:val="00F84DCA"/>
    <w:rsid w:val="00F93799"/>
    <w:rsid w:val="00F94B22"/>
    <w:rsid w:val="00F95B39"/>
    <w:rsid w:val="00F968E3"/>
    <w:rsid w:val="00F97A8C"/>
    <w:rsid w:val="00FA0F28"/>
    <w:rsid w:val="00FA1AF3"/>
    <w:rsid w:val="00FA255B"/>
    <w:rsid w:val="00FA4A11"/>
    <w:rsid w:val="00FA6757"/>
    <w:rsid w:val="00FA6E14"/>
    <w:rsid w:val="00FB22D4"/>
    <w:rsid w:val="00FB551F"/>
    <w:rsid w:val="00FB6C4F"/>
    <w:rsid w:val="00FB7593"/>
    <w:rsid w:val="00FC1254"/>
    <w:rsid w:val="00FC33AA"/>
    <w:rsid w:val="00FC5217"/>
    <w:rsid w:val="00FD08A6"/>
    <w:rsid w:val="00FD20D1"/>
    <w:rsid w:val="00FD37BD"/>
    <w:rsid w:val="00FD5578"/>
    <w:rsid w:val="00FE189D"/>
    <w:rsid w:val="00FE28BC"/>
    <w:rsid w:val="00FE3A27"/>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hyperlink" Target="mailto:lenka.kuze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11B48-10B7-4578-998C-DC32C115C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5</Pages>
  <Words>1362</Words>
  <Characters>8042</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13</cp:revision>
  <dcterms:created xsi:type="dcterms:W3CDTF">2024-05-07T09:43:00Z</dcterms:created>
  <dcterms:modified xsi:type="dcterms:W3CDTF">2024-05-14T06:40:00Z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