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Theme="minorHAnsi" w:hAnsiTheme="minorHAnsi" w:cstheme="minorHAnsi"/>
          <w:b/>
          <w:sz w:val="20"/>
          <w:szCs w:val="20"/>
        </w:rPr>
      </w:sdtEndPr>
      <w:sdtContent>
        <w:p w14:paraId="718E6546" w14:textId="3DEA865B"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BC331D" w:rsidRDefault="00D80B6D" w:rsidP="00D80B6D">
          <w:pPr>
            <w:spacing w:before="230"/>
            <w:ind w:left="165"/>
            <w:jc w:val="center"/>
            <w:rPr>
              <w:rFonts w:asciiTheme="minorHAnsi" w:hAnsiTheme="minorHAnsi" w:cstheme="minorHAnsi"/>
              <w:color w:val="CD1719"/>
              <w:sz w:val="24"/>
            </w:rPr>
          </w:pPr>
          <w:r w:rsidRPr="00BC331D">
            <w:rPr>
              <w:rFonts w:asciiTheme="minorHAnsi" w:hAnsiTheme="minorHAnsi" w:cstheme="minorHAnsi"/>
              <w:color w:val="1D1D1B"/>
              <w:sz w:val="24"/>
            </w:rPr>
            <w:t xml:space="preserve">INDEX HYPOTEČNÍCH ÚVĚRŮ </w:t>
          </w:r>
          <w:r w:rsidRPr="00BC331D">
            <w:rPr>
              <w:rFonts w:asciiTheme="minorHAnsi" w:hAnsiTheme="minorHAnsi" w:cstheme="minorHAnsi"/>
              <w:color w:val="CD1719"/>
              <w:sz w:val="24"/>
            </w:rPr>
            <w:t xml:space="preserve">| </w:t>
          </w:r>
          <w:r w:rsidRPr="00BC331D">
            <w:rPr>
              <w:rFonts w:asciiTheme="minorHAnsi" w:hAnsiTheme="minorHAnsi" w:cstheme="minorHAnsi"/>
              <w:color w:val="1D1D1B"/>
              <w:sz w:val="24"/>
            </w:rPr>
            <w:t xml:space="preserve">FIXINDEX </w:t>
          </w:r>
        </w:p>
        <w:p w14:paraId="6D3B5ACD" w14:textId="14F47C98" w:rsidR="00BC331D" w:rsidRPr="00BC331D" w:rsidRDefault="00BC331D" w:rsidP="00D80B6D">
          <w:pPr>
            <w:spacing w:before="230"/>
            <w:ind w:left="165"/>
            <w:jc w:val="center"/>
            <w:rPr>
              <w:rFonts w:asciiTheme="minorHAnsi" w:hAnsiTheme="minorHAnsi" w:cstheme="minorHAnsi"/>
              <w:color w:val="1D1D1B"/>
              <w:sz w:val="24"/>
            </w:rPr>
          </w:pPr>
          <w:r w:rsidRPr="00BC331D">
            <w:rPr>
              <w:rFonts w:asciiTheme="minorHAnsi" w:hAnsiTheme="minorHAnsi" w:cstheme="minorHAnsi"/>
              <w:color w:val="1D1D1B"/>
              <w:sz w:val="24"/>
            </w:rPr>
            <w:t>REALINDEX</w:t>
          </w:r>
        </w:p>
        <w:p w14:paraId="32900BCE" w14:textId="16FEEC9E" w:rsidR="00D80B6D" w:rsidRPr="00BC331D" w:rsidRDefault="00A252BA" w:rsidP="00D80B6D">
          <w:pPr>
            <w:spacing w:before="230"/>
            <w:ind w:left="165"/>
            <w:jc w:val="center"/>
            <w:rPr>
              <w:rFonts w:asciiTheme="minorHAnsi" w:hAnsiTheme="minorHAnsi" w:cstheme="minorHAnsi"/>
              <w:color w:val="1D1D1B"/>
              <w:sz w:val="24"/>
            </w:rPr>
          </w:pPr>
          <w:r w:rsidRPr="00BC331D">
            <w:rPr>
              <w:rFonts w:asciiTheme="minorHAnsi" w:hAnsiTheme="minorHAnsi" w:cstheme="minorHAnsi"/>
              <w:color w:val="1D1D1B"/>
              <w:sz w:val="24"/>
            </w:rPr>
            <w:t>POV</w:t>
          </w:r>
          <w:r w:rsidR="00D80B6D" w:rsidRPr="00BC331D">
            <w:rPr>
              <w:rFonts w:asciiTheme="minorHAnsi" w:hAnsiTheme="minorHAnsi" w:cstheme="minorHAnsi"/>
              <w:color w:val="1D1D1B"/>
              <w:sz w:val="24"/>
            </w:rPr>
            <w:t xml:space="preserve">INDEX </w:t>
          </w:r>
        </w:p>
        <w:p w14:paraId="35B1FBE8" w14:textId="77777777" w:rsidR="00BC331D" w:rsidRPr="00BC331D" w:rsidRDefault="00BC331D" w:rsidP="00BC331D">
          <w:pPr>
            <w:spacing w:before="240" w:line="288" w:lineRule="exact"/>
            <w:ind w:left="162"/>
            <w:jc w:val="center"/>
            <w:rPr>
              <w:rFonts w:asciiTheme="minorHAnsi" w:hAnsiTheme="minorHAnsi" w:cstheme="minorHAnsi"/>
              <w:color w:val="1D1D1B"/>
              <w:sz w:val="24"/>
            </w:rPr>
          </w:pPr>
          <w:r w:rsidRPr="00BC331D">
            <w:rPr>
              <w:rFonts w:asciiTheme="minorHAnsi" w:hAnsiTheme="minorHAnsi" w:cstheme="minorHAnsi"/>
              <w:color w:val="1D1D1B"/>
              <w:sz w:val="24"/>
            </w:rPr>
            <w:t>INDEX PODÍLOVÝCH FONDŮ</w:t>
          </w:r>
        </w:p>
        <w:p w14:paraId="5B21B8A6" w14:textId="616329FC" w:rsidR="00D80B6D" w:rsidRPr="00BC331D" w:rsidRDefault="00D80B6D" w:rsidP="00BC331D">
          <w:pPr>
            <w:spacing w:before="230"/>
            <w:jc w:val="center"/>
            <w:rPr>
              <w:rFonts w:asciiTheme="minorHAnsi" w:hAnsiTheme="minorHAnsi" w:cstheme="minorHAnsi"/>
              <w:b/>
              <w:color w:val="CD1719"/>
              <w:sz w:val="24"/>
            </w:rPr>
          </w:pPr>
          <w:r w:rsidRPr="00BC331D">
            <w:rPr>
              <w:rFonts w:asciiTheme="minorHAnsi" w:hAnsiTheme="minorHAnsi" w:cstheme="minorHAnsi"/>
              <w:b/>
              <w:color w:val="1D1D1B"/>
              <w:sz w:val="24"/>
            </w:rPr>
            <w:t>INDEX SPOTŘEBITELSKÝCH ÚVĚRŮ</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BC331D" w:rsidRDefault="0068617E" w:rsidP="00D80B6D">
          <w:pPr>
            <w:pStyle w:val="Zkladntext"/>
            <w:jc w:val="both"/>
            <w:rPr>
              <w:rFonts w:asciiTheme="minorHAnsi" w:hAnsiTheme="minorHAnsi" w:cstheme="minorHAnsi"/>
              <w:b/>
              <w:sz w:val="20"/>
              <w:highlight w:val="yellow"/>
            </w:rPr>
          </w:pPr>
        </w:p>
        <w:p w14:paraId="11132A3F" w14:textId="53DE594E" w:rsidR="00D80B6D" w:rsidRPr="00BC331D" w:rsidRDefault="00D80B6D" w:rsidP="00D80B6D">
          <w:pPr>
            <w:pStyle w:val="Zkladntext"/>
            <w:jc w:val="both"/>
            <w:rPr>
              <w:rFonts w:asciiTheme="minorHAnsi" w:hAnsiTheme="minorHAnsi" w:cstheme="minorHAnsi"/>
              <w:b/>
              <w:sz w:val="20"/>
            </w:rPr>
          </w:pPr>
          <w:r w:rsidRPr="00BC331D">
            <w:rPr>
              <w:rFonts w:asciiTheme="minorHAnsi" w:hAnsiTheme="minorHAnsi" w:cstheme="minorHAnsi"/>
              <w:b/>
              <w:sz w:val="20"/>
            </w:rPr>
            <w:t>O společnosti Broker Consulting</w:t>
          </w:r>
        </w:p>
        <w:p w14:paraId="27485CC6" w14:textId="77777777" w:rsidR="00D80B6D" w:rsidRPr="00BC331D" w:rsidRDefault="00D80B6D" w:rsidP="00D80B6D">
          <w:pPr>
            <w:jc w:val="both"/>
            <w:rPr>
              <w:rFonts w:asciiTheme="minorHAnsi" w:hAnsiTheme="minorHAnsi" w:cstheme="minorHAnsi"/>
              <w:sz w:val="20"/>
            </w:rPr>
          </w:pPr>
        </w:p>
        <w:p w14:paraId="36418F0F" w14:textId="6B62FFBE" w:rsidR="007F5903" w:rsidRDefault="007F5903" w:rsidP="007F5903">
          <w:pPr>
            <w:jc w:val="both"/>
            <w:rPr>
              <w:rStyle w:val="dn"/>
              <w:rFonts w:asciiTheme="minorHAnsi" w:hAnsiTheme="minorHAnsi" w:cstheme="minorHAnsi"/>
              <w:sz w:val="20"/>
              <w:szCs w:val="20"/>
            </w:rPr>
          </w:pPr>
          <w:r>
            <w:rPr>
              <w:rFonts w:asciiTheme="minorHAnsi" w:hAnsiTheme="minorHAnsi" w:cstheme="minorHAnsi"/>
              <w:sz w:val="20"/>
              <w:szCs w:val="20"/>
            </w:rPr>
            <w:t>Broker Consulting je jednou z největších společností na českém a slovenském trhu, která poskytuje služby v oblasti financí a realit. Od rok</w:t>
          </w:r>
          <w:r w:rsidR="003B4BD8">
            <w:rPr>
              <w:rFonts w:asciiTheme="minorHAnsi" w:hAnsiTheme="minorHAnsi" w:cstheme="minorHAnsi"/>
              <w:sz w:val="20"/>
              <w:szCs w:val="20"/>
            </w:rPr>
            <w:t>u 1998 získala důvěru více než 7</w:t>
          </w:r>
          <w:r>
            <w:rPr>
              <w:rFonts w:asciiTheme="minorHAnsi" w:hAnsiTheme="minorHAnsi" w:cstheme="minorHAnsi"/>
              <w:sz w:val="20"/>
              <w:szCs w:val="20"/>
            </w:rPr>
            <w:t xml:space="preserve">00 000 klientů. Poskytuje také služby přes 4 000 firmám. Distribuci služeb zajišťuje přibližně 2 000 konzultantů (profesionální konzultanti, zaměstnanci, konzultanti v zapracování v ČR i SR) ve více než 150 kancelářích a na několika desítkách poboček Broker Point Premium.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Broker Point Premium, jehož přináší společnost Broker Consulting, která za vedení franšízy a její podporu získala ocenění </w:t>
          </w:r>
          <w:proofErr w:type="spellStart"/>
          <w:r>
            <w:rPr>
              <w:rFonts w:asciiTheme="minorHAnsi" w:hAnsiTheme="minorHAnsi" w:cstheme="minorHAnsi"/>
              <w:b/>
              <w:color w:val="FF0000"/>
              <w:sz w:val="20"/>
              <w:szCs w:val="20"/>
            </w:rPr>
            <w:t>Franchisor</w:t>
          </w:r>
          <w:proofErr w:type="spellEnd"/>
          <w:r>
            <w:rPr>
              <w:rFonts w:asciiTheme="minorHAnsi" w:hAnsiTheme="minorHAnsi" w:cstheme="minorHAnsi"/>
              <w:b/>
              <w:color w:val="FF0000"/>
              <w:sz w:val="20"/>
              <w:szCs w:val="20"/>
            </w:rPr>
            <w:t xml:space="preserve"> roku 2022</w:t>
          </w:r>
          <w:r>
            <w:rPr>
              <w:rFonts w:asciiTheme="minorHAnsi" w:hAnsiTheme="minorHAnsi" w:cstheme="minorHAnsi"/>
              <w:color w:val="FF0000"/>
              <w:sz w:val="20"/>
              <w:szCs w:val="20"/>
            </w:rPr>
            <w:t xml:space="preserve"> </w:t>
          </w:r>
          <w:r>
            <w:rPr>
              <w:rFonts w:asciiTheme="minorHAnsi" w:hAnsiTheme="minorHAnsi" w:cstheme="minorHAnsi"/>
              <w:sz w:val="20"/>
              <w:szCs w:val="20"/>
            </w:rPr>
            <w:t xml:space="preserve">od České asociace </w:t>
          </w:r>
          <w:proofErr w:type="spellStart"/>
          <w:r>
            <w:rPr>
              <w:rFonts w:asciiTheme="minorHAnsi" w:hAnsiTheme="minorHAnsi" w:cstheme="minorHAnsi"/>
              <w:sz w:val="20"/>
              <w:szCs w:val="20"/>
            </w:rPr>
            <w:t>franchisingu</w:t>
          </w:r>
          <w:proofErr w:type="spellEnd"/>
          <w:r>
            <w:rPr>
              <w:rFonts w:asciiTheme="minorHAnsi" w:hAnsiTheme="minorHAnsi" w:cstheme="minorHAnsi"/>
              <w:sz w:val="20"/>
              <w:szCs w:val="20"/>
            </w:rPr>
            <w:t xml:space="preserve">. </w:t>
          </w:r>
          <w:proofErr w:type="spellStart"/>
          <w:r>
            <w:rPr>
              <w:rStyle w:val="dn"/>
              <w:rFonts w:asciiTheme="minorHAnsi" w:hAnsiTheme="minorHAnsi" w:cstheme="minorHAnsi"/>
              <w:sz w:val="20"/>
              <w:szCs w:val="20"/>
            </w:rPr>
            <w:t>Více</w:t>
          </w:r>
          <w:proofErr w:type="spellEnd"/>
          <w:r>
            <w:rPr>
              <w:rStyle w:val="dn"/>
              <w:rFonts w:asciiTheme="minorHAnsi" w:hAnsiTheme="minorHAnsi" w:cstheme="minorHAnsi"/>
              <w:sz w:val="20"/>
              <w:szCs w:val="20"/>
            </w:rPr>
            <w:t xml:space="preserve"> na </w:t>
          </w:r>
          <w:hyperlink r:id="rId9" w:history="1">
            <w:r>
              <w:rPr>
                <w:rStyle w:val="Hypertextovodkaz"/>
                <w:rFonts w:asciiTheme="minorHAnsi" w:hAnsiTheme="minorHAnsi" w:cstheme="minorHAnsi"/>
                <w:sz w:val="20"/>
                <w:szCs w:val="20"/>
              </w:rPr>
              <w:t>bcas.cz</w:t>
            </w:r>
          </w:hyperlink>
          <w:r>
            <w:rPr>
              <w:rStyle w:val="Hypertextovodkaz"/>
              <w:rFonts w:asciiTheme="minorHAnsi" w:hAnsiTheme="minorHAnsi" w:cstheme="minorHAnsi"/>
              <w:sz w:val="20"/>
              <w:szCs w:val="20"/>
            </w:rPr>
            <w:t xml:space="preserve">, </w:t>
          </w:r>
          <w:hyperlink r:id="rId10" w:history="1">
            <w:r>
              <w:rPr>
                <w:rStyle w:val="Hypertextovodkaz"/>
                <w:rFonts w:asciiTheme="minorHAnsi" w:hAnsiTheme="minorHAnsi" w:cstheme="minorHAnsi"/>
                <w:sz w:val="20"/>
                <w:szCs w:val="20"/>
              </w:rPr>
              <w:t>brokerpointy.cz</w:t>
            </w:r>
          </w:hyperlink>
          <w:r>
            <w:rPr>
              <w:rStyle w:val="Hypertextovodkaz"/>
              <w:rFonts w:asciiTheme="minorHAnsi" w:hAnsiTheme="minorHAnsi" w:cstheme="minorHAnsi"/>
              <w:sz w:val="20"/>
              <w:szCs w:val="20"/>
            </w:rPr>
            <w:t>, brokerpoint</w:t>
          </w:r>
          <w:hyperlink r:id="rId11" w:history="1">
            <w:r>
              <w:rPr>
                <w:rStyle w:val="Hypertextovodkaz"/>
                <w:rFonts w:asciiTheme="minorHAnsi" w:hAnsiTheme="minorHAnsi" w:cstheme="minorHAnsi"/>
                <w:sz w:val="20"/>
                <w:szCs w:val="20"/>
              </w:rPr>
              <w:t>.tv</w:t>
            </w:r>
          </w:hyperlink>
          <w:r>
            <w:rPr>
              <w:rStyle w:val="dn"/>
              <w:rFonts w:asciiTheme="minorHAnsi" w:hAnsiTheme="minorHAnsi" w:cstheme="minorHAnsi"/>
              <w:sz w:val="20"/>
              <w:szCs w:val="20"/>
            </w:rPr>
            <w:t xml:space="preserve"> a na </w:t>
          </w:r>
          <w:hyperlink r:id="rId12" w:history="1">
            <w:r>
              <w:rPr>
                <w:rStyle w:val="Hypertextovodkaz"/>
                <w:rFonts w:asciiTheme="minorHAnsi" w:hAnsiTheme="minorHAnsi" w:cstheme="minorHAnsi"/>
                <w:sz w:val="20"/>
                <w:szCs w:val="20"/>
              </w:rPr>
              <w:t>realityspolu.cz</w:t>
            </w:r>
          </w:hyperlink>
          <w:r>
            <w:rPr>
              <w:rStyle w:val="Hypertextovodkaz"/>
              <w:rFonts w:asciiTheme="minorHAnsi" w:hAnsiTheme="minorHAnsi" w:cstheme="minorHAnsi"/>
              <w:sz w:val="20"/>
              <w:szCs w:val="20"/>
            </w:rPr>
            <w:t xml:space="preserve">. </w:t>
          </w:r>
          <w:proofErr w:type="spellStart"/>
          <w:r>
            <w:rPr>
              <w:rStyle w:val="dn"/>
              <w:rFonts w:asciiTheme="minorHAnsi" w:hAnsiTheme="minorHAnsi" w:cstheme="minorHAnsi"/>
              <w:sz w:val="20"/>
              <w:szCs w:val="20"/>
            </w:rPr>
            <w:t>Navštivte</w:t>
          </w:r>
          <w:proofErr w:type="spellEnd"/>
          <w:r>
            <w:rPr>
              <w:rStyle w:val="dn"/>
              <w:rFonts w:asciiTheme="minorHAnsi" w:hAnsiTheme="minorHAnsi" w:cstheme="minorHAnsi"/>
              <w:sz w:val="20"/>
              <w:szCs w:val="20"/>
            </w:rPr>
            <w:t xml:space="preserve"> </w:t>
          </w:r>
          <w:proofErr w:type="spellStart"/>
          <w:r>
            <w:rPr>
              <w:rStyle w:val="dn"/>
              <w:rFonts w:asciiTheme="minorHAnsi" w:hAnsiTheme="minorHAnsi" w:cstheme="minorHAnsi"/>
              <w:sz w:val="20"/>
              <w:szCs w:val="20"/>
            </w:rPr>
            <w:t>také</w:t>
          </w:r>
          <w:proofErr w:type="spellEnd"/>
          <w:r>
            <w:rPr>
              <w:rStyle w:val="dn"/>
              <w:rFonts w:asciiTheme="minorHAnsi" w:hAnsiTheme="minorHAnsi" w:cstheme="minorHAnsi"/>
              <w:sz w:val="20"/>
              <w:szCs w:val="20"/>
            </w:rPr>
            <w:t xml:space="preserve"> </w:t>
          </w:r>
          <w:proofErr w:type="spellStart"/>
          <w:r>
            <w:rPr>
              <w:rStyle w:val="dn"/>
              <w:rFonts w:asciiTheme="minorHAnsi" w:hAnsiTheme="minorHAnsi" w:cstheme="minorHAnsi"/>
              <w:sz w:val="20"/>
              <w:szCs w:val="20"/>
            </w:rPr>
            <w:t>náš</w:t>
          </w:r>
          <w:proofErr w:type="spellEnd"/>
          <w:r>
            <w:rPr>
              <w:rStyle w:val="dn"/>
              <w:rFonts w:asciiTheme="minorHAnsi" w:hAnsiTheme="minorHAnsi" w:cstheme="minorHAnsi"/>
              <w:sz w:val="20"/>
              <w:szCs w:val="20"/>
            </w:rPr>
            <w:t xml:space="preserve"> </w:t>
          </w:r>
          <w:hyperlink r:id="rId13" w:history="1">
            <w:proofErr w:type="spellStart"/>
            <w:r>
              <w:rPr>
                <w:rStyle w:val="Hypertextovodkaz"/>
                <w:rFonts w:asciiTheme="minorHAnsi" w:hAnsiTheme="minorHAnsi" w:cstheme="minorHAnsi"/>
                <w:sz w:val="20"/>
                <w:szCs w:val="20"/>
              </w:rPr>
              <w:t>Facebook</w:t>
            </w:r>
            <w:proofErr w:type="spellEnd"/>
          </w:hyperlink>
          <w:r>
            <w:rPr>
              <w:rStyle w:val="dn"/>
              <w:rFonts w:asciiTheme="minorHAnsi" w:hAnsiTheme="minorHAnsi" w:cstheme="minorHAnsi"/>
              <w:sz w:val="20"/>
              <w:szCs w:val="20"/>
            </w:rPr>
            <w:t xml:space="preserve">, </w:t>
          </w:r>
          <w:hyperlink r:id="rId14" w:history="1">
            <w:proofErr w:type="spellStart"/>
            <w:r>
              <w:rPr>
                <w:rStyle w:val="Hypertextovodkaz"/>
                <w:rFonts w:asciiTheme="minorHAnsi" w:hAnsiTheme="minorHAnsi" w:cstheme="minorHAnsi"/>
                <w:sz w:val="20"/>
                <w:szCs w:val="20"/>
              </w:rPr>
              <w:t>LinkedIN</w:t>
            </w:r>
            <w:proofErr w:type="spellEnd"/>
          </w:hyperlink>
          <w:r>
            <w:rPr>
              <w:rStyle w:val="dn"/>
              <w:rFonts w:asciiTheme="minorHAnsi" w:hAnsiTheme="minorHAnsi" w:cstheme="minorHAnsi"/>
              <w:sz w:val="20"/>
              <w:szCs w:val="20"/>
            </w:rPr>
            <w:t xml:space="preserve"> Broker Consulting, Twitter </w:t>
          </w:r>
          <w:r>
            <w:rPr>
              <w:rFonts w:asciiTheme="minorHAnsi" w:hAnsiTheme="minorHAnsi" w:cstheme="minorHAnsi"/>
              <w:sz w:val="20"/>
              <w:szCs w:val="20"/>
              <w:shd w:val="clear" w:color="auto" w:fill="FFFFFF"/>
            </w:rPr>
            <w:t>@</w:t>
          </w:r>
          <w:proofErr w:type="spellStart"/>
          <w:r>
            <w:rPr>
              <w:rFonts w:asciiTheme="minorHAnsi" w:hAnsiTheme="minorHAnsi" w:cstheme="minorHAnsi"/>
              <w:sz w:val="20"/>
              <w:szCs w:val="20"/>
              <w:shd w:val="clear" w:color="auto" w:fill="FFFFFF"/>
            </w:rPr>
            <w:t>BC_oficialni</w:t>
          </w:r>
          <w:proofErr w:type="spellEnd"/>
          <w:r>
            <w:rPr>
              <w:rFonts w:asciiTheme="minorHAnsi" w:hAnsiTheme="minorHAnsi" w:cstheme="minorHAnsi"/>
              <w:sz w:val="20"/>
              <w:szCs w:val="20"/>
              <w:shd w:val="clear" w:color="auto" w:fill="FFFFFF"/>
            </w:rPr>
            <w:t xml:space="preserve">, </w:t>
          </w:r>
          <w:r>
            <w:rPr>
              <w:rStyle w:val="dn"/>
              <w:rFonts w:asciiTheme="minorHAnsi" w:hAnsiTheme="minorHAnsi" w:cstheme="minorHAnsi"/>
              <w:sz w:val="20"/>
              <w:szCs w:val="20"/>
            </w:rPr>
            <w:t xml:space="preserve"> </w:t>
          </w:r>
          <w:hyperlink r:id="rId15" w:history="1">
            <w:proofErr w:type="spellStart"/>
            <w:r>
              <w:rPr>
                <w:rStyle w:val="Hypertextovodkaz"/>
                <w:rFonts w:asciiTheme="minorHAnsi" w:hAnsiTheme="minorHAnsi" w:cstheme="minorHAnsi"/>
                <w:sz w:val="20"/>
                <w:szCs w:val="20"/>
              </w:rPr>
              <w:t>Facebook</w:t>
            </w:r>
            <w:proofErr w:type="spellEnd"/>
          </w:hyperlink>
          <w:r>
            <w:rPr>
              <w:rStyle w:val="dn"/>
              <w:rFonts w:asciiTheme="minorHAnsi" w:hAnsiTheme="minorHAnsi" w:cstheme="minorHAnsi"/>
              <w:sz w:val="20"/>
              <w:szCs w:val="20"/>
            </w:rPr>
            <w:t xml:space="preserve"> a </w:t>
          </w:r>
          <w:hyperlink r:id="rId16" w:history="1">
            <w:proofErr w:type="spellStart"/>
            <w:r>
              <w:rPr>
                <w:rStyle w:val="Hypertextovodkaz"/>
                <w:rFonts w:asciiTheme="minorHAnsi" w:hAnsiTheme="minorHAnsi" w:cstheme="minorHAnsi"/>
                <w:sz w:val="20"/>
                <w:szCs w:val="20"/>
              </w:rPr>
              <w:t>LinkedI</w:t>
            </w:r>
          </w:hyperlink>
          <w:r>
            <w:rPr>
              <w:rStyle w:val="Hypertextovodkaz"/>
              <w:rFonts w:asciiTheme="minorHAnsi" w:hAnsiTheme="minorHAnsi" w:cstheme="minorHAnsi"/>
              <w:sz w:val="20"/>
              <w:szCs w:val="20"/>
            </w:rPr>
            <w:t>N</w:t>
          </w:r>
          <w:proofErr w:type="spellEnd"/>
          <w:r>
            <w:rPr>
              <w:rStyle w:val="dn"/>
              <w:rFonts w:asciiTheme="minorHAnsi" w:hAnsiTheme="minorHAnsi" w:cstheme="minorHAnsi"/>
              <w:sz w:val="20"/>
              <w:szCs w:val="20"/>
            </w:rPr>
            <w:t xml:space="preserve"> Broker Point Premium.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7"/>
              <w:footerReference w:type="default" r:id="rId18"/>
              <w:pgSz w:w="11910" w:h="16840"/>
              <w:pgMar w:top="960" w:right="740" w:bottom="0" w:left="720" w:header="708" w:footer="708" w:gutter="0"/>
              <w:cols w:space="708"/>
            </w:sectPr>
          </w:pPr>
        </w:p>
        <w:p w14:paraId="35539C65" w14:textId="7A3AAC27" w:rsidR="00D31127" w:rsidRPr="00EF6D8C" w:rsidRDefault="00A43748" w:rsidP="0025264B">
          <w:pPr>
            <w:rPr>
              <w:rFonts w:asciiTheme="minorHAnsi" w:hAnsiTheme="minorHAnsi" w:cstheme="minorHAnsi"/>
              <w:b/>
              <w:sz w:val="20"/>
              <w:szCs w:val="20"/>
              <w:highlight w:val="yellow"/>
            </w:rPr>
            <w:sectPr w:rsidR="00D31127" w:rsidRPr="00EF6D8C" w:rsidSect="00D80B6D">
              <w:headerReference w:type="even" r:id="rId19"/>
              <w:headerReference w:type="default" r:id="rId20"/>
              <w:footerReference w:type="even" r:id="rId21"/>
              <w:footerReference w:type="default" r:id="rId22"/>
              <w:headerReference w:type="first" r:id="rId23"/>
              <w:footerReference w:type="first" r:id="rId24"/>
              <w:pgSz w:w="11910" w:h="16840"/>
              <w:pgMar w:top="1418" w:right="740" w:bottom="420" w:left="720" w:header="340" w:footer="223" w:gutter="0"/>
              <w:pgNumType w:start="0"/>
              <w:cols w:space="708"/>
              <w:titlePg/>
              <w:docGrid w:linePitch="299"/>
            </w:sectPr>
          </w:pPr>
        </w:p>
      </w:sdtContent>
    </w:sdt>
    <w:p w14:paraId="6A10485D" w14:textId="649FD664" w:rsidR="00704D83" w:rsidRPr="00EF6D8C" w:rsidRDefault="00704D83" w:rsidP="0053728E">
      <w:pPr>
        <w:rPr>
          <w:rFonts w:asciiTheme="minorHAnsi" w:hAnsiTheme="minorHAnsi" w:cstheme="minorHAnsi"/>
          <w:b/>
          <w:sz w:val="28"/>
          <w:szCs w:val="28"/>
        </w:rPr>
      </w:pPr>
    </w:p>
    <w:p w14:paraId="5144663E" w14:textId="14FDE26B" w:rsidR="00AA5141" w:rsidRPr="0043345B" w:rsidRDefault="0043345B" w:rsidP="0043345B">
      <w:pPr>
        <w:pStyle w:val="Odstavecseseznamem"/>
        <w:spacing w:after="200"/>
        <w:ind w:left="0" w:right="40" w:firstLine="0"/>
        <w:jc w:val="center"/>
        <w:rPr>
          <w:rFonts w:asciiTheme="minorHAnsi" w:hAnsiTheme="minorHAnsi" w:cstheme="minorHAnsi"/>
          <w:b/>
          <w:sz w:val="25"/>
          <w:szCs w:val="25"/>
        </w:rPr>
      </w:pPr>
      <w:r w:rsidRPr="0043345B">
        <w:rPr>
          <w:rFonts w:asciiTheme="minorHAnsi" w:hAnsiTheme="minorHAnsi" w:cstheme="minorHAnsi"/>
          <w:b/>
          <w:sz w:val="25"/>
          <w:szCs w:val="25"/>
        </w:rPr>
        <w:t>Sazb</w:t>
      </w:r>
      <w:r w:rsidR="003D654E">
        <w:rPr>
          <w:rFonts w:asciiTheme="minorHAnsi" w:hAnsiTheme="minorHAnsi" w:cstheme="minorHAnsi"/>
          <w:b/>
          <w:sz w:val="25"/>
          <w:szCs w:val="25"/>
        </w:rPr>
        <w:t>y u spotřebitelských úvěrů klesly pod osm procent</w:t>
      </w:r>
    </w:p>
    <w:p w14:paraId="44E48080" w14:textId="1A84E779" w:rsidR="003D654E" w:rsidRPr="003D654E" w:rsidRDefault="00374618" w:rsidP="009A63A0">
      <w:pPr>
        <w:pStyle w:val="Odstavecseseznamem"/>
        <w:numPr>
          <w:ilvl w:val="0"/>
          <w:numId w:val="4"/>
        </w:numPr>
        <w:ind w:left="357" w:right="40" w:hanging="357"/>
        <w:jc w:val="both"/>
        <w:rPr>
          <w:rFonts w:asciiTheme="minorHAnsi" w:eastAsiaTheme="minorHAnsi" w:hAnsiTheme="minorHAnsi" w:cstheme="minorHAnsi"/>
          <w:b/>
          <w:lang w:bidi="ar-SA"/>
        </w:rPr>
      </w:pPr>
      <w:r>
        <w:rPr>
          <w:rFonts w:asciiTheme="minorHAnsi" w:eastAsiaTheme="minorHAnsi" w:hAnsiTheme="minorHAnsi" w:cstheme="minorHAnsi"/>
          <w:b/>
          <w:lang w:bidi="ar-SA"/>
        </w:rPr>
        <w:t>Po téměř dvou letech evidujeme</w:t>
      </w:r>
      <w:r w:rsidR="00203943">
        <w:rPr>
          <w:rFonts w:asciiTheme="minorHAnsi" w:eastAsiaTheme="minorHAnsi" w:hAnsiTheme="minorHAnsi" w:cstheme="minorHAnsi"/>
          <w:b/>
          <w:lang w:bidi="ar-SA"/>
        </w:rPr>
        <w:t xml:space="preserve"> u bezúčelových úvěrů</w:t>
      </w:r>
      <w:r>
        <w:rPr>
          <w:rFonts w:asciiTheme="minorHAnsi" w:eastAsiaTheme="minorHAnsi" w:hAnsiTheme="minorHAnsi" w:cstheme="minorHAnsi"/>
          <w:b/>
          <w:lang w:bidi="ar-SA"/>
        </w:rPr>
        <w:t xml:space="preserve"> sazby pohybující se pod osmi procenty.</w:t>
      </w:r>
    </w:p>
    <w:p w14:paraId="70083414" w14:textId="50681C8F" w:rsidR="00C22046" w:rsidRPr="00374618" w:rsidRDefault="009A63A0" w:rsidP="00374618">
      <w:pPr>
        <w:pStyle w:val="Odstavecseseznamem"/>
        <w:numPr>
          <w:ilvl w:val="0"/>
          <w:numId w:val="4"/>
        </w:numPr>
        <w:ind w:left="357" w:right="40" w:hanging="357"/>
        <w:jc w:val="both"/>
        <w:rPr>
          <w:rFonts w:asciiTheme="minorHAnsi" w:eastAsiaTheme="minorHAnsi" w:hAnsiTheme="minorHAnsi" w:cstheme="minorHAnsi"/>
          <w:b/>
          <w:lang w:bidi="ar-SA"/>
        </w:rPr>
      </w:pPr>
      <w:r w:rsidRPr="00FE34CB">
        <w:rPr>
          <w:rFonts w:asciiTheme="minorHAnsi" w:hAnsiTheme="minorHAnsi" w:cstheme="minorHAnsi"/>
          <w:b/>
        </w:rPr>
        <w:t>Hodnota Broker Consulting Indexu spot</w:t>
      </w:r>
      <w:r>
        <w:rPr>
          <w:rFonts w:asciiTheme="minorHAnsi" w:hAnsiTheme="minorHAnsi" w:cstheme="minorHAnsi"/>
          <w:b/>
        </w:rPr>
        <w:t>řebitelských úvěrů</w:t>
      </w:r>
      <w:r w:rsidR="00FC7DA9">
        <w:rPr>
          <w:rFonts w:asciiTheme="minorHAnsi" w:hAnsiTheme="minorHAnsi" w:cstheme="minorHAnsi"/>
          <w:b/>
        </w:rPr>
        <w:t xml:space="preserve"> </w:t>
      </w:r>
      <w:r w:rsidR="00374618">
        <w:rPr>
          <w:rFonts w:asciiTheme="minorHAnsi" w:hAnsiTheme="minorHAnsi" w:cstheme="minorHAnsi"/>
          <w:b/>
        </w:rPr>
        <w:t xml:space="preserve">dosáhla </w:t>
      </w:r>
      <w:r w:rsidR="00374618" w:rsidRPr="00374618">
        <w:rPr>
          <w:rFonts w:asciiTheme="minorHAnsi" w:hAnsiTheme="minorHAnsi" w:cstheme="minorHAnsi"/>
          <w:b/>
        </w:rPr>
        <w:t>7,51 procenta</w:t>
      </w:r>
      <w:r w:rsidR="008317A3" w:rsidRPr="00374618">
        <w:rPr>
          <w:rFonts w:asciiTheme="minorHAnsi" w:hAnsiTheme="minorHAnsi" w:cstheme="minorHAnsi"/>
          <w:b/>
        </w:rPr>
        <w:t>.</w:t>
      </w:r>
    </w:p>
    <w:p w14:paraId="4E0D1900" w14:textId="56B29C38" w:rsidR="00C22046" w:rsidRPr="0043345B" w:rsidRDefault="008953F0" w:rsidP="0043345B">
      <w:pPr>
        <w:pStyle w:val="Odstavecseseznamem"/>
        <w:numPr>
          <w:ilvl w:val="0"/>
          <w:numId w:val="4"/>
        </w:numPr>
        <w:spacing w:after="200"/>
        <w:ind w:left="357" w:right="40" w:hanging="357"/>
        <w:jc w:val="both"/>
        <w:rPr>
          <w:rFonts w:asciiTheme="minorHAnsi" w:eastAsiaTheme="minorHAnsi" w:hAnsiTheme="minorHAnsi" w:cstheme="minorHAnsi"/>
          <w:b/>
          <w:lang w:bidi="ar-SA"/>
        </w:rPr>
      </w:pPr>
      <w:r>
        <w:rPr>
          <w:rFonts w:asciiTheme="minorHAnsi" w:hAnsiTheme="minorHAnsi" w:cstheme="minorHAnsi"/>
          <w:b/>
        </w:rPr>
        <w:t>V případě žádosti o úvěr prověřuje banka nejen výši příjmů, ale i další parametry</w:t>
      </w:r>
      <w:r w:rsidR="008317A3">
        <w:rPr>
          <w:rFonts w:asciiTheme="minorHAnsi" w:hAnsiTheme="minorHAnsi" w:cstheme="minorHAnsi"/>
          <w:b/>
        </w:rPr>
        <w:t>.</w:t>
      </w:r>
    </w:p>
    <w:p w14:paraId="27BF3E49" w14:textId="130CEE3B" w:rsidR="007A1AB2" w:rsidRPr="00EE6E06" w:rsidRDefault="008C3A59" w:rsidP="0043345B">
      <w:pPr>
        <w:spacing w:after="200"/>
        <w:jc w:val="both"/>
        <w:rPr>
          <w:rFonts w:asciiTheme="minorHAnsi" w:hAnsiTheme="minorHAnsi" w:cstheme="minorHAnsi"/>
          <w:b/>
          <w:sz w:val="21"/>
          <w:szCs w:val="21"/>
        </w:rPr>
      </w:pPr>
      <w:r w:rsidRPr="00EE6E06">
        <w:rPr>
          <w:rFonts w:asciiTheme="minorHAnsi" w:hAnsiTheme="minorHAnsi" w:cstheme="minorHAnsi"/>
          <w:i/>
          <w:sz w:val="21"/>
          <w:szCs w:val="21"/>
        </w:rPr>
        <w:t>Praha,</w:t>
      </w:r>
      <w:r w:rsidR="001D66D5" w:rsidRPr="00EE6E06">
        <w:rPr>
          <w:rFonts w:asciiTheme="minorHAnsi" w:hAnsiTheme="minorHAnsi" w:cstheme="minorHAnsi"/>
          <w:i/>
          <w:sz w:val="21"/>
          <w:szCs w:val="21"/>
        </w:rPr>
        <w:t xml:space="preserve"> </w:t>
      </w:r>
      <w:r w:rsidR="005374D5">
        <w:rPr>
          <w:rFonts w:asciiTheme="minorHAnsi" w:hAnsiTheme="minorHAnsi" w:cstheme="minorHAnsi"/>
          <w:i/>
          <w:sz w:val="21"/>
          <w:szCs w:val="21"/>
        </w:rPr>
        <w:t>30</w:t>
      </w:r>
      <w:bookmarkStart w:id="0" w:name="_GoBack"/>
      <w:bookmarkEnd w:id="0"/>
      <w:r w:rsidR="00BB0AA7" w:rsidRPr="00EE6E06">
        <w:rPr>
          <w:rFonts w:asciiTheme="minorHAnsi" w:hAnsiTheme="minorHAnsi" w:cstheme="minorHAnsi"/>
          <w:i/>
          <w:sz w:val="21"/>
          <w:szCs w:val="21"/>
        </w:rPr>
        <w:t>. dubna</w:t>
      </w:r>
      <w:r w:rsidR="003E5B34" w:rsidRPr="00EE6E06">
        <w:rPr>
          <w:rFonts w:asciiTheme="minorHAnsi" w:hAnsiTheme="minorHAnsi" w:cstheme="minorHAnsi"/>
          <w:i/>
          <w:sz w:val="21"/>
          <w:szCs w:val="21"/>
        </w:rPr>
        <w:t xml:space="preserve"> 2024</w:t>
      </w:r>
      <w:r w:rsidR="00F21D05" w:rsidRPr="00EE6E06">
        <w:rPr>
          <w:rFonts w:asciiTheme="minorHAnsi" w:hAnsiTheme="minorHAnsi" w:cstheme="minorHAnsi"/>
          <w:b/>
          <w:sz w:val="21"/>
          <w:szCs w:val="21"/>
        </w:rPr>
        <w:t xml:space="preserve"> </w:t>
      </w:r>
      <w:r w:rsidR="00FA69C2" w:rsidRPr="00EE6E06">
        <w:rPr>
          <w:rFonts w:asciiTheme="minorHAnsi" w:hAnsiTheme="minorHAnsi" w:cstheme="minorHAnsi"/>
          <w:b/>
          <w:sz w:val="21"/>
          <w:szCs w:val="21"/>
        </w:rPr>
        <w:t xml:space="preserve">– </w:t>
      </w:r>
      <w:r w:rsidR="008953F0" w:rsidRPr="00EE6E06">
        <w:rPr>
          <w:rFonts w:asciiTheme="minorHAnsi" w:hAnsiTheme="minorHAnsi" w:cstheme="minorHAnsi"/>
          <w:b/>
          <w:sz w:val="21"/>
          <w:szCs w:val="21"/>
        </w:rPr>
        <w:t xml:space="preserve"> Po téměř dvou letech klesla </w:t>
      </w:r>
      <w:r w:rsidR="004A40C5" w:rsidRPr="00EE6E06">
        <w:rPr>
          <w:rFonts w:asciiTheme="minorHAnsi" w:hAnsiTheme="minorHAnsi" w:cstheme="minorHAnsi"/>
          <w:b/>
          <w:sz w:val="21"/>
          <w:szCs w:val="21"/>
        </w:rPr>
        <w:t>Hodnota Broker Consulting Indexu spotřebitelsk</w:t>
      </w:r>
      <w:r w:rsidR="008953F0" w:rsidRPr="00EE6E06">
        <w:rPr>
          <w:rFonts w:asciiTheme="minorHAnsi" w:hAnsiTheme="minorHAnsi" w:cstheme="minorHAnsi"/>
          <w:b/>
          <w:sz w:val="21"/>
          <w:szCs w:val="21"/>
        </w:rPr>
        <w:t>ých úvěrů pod osm procent</w:t>
      </w:r>
      <w:r w:rsidR="00FC7DA9" w:rsidRPr="00EE6E06">
        <w:rPr>
          <w:rFonts w:asciiTheme="minorHAnsi" w:hAnsiTheme="minorHAnsi" w:cstheme="minorHAnsi"/>
          <w:b/>
          <w:sz w:val="21"/>
          <w:szCs w:val="21"/>
        </w:rPr>
        <w:t xml:space="preserve">. </w:t>
      </w:r>
      <w:r w:rsidR="008953F0" w:rsidRPr="00EE6E06">
        <w:rPr>
          <w:rFonts w:asciiTheme="minorHAnsi" w:hAnsiTheme="minorHAnsi" w:cstheme="minorHAnsi"/>
          <w:b/>
          <w:sz w:val="21"/>
          <w:szCs w:val="21"/>
        </w:rPr>
        <w:t>Oproti březnu došlo ke snížení sazeb u úvěru na cokoli o 0,74 procentního bodu</w:t>
      </w:r>
      <w:r w:rsidR="00203943" w:rsidRPr="00EE6E06">
        <w:rPr>
          <w:rFonts w:asciiTheme="minorHAnsi" w:hAnsiTheme="minorHAnsi" w:cstheme="minorHAnsi"/>
          <w:b/>
          <w:sz w:val="21"/>
          <w:szCs w:val="21"/>
        </w:rPr>
        <w:t xml:space="preserve">, konkrétně se </w:t>
      </w:r>
      <w:r w:rsidR="008953F0" w:rsidRPr="00EE6E06">
        <w:rPr>
          <w:rFonts w:asciiTheme="minorHAnsi" w:hAnsiTheme="minorHAnsi" w:cstheme="minorHAnsi"/>
          <w:b/>
          <w:sz w:val="21"/>
          <w:szCs w:val="21"/>
        </w:rPr>
        <w:t xml:space="preserve">sazby  </w:t>
      </w:r>
      <w:r w:rsidR="00203943" w:rsidRPr="00EE6E06">
        <w:rPr>
          <w:rFonts w:asciiTheme="minorHAnsi" w:hAnsiTheme="minorHAnsi" w:cstheme="minorHAnsi"/>
          <w:b/>
          <w:sz w:val="21"/>
          <w:szCs w:val="21"/>
        </w:rPr>
        <w:t>zastavily na 7,51 procentech</w:t>
      </w:r>
      <w:r w:rsidR="00E409BF" w:rsidRPr="00EE6E06">
        <w:rPr>
          <w:rFonts w:asciiTheme="minorHAnsi" w:hAnsiTheme="minorHAnsi" w:cstheme="minorHAnsi"/>
          <w:b/>
          <w:sz w:val="21"/>
          <w:szCs w:val="21"/>
        </w:rPr>
        <w:t>.</w:t>
      </w:r>
      <w:r w:rsidR="00203943" w:rsidRPr="00EE6E06">
        <w:rPr>
          <w:rFonts w:asciiTheme="minorHAnsi" w:hAnsiTheme="minorHAnsi" w:cstheme="minorHAnsi"/>
          <w:b/>
          <w:sz w:val="21"/>
          <w:szCs w:val="21"/>
        </w:rPr>
        <w:t xml:space="preserve"> V posledních třech měsících evidujeme mírný pokles hodnot, který je dle expertů způsoben </w:t>
      </w:r>
      <w:r w:rsidR="00A64F9A" w:rsidRPr="00EE6E06">
        <w:rPr>
          <w:rFonts w:asciiTheme="minorHAnsi" w:hAnsiTheme="minorHAnsi" w:cstheme="minorHAnsi"/>
          <w:b/>
          <w:sz w:val="21"/>
          <w:szCs w:val="21"/>
        </w:rPr>
        <w:t>konkurenčním bojem bank</w:t>
      </w:r>
      <w:r w:rsidR="00203943" w:rsidRPr="00EE6E06">
        <w:rPr>
          <w:rFonts w:asciiTheme="minorHAnsi" w:hAnsiTheme="minorHAnsi" w:cstheme="minorHAnsi"/>
          <w:b/>
          <w:sz w:val="21"/>
          <w:szCs w:val="21"/>
        </w:rPr>
        <w:t>.</w:t>
      </w:r>
      <w:r w:rsidR="00EE6E06">
        <w:rPr>
          <w:rFonts w:asciiTheme="minorHAnsi" w:hAnsiTheme="minorHAnsi" w:cstheme="minorHAnsi"/>
          <w:b/>
          <w:sz w:val="21"/>
          <w:szCs w:val="21"/>
        </w:rPr>
        <w:t xml:space="preserve"> J</w:t>
      </w:r>
      <w:r w:rsidR="00A64F9A" w:rsidRPr="00EE6E06">
        <w:rPr>
          <w:rFonts w:asciiTheme="minorHAnsi" w:hAnsiTheme="minorHAnsi" w:cstheme="minorHAnsi"/>
          <w:b/>
          <w:sz w:val="21"/>
          <w:szCs w:val="21"/>
        </w:rPr>
        <w:t>eště před samotnou žádostí</w:t>
      </w:r>
      <w:r w:rsidR="00AB6239" w:rsidRPr="00EE6E06">
        <w:rPr>
          <w:rFonts w:asciiTheme="minorHAnsi" w:hAnsiTheme="minorHAnsi" w:cstheme="minorHAnsi"/>
          <w:b/>
          <w:sz w:val="21"/>
          <w:szCs w:val="21"/>
        </w:rPr>
        <w:t xml:space="preserve"> o úvěr</w:t>
      </w:r>
      <w:r w:rsidR="00E35966">
        <w:rPr>
          <w:rFonts w:asciiTheme="minorHAnsi" w:hAnsiTheme="minorHAnsi" w:cstheme="minorHAnsi"/>
          <w:b/>
          <w:sz w:val="21"/>
          <w:szCs w:val="21"/>
        </w:rPr>
        <w:t xml:space="preserve"> musí mít </w:t>
      </w:r>
      <w:r w:rsidR="00EE6E06">
        <w:rPr>
          <w:rFonts w:asciiTheme="minorHAnsi" w:hAnsiTheme="minorHAnsi" w:cstheme="minorHAnsi"/>
          <w:b/>
          <w:sz w:val="21"/>
          <w:szCs w:val="21"/>
        </w:rPr>
        <w:t>žadatel</w:t>
      </w:r>
      <w:r w:rsidR="00AB6239" w:rsidRPr="00EE6E06">
        <w:rPr>
          <w:rFonts w:asciiTheme="minorHAnsi" w:hAnsiTheme="minorHAnsi" w:cstheme="minorHAnsi"/>
          <w:b/>
          <w:sz w:val="21"/>
          <w:szCs w:val="21"/>
        </w:rPr>
        <w:t xml:space="preserve"> na paměti, že banka posuzuje nejen výši jeho příjmů, ale i další parametry.</w:t>
      </w:r>
    </w:p>
    <w:p w14:paraId="5F49FD4D" w14:textId="0C4F21C9" w:rsidR="00E40650" w:rsidRPr="00EE6E06" w:rsidRDefault="00AB6239" w:rsidP="00E409BF">
      <w:pPr>
        <w:spacing w:after="120"/>
        <w:jc w:val="both"/>
        <w:rPr>
          <w:rFonts w:asciiTheme="minorHAnsi" w:hAnsiTheme="minorHAnsi" w:cstheme="minorHAnsi"/>
          <w:b/>
          <w:sz w:val="21"/>
          <w:szCs w:val="21"/>
        </w:rPr>
      </w:pPr>
      <w:r w:rsidRPr="00EE6E06">
        <w:rPr>
          <w:rFonts w:asciiTheme="minorHAnsi" w:eastAsia="Times New Roman" w:hAnsiTheme="minorHAnsi" w:cstheme="minorHAnsi"/>
          <w:i/>
          <w:sz w:val="21"/>
          <w:szCs w:val="21"/>
        </w:rPr>
        <w:t xml:space="preserve">„Výkyv sazeb u spotřebitelských úvěrů může napovídat o probíhajících akcích, které banky svým klientům poskytují v rámci konkurenčního boje,“ </w:t>
      </w:r>
      <w:r w:rsidRPr="00EE6E06">
        <w:rPr>
          <w:rFonts w:asciiTheme="minorHAnsi" w:hAnsiTheme="minorHAnsi" w:cstheme="minorHAnsi"/>
          <w:bCs/>
          <w:sz w:val="21"/>
          <w:szCs w:val="21"/>
        </w:rPr>
        <w:t>uvádí k dubnovým hodnotám</w:t>
      </w:r>
      <w:r w:rsidR="00E409BF" w:rsidRPr="00EE6E06">
        <w:rPr>
          <w:rFonts w:asciiTheme="minorHAnsi" w:hAnsiTheme="minorHAnsi" w:cstheme="minorHAnsi"/>
          <w:bCs/>
          <w:sz w:val="21"/>
          <w:szCs w:val="21"/>
        </w:rPr>
        <w:t xml:space="preserve"> </w:t>
      </w:r>
      <w:r w:rsidR="00E409BF" w:rsidRPr="00EE6E06">
        <w:rPr>
          <w:rFonts w:asciiTheme="minorHAnsi" w:hAnsiTheme="minorHAnsi" w:cstheme="minorHAnsi"/>
          <w:b/>
          <w:sz w:val="21"/>
          <w:szCs w:val="21"/>
        </w:rPr>
        <w:t>Michaela Pudilová, analytička hypotečních a spotřebitelských úvěrů ze společnosti Broker Consulting.</w:t>
      </w:r>
    </w:p>
    <w:p w14:paraId="58A4A05B" w14:textId="750E910D" w:rsidR="00A350E5" w:rsidRPr="00EE6E06" w:rsidRDefault="00E40650" w:rsidP="00E409BF">
      <w:pPr>
        <w:spacing w:after="120"/>
        <w:jc w:val="both"/>
        <w:rPr>
          <w:rFonts w:asciiTheme="minorHAnsi" w:hAnsiTheme="minorHAnsi" w:cstheme="minorHAnsi"/>
          <w:sz w:val="21"/>
          <w:szCs w:val="21"/>
        </w:rPr>
      </w:pPr>
      <w:r w:rsidRPr="00EE6E06">
        <w:rPr>
          <w:rFonts w:asciiTheme="minorHAnsi" w:hAnsiTheme="minorHAnsi" w:cstheme="minorHAnsi"/>
          <w:sz w:val="21"/>
          <w:szCs w:val="21"/>
        </w:rPr>
        <w:t>Hodnota Broker Consulting Indexu spotřebitelských úvěrů</w:t>
      </w:r>
      <w:r w:rsidR="00A64F9A" w:rsidRPr="00EE6E06">
        <w:rPr>
          <w:rFonts w:asciiTheme="minorHAnsi" w:hAnsiTheme="minorHAnsi" w:cstheme="minorHAnsi"/>
          <w:sz w:val="21"/>
          <w:szCs w:val="21"/>
        </w:rPr>
        <w:t>,</w:t>
      </w:r>
      <w:r w:rsidRPr="00EE6E06">
        <w:rPr>
          <w:rFonts w:asciiTheme="minorHAnsi" w:hAnsiTheme="minorHAnsi" w:cstheme="minorHAnsi"/>
          <w:sz w:val="21"/>
          <w:szCs w:val="21"/>
        </w:rPr>
        <w:t xml:space="preserve"> oproti předchozímu měsíci</w:t>
      </w:r>
      <w:r w:rsidR="00A64F9A" w:rsidRPr="00EE6E06">
        <w:rPr>
          <w:rFonts w:asciiTheme="minorHAnsi" w:hAnsiTheme="minorHAnsi" w:cstheme="minorHAnsi"/>
          <w:sz w:val="21"/>
          <w:szCs w:val="21"/>
        </w:rPr>
        <w:t>,</w:t>
      </w:r>
      <w:r w:rsidRPr="00EE6E06">
        <w:rPr>
          <w:rFonts w:asciiTheme="minorHAnsi" w:hAnsiTheme="minorHAnsi" w:cstheme="minorHAnsi"/>
          <w:sz w:val="21"/>
          <w:szCs w:val="21"/>
        </w:rPr>
        <w:t xml:space="preserve"> poklesla o 0,74 procentního bodu</w:t>
      </w:r>
      <w:r w:rsidR="00A64F9A" w:rsidRPr="00EE6E06">
        <w:rPr>
          <w:rFonts w:asciiTheme="minorHAnsi" w:hAnsiTheme="minorHAnsi" w:cstheme="minorHAnsi"/>
          <w:sz w:val="21"/>
          <w:szCs w:val="21"/>
        </w:rPr>
        <w:t>. Ú</w:t>
      </w:r>
      <w:r w:rsidR="00BE4A23" w:rsidRPr="00EE6E06">
        <w:rPr>
          <w:rFonts w:asciiTheme="minorHAnsi" w:hAnsiTheme="minorHAnsi" w:cstheme="minorHAnsi"/>
          <w:sz w:val="21"/>
          <w:szCs w:val="21"/>
        </w:rPr>
        <w:t>rokové sazby</w:t>
      </w:r>
      <w:r w:rsidRPr="00EE6E06">
        <w:rPr>
          <w:rFonts w:asciiTheme="minorHAnsi" w:hAnsiTheme="minorHAnsi" w:cstheme="minorHAnsi"/>
          <w:sz w:val="21"/>
          <w:szCs w:val="21"/>
        </w:rPr>
        <w:t xml:space="preserve"> se tak u tohoto typu úvěru </w:t>
      </w:r>
      <w:r w:rsidR="00BE4A23" w:rsidRPr="00EE6E06">
        <w:rPr>
          <w:rFonts w:asciiTheme="minorHAnsi" w:hAnsiTheme="minorHAnsi" w:cstheme="minorHAnsi"/>
          <w:sz w:val="21"/>
          <w:szCs w:val="21"/>
        </w:rPr>
        <w:t>v dubnu ustálily na 7,51 procentech</w:t>
      </w:r>
      <w:r w:rsidRPr="00EE6E06">
        <w:rPr>
          <w:rFonts w:asciiTheme="minorHAnsi" w:hAnsiTheme="minorHAnsi" w:cstheme="minorHAnsi"/>
          <w:sz w:val="21"/>
          <w:szCs w:val="21"/>
        </w:rPr>
        <w:t xml:space="preserve">. Naposledy se sazby u bezúčelových úvěrů </w:t>
      </w:r>
      <w:r w:rsidR="00BE4A23" w:rsidRPr="00EE6E06">
        <w:rPr>
          <w:rFonts w:asciiTheme="minorHAnsi" w:hAnsiTheme="minorHAnsi" w:cstheme="minorHAnsi"/>
          <w:sz w:val="21"/>
          <w:szCs w:val="21"/>
        </w:rPr>
        <w:t>pohybovaly pod osmi procenty v červnu roku 2022 (7</w:t>
      </w:r>
      <w:r w:rsidR="00E35966">
        <w:rPr>
          <w:rFonts w:asciiTheme="minorHAnsi" w:hAnsiTheme="minorHAnsi" w:cstheme="minorHAnsi"/>
          <w:sz w:val="21"/>
          <w:szCs w:val="21"/>
        </w:rPr>
        <w:t>,92 procenta), od této doby je evidován mírný růst hodnot</w:t>
      </w:r>
      <w:r w:rsidR="00B41E5B" w:rsidRPr="00EE6E06">
        <w:rPr>
          <w:rFonts w:asciiTheme="minorHAnsi" w:hAnsiTheme="minorHAnsi" w:cstheme="minorHAnsi"/>
          <w:sz w:val="21"/>
          <w:szCs w:val="21"/>
        </w:rPr>
        <w:t xml:space="preserve">, přičemž svého maxima (10,24 procenta) dosáhly v květnu loňského roku. Podíváme-li se na data za letošní rok, pak vidíme, až na drobné zakolísání v měsíci </w:t>
      </w:r>
      <w:r w:rsidR="00A64F9A" w:rsidRPr="00EE6E06">
        <w:rPr>
          <w:rFonts w:asciiTheme="minorHAnsi" w:hAnsiTheme="minorHAnsi" w:cstheme="minorHAnsi"/>
          <w:sz w:val="21"/>
          <w:szCs w:val="21"/>
        </w:rPr>
        <w:t xml:space="preserve">únoru, pozvolný pokles hodnot. V lednu se sazby pohybovaly okolo 8,31 procent, v únoru vidíme avizovaný nárůst na 8,94 procenta a v březnu pak hodnoty opět klesly, tentokrát na 8,25 procent. </w:t>
      </w:r>
    </w:p>
    <w:p w14:paraId="6B2B688E" w14:textId="1BBF3045" w:rsidR="003E3701" w:rsidRDefault="00E35966" w:rsidP="008A60F1">
      <w:pPr>
        <w:spacing w:after="240"/>
        <w:jc w:val="center"/>
        <w:rPr>
          <w:rFonts w:asciiTheme="minorHAnsi" w:hAnsiTheme="minorHAnsi" w:cstheme="minorHAnsi"/>
          <w:bCs/>
          <w:sz w:val="21"/>
          <w:szCs w:val="21"/>
        </w:rPr>
      </w:pPr>
      <w:r>
        <w:rPr>
          <w:rFonts w:asciiTheme="minorHAnsi" w:hAnsiTheme="minorHAnsi" w:cstheme="minorHAnsi"/>
          <w:bCs/>
          <w:noProof/>
          <w:sz w:val="21"/>
          <w:szCs w:val="21"/>
          <w:lang w:bidi="ar-SA"/>
        </w:rPr>
        <w:drawing>
          <wp:inline distT="0" distB="0" distL="0" distR="0" wp14:anchorId="10AB9632" wp14:editId="66D3D322">
            <wp:extent cx="6635750" cy="303276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png"/>
                    <pic:cNvPicPr/>
                  </pic:nvPicPr>
                  <pic:blipFill>
                    <a:blip r:embed="rId25">
                      <a:extLst>
                        <a:ext uri="{28A0092B-C50C-407E-A947-70E740481C1C}">
                          <a14:useLocalDpi xmlns:a14="http://schemas.microsoft.com/office/drawing/2010/main" val="0"/>
                        </a:ext>
                      </a:extLst>
                    </a:blip>
                    <a:stretch>
                      <a:fillRect/>
                    </a:stretch>
                  </pic:blipFill>
                  <pic:spPr>
                    <a:xfrm>
                      <a:off x="0" y="0"/>
                      <a:ext cx="6635750" cy="3032760"/>
                    </a:xfrm>
                    <a:prstGeom prst="rect">
                      <a:avLst/>
                    </a:prstGeom>
                  </pic:spPr>
                </pic:pic>
              </a:graphicData>
            </a:graphic>
          </wp:inline>
        </w:drawing>
      </w:r>
    </w:p>
    <w:p w14:paraId="46861EAD" w14:textId="23321D46" w:rsidR="00A64F9A" w:rsidRPr="00A64F9A" w:rsidRDefault="008F08A1" w:rsidP="00EE6E06">
      <w:pPr>
        <w:widowControl/>
        <w:autoSpaceDE/>
        <w:autoSpaceDN/>
        <w:jc w:val="both"/>
        <w:rPr>
          <w:rFonts w:asciiTheme="minorHAnsi" w:eastAsia="Times New Roman" w:hAnsiTheme="minorHAnsi" w:cstheme="minorHAnsi"/>
          <w:color w:val="000000"/>
          <w:sz w:val="21"/>
          <w:szCs w:val="21"/>
          <w:lang w:eastAsia="en-US" w:bidi="ar-SA"/>
        </w:rPr>
      </w:pPr>
      <w:r w:rsidRPr="00EE6E06">
        <w:rPr>
          <w:rFonts w:asciiTheme="minorHAnsi" w:eastAsia="Times New Roman" w:hAnsiTheme="minorHAnsi" w:cstheme="minorHAnsi"/>
          <w:color w:val="000000"/>
          <w:sz w:val="21"/>
          <w:szCs w:val="21"/>
          <w:lang w:eastAsia="en-US" w:bidi="ar-SA"/>
        </w:rPr>
        <w:t>Stejně</w:t>
      </w:r>
      <w:r w:rsidR="00E461E4" w:rsidRPr="00EE6E06">
        <w:rPr>
          <w:rFonts w:asciiTheme="minorHAnsi" w:eastAsia="Times New Roman" w:hAnsiTheme="minorHAnsi" w:cstheme="minorHAnsi"/>
          <w:color w:val="000000"/>
          <w:sz w:val="21"/>
          <w:szCs w:val="21"/>
          <w:lang w:eastAsia="en-US" w:bidi="ar-SA"/>
        </w:rPr>
        <w:t>,</w:t>
      </w:r>
      <w:r w:rsidRPr="00EE6E06">
        <w:rPr>
          <w:rFonts w:asciiTheme="minorHAnsi" w:eastAsia="Times New Roman" w:hAnsiTheme="minorHAnsi" w:cstheme="minorHAnsi"/>
          <w:color w:val="000000"/>
          <w:sz w:val="21"/>
          <w:szCs w:val="21"/>
          <w:lang w:eastAsia="en-US" w:bidi="ar-SA"/>
        </w:rPr>
        <w:t xml:space="preserve"> jako u každého typu úvěru</w:t>
      </w:r>
      <w:r w:rsidR="00E461E4" w:rsidRPr="00EE6E06">
        <w:rPr>
          <w:rFonts w:asciiTheme="minorHAnsi" w:eastAsia="Times New Roman" w:hAnsiTheme="minorHAnsi" w:cstheme="minorHAnsi"/>
          <w:color w:val="000000"/>
          <w:sz w:val="21"/>
          <w:szCs w:val="21"/>
          <w:lang w:eastAsia="en-US" w:bidi="ar-SA"/>
        </w:rPr>
        <w:t>,</w:t>
      </w:r>
      <w:r w:rsidRPr="00EE6E06">
        <w:rPr>
          <w:rFonts w:asciiTheme="minorHAnsi" w:eastAsia="Times New Roman" w:hAnsiTheme="minorHAnsi" w:cstheme="minorHAnsi"/>
          <w:color w:val="000000"/>
          <w:sz w:val="21"/>
          <w:szCs w:val="21"/>
          <w:lang w:eastAsia="en-US" w:bidi="ar-SA"/>
        </w:rPr>
        <w:t xml:space="preserve"> musí</w:t>
      </w:r>
      <w:r w:rsidR="00E461E4" w:rsidRPr="00EE6E06">
        <w:rPr>
          <w:rFonts w:asciiTheme="minorHAnsi" w:eastAsia="Times New Roman" w:hAnsiTheme="minorHAnsi" w:cstheme="minorHAnsi"/>
          <w:color w:val="000000"/>
          <w:sz w:val="21"/>
          <w:szCs w:val="21"/>
          <w:lang w:eastAsia="en-US" w:bidi="ar-SA"/>
        </w:rPr>
        <w:t xml:space="preserve"> </w:t>
      </w:r>
      <w:r w:rsidR="00EE6E06">
        <w:rPr>
          <w:rFonts w:asciiTheme="minorHAnsi" w:eastAsia="Times New Roman" w:hAnsiTheme="minorHAnsi" w:cstheme="minorHAnsi"/>
          <w:color w:val="000000"/>
          <w:sz w:val="21"/>
          <w:szCs w:val="21"/>
          <w:lang w:eastAsia="en-US" w:bidi="ar-SA"/>
        </w:rPr>
        <w:t xml:space="preserve">také </w:t>
      </w:r>
      <w:r w:rsidR="00E461E4" w:rsidRPr="00EE6E06">
        <w:rPr>
          <w:rFonts w:asciiTheme="minorHAnsi" w:eastAsia="Times New Roman" w:hAnsiTheme="minorHAnsi" w:cstheme="minorHAnsi"/>
          <w:color w:val="000000"/>
          <w:sz w:val="21"/>
          <w:szCs w:val="21"/>
          <w:lang w:eastAsia="en-US" w:bidi="ar-SA"/>
        </w:rPr>
        <w:t>zájemce o spotřebitelský úvěr</w:t>
      </w:r>
      <w:r w:rsidRPr="00EE6E06">
        <w:rPr>
          <w:rFonts w:asciiTheme="minorHAnsi" w:eastAsia="Times New Roman" w:hAnsiTheme="minorHAnsi" w:cstheme="minorHAnsi"/>
          <w:color w:val="000000"/>
          <w:sz w:val="21"/>
          <w:szCs w:val="21"/>
          <w:lang w:eastAsia="en-US" w:bidi="ar-SA"/>
        </w:rPr>
        <w:t xml:space="preserve"> </w:t>
      </w:r>
      <w:r w:rsidR="00E461E4" w:rsidRPr="00EE6E06">
        <w:rPr>
          <w:rFonts w:asciiTheme="minorHAnsi" w:eastAsia="Times New Roman" w:hAnsiTheme="minorHAnsi" w:cstheme="minorHAnsi"/>
          <w:color w:val="000000"/>
          <w:sz w:val="21"/>
          <w:szCs w:val="21"/>
          <w:lang w:eastAsia="en-US" w:bidi="ar-SA"/>
        </w:rPr>
        <w:t>vzít</w:t>
      </w:r>
      <w:r w:rsidRPr="00EE6E06">
        <w:rPr>
          <w:rFonts w:asciiTheme="minorHAnsi" w:eastAsia="Times New Roman" w:hAnsiTheme="minorHAnsi" w:cstheme="minorHAnsi"/>
          <w:color w:val="000000"/>
          <w:sz w:val="21"/>
          <w:szCs w:val="21"/>
          <w:lang w:eastAsia="en-US" w:bidi="ar-SA"/>
        </w:rPr>
        <w:t xml:space="preserve"> v</w:t>
      </w:r>
      <w:r w:rsidR="00E461E4" w:rsidRPr="00EE6E06">
        <w:rPr>
          <w:rFonts w:asciiTheme="minorHAnsi" w:eastAsia="Times New Roman" w:hAnsiTheme="minorHAnsi" w:cstheme="minorHAnsi"/>
          <w:color w:val="000000"/>
          <w:sz w:val="21"/>
          <w:szCs w:val="21"/>
          <w:lang w:eastAsia="en-US" w:bidi="ar-SA"/>
        </w:rPr>
        <w:t> </w:t>
      </w:r>
      <w:r w:rsidRPr="00EE6E06">
        <w:rPr>
          <w:rFonts w:asciiTheme="minorHAnsi" w:eastAsia="Times New Roman" w:hAnsiTheme="minorHAnsi" w:cstheme="minorHAnsi"/>
          <w:color w:val="000000"/>
          <w:sz w:val="21"/>
          <w:szCs w:val="21"/>
          <w:lang w:eastAsia="en-US" w:bidi="ar-SA"/>
        </w:rPr>
        <w:t>potaz</w:t>
      </w:r>
      <w:r w:rsidR="00E461E4" w:rsidRPr="00EE6E06">
        <w:rPr>
          <w:rFonts w:asciiTheme="minorHAnsi" w:eastAsia="Times New Roman" w:hAnsiTheme="minorHAnsi" w:cstheme="minorHAnsi"/>
          <w:color w:val="000000"/>
          <w:sz w:val="21"/>
          <w:szCs w:val="21"/>
          <w:lang w:eastAsia="en-US" w:bidi="ar-SA"/>
        </w:rPr>
        <w:t xml:space="preserve">, že banka začne pro účely posouzení žádosti prověřovat výši příjmů, které musí být dostatečné pro splácení úvěru. </w:t>
      </w:r>
      <w:r w:rsidR="002D20B9" w:rsidRPr="00EE6E06">
        <w:rPr>
          <w:rFonts w:asciiTheme="minorHAnsi" w:eastAsia="Times New Roman" w:hAnsiTheme="minorHAnsi" w:cstheme="minorHAnsi"/>
          <w:color w:val="000000"/>
          <w:sz w:val="21"/>
          <w:szCs w:val="21"/>
          <w:lang w:eastAsia="en-US" w:bidi="ar-SA"/>
        </w:rPr>
        <w:t>Banky</w:t>
      </w:r>
      <w:r w:rsidR="00E461E4" w:rsidRPr="00EE6E06">
        <w:rPr>
          <w:rFonts w:asciiTheme="minorHAnsi" w:eastAsia="Times New Roman" w:hAnsiTheme="minorHAnsi" w:cstheme="minorHAnsi"/>
          <w:color w:val="000000"/>
          <w:sz w:val="21"/>
          <w:szCs w:val="21"/>
          <w:lang w:eastAsia="en-US" w:bidi="ar-SA"/>
        </w:rPr>
        <w:t xml:space="preserve"> akceptují </w:t>
      </w:r>
      <w:r w:rsidR="00A64F9A" w:rsidRPr="00A64F9A">
        <w:rPr>
          <w:rFonts w:asciiTheme="minorHAnsi" w:eastAsia="Times New Roman" w:hAnsiTheme="minorHAnsi" w:cstheme="minorHAnsi"/>
          <w:color w:val="000000"/>
          <w:sz w:val="21"/>
          <w:szCs w:val="21"/>
          <w:lang w:eastAsia="en-US" w:bidi="ar-SA"/>
        </w:rPr>
        <w:t xml:space="preserve">příjem ze zaměstnání či daňové </w:t>
      </w:r>
      <w:r w:rsidR="002D20B9" w:rsidRPr="00EE6E06">
        <w:rPr>
          <w:rFonts w:asciiTheme="minorHAnsi" w:eastAsia="Times New Roman" w:hAnsiTheme="minorHAnsi" w:cstheme="minorHAnsi"/>
          <w:color w:val="000000"/>
          <w:sz w:val="21"/>
          <w:szCs w:val="21"/>
          <w:lang w:eastAsia="en-US" w:bidi="ar-SA"/>
        </w:rPr>
        <w:t xml:space="preserve">přiznání v případě podnikatele, ale také </w:t>
      </w:r>
      <w:r w:rsidR="00A64F9A" w:rsidRPr="00A64F9A">
        <w:rPr>
          <w:rFonts w:asciiTheme="minorHAnsi" w:eastAsia="Times New Roman" w:hAnsiTheme="minorHAnsi" w:cstheme="minorHAnsi"/>
          <w:color w:val="000000"/>
          <w:sz w:val="21"/>
          <w:szCs w:val="21"/>
          <w:lang w:eastAsia="en-US" w:bidi="ar-SA"/>
        </w:rPr>
        <w:t xml:space="preserve">jiné typy příjmů. </w:t>
      </w:r>
      <w:r w:rsidR="002D20B9" w:rsidRPr="00EE6E06">
        <w:rPr>
          <w:rFonts w:asciiTheme="minorHAnsi" w:eastAsia="Times New Roman" w:hAnsiTheme="minorHAnsi" w:cstheme="minorHAnsi"/>
          <w:i/>
          <w:color w:val="000000"/>
          <w:sz w:val="21"/>
          <w:szCs w:val="21"/>
          <w:lang w:eastAsia="en-US" w:bidi="ar-SA"/>
        </w:rPr>
        <w:t>„</w:t>
      </w:r>
      <w:r w:rsidR="00A64F9A" w:rsidRPr="00A64F9A">
        <w:rPr>
          <w:rFonts w:asciiTheme="minorHAnsi" w:eastAsia="Times New Roman" w:hAnsiTheme="minorHAnsi" w:cstheme="minorHAnsi"/>
          <w:i/>
          <w:color w:val="000000"/>
          <w:sz w:val="21"/>
          <w:szCs w:val="21"/>
          <w:lang w:eastAsia="en-US" w:bidi="ar-SA"/>
        </w:rPr>
        <w:t>Mohou to být různé formy důchodu, n</w:t>
      </w:r>
      <w:r w:rsidR="002D20B9" w:rsidRPr="00EE6E06">
        <w:rPr>
          <w:rFonts w:asciiTheme="minorHAnsi" w:eastAsia="Times New Roman" w:hAnsiTheme="minorHAnsi" w:cstheme="minorHAnsi"/>
          <w:i/>
          <w:color w:val="000000"/>
          <w:sz w:val="21"/>
          <w:szCs w:val="21"/>
          <w:lang w:eastAsia="en-US" w:bidi="ar-SA"/>
        </w:rPr>
        <w:t>apříklad starobní či invalidní. R</w:t>
      </w:r>
      <w:r w:rsidR="002D20B9" w:rsidRPr="00A64F9A">
        <w:rPr>
          <w:rFonts w:asciiTheme="minorHAnsi" w:eastAsia="Times New Roman" w:hAnsiTheme="minorHAnsi" w:cstheme="minorHAnsi"/>
          <w:i/>
          <w:color w:val="000000"/>
          <w:sz w:val="21"/>
          <w:szCs w:val="21"/>
          <w:lang w:eastAsia="en-US" w:bidi="ar-SA"/>
        </w:rPr>
        <w:t>ůzné bank</w:t>
      </w:r>
      <w:r w:rsidR="002D20B9" w:rsidRPr="00EE6E06">
        <w:rPr>
          <w:rFonts w:asciiTheme="minorHAnsi" w:eastAsia="Times New Roman" w:hAnsiTheme="minorHAnsi" w:cstheme="minorHAnsi"/>
          <w:i/>
          <w:color w:val="000000"/>
          <w:sz w:val="21"/>
          <w:szCs w:val="21"/>
          <w:lang w:eastAsia="en-US" w:bidi="ar-SA"/>
        </w:rPr>
        <w:t>ovní instituce</w:t>
      </w:r>
      <w:r w:rsidR="002D20B9" w:rsidRPr="00A64F9A">
        <w:rPr>
          <w:rFonts w:asciiTheme="minorHAnsi" w:eastAsia="Times New Roman" w:hAnsiTheme="minorHAnsi" w:cstheme="minorHAnsi"/>
          <w:i/>
          <w:color w:val="000000"/>
          <w:sz w:val="21"/>
          <w:szCs w:val="21"/>
          <w:lang w:eastAsia="en-US" w:bidi="ar-SA"/>
        </w:rPr>
        <w:t xml:space="preserve"> </w:t>
      </w:r>
      <w:r w:rsidR="002D20B9" w:rsidRPr="00EE6E06">
        <w:rPr>
          <w:rFonts w:asciiTheme="minorHAnsi" w:eastAsia="Times New Roman" w:hAnsiTheme="minorHAnsi" w:cstheme="minorHAnsi"/>
          <w:i/>
          <w:color w:val="000000"/>
          <w:sz w:val="21"/>
          <w:szCs w:val="21"/>
          <w:lang w:eastAsia="en-US" w:bidi="ar-SA"/>
        </w:rPr>
        <w:t xml:space="preserve">však </w:t>
      </w:r>
      <w:r w:rsidR="002D20B9" w:rsidRPr="00A64F9A">
        <w:rPr>
          <w:rFonts w:asciiTheme="minorHAnsi" w:eastAsia="Times New Roman" w:hAnsiTheme="minorHAnsi" w:cstheme="minorHAnsi"/>
          <w:i/>
          <w:color w:val="000000"/>
          <w:sz w:val="21"/>
          <w:szCs w:val="21"/>
          <w:lang w:eastAsia="en-US" w:bidi="ar-SA"/>
        </w:rPr>
        <w:t>mohou na konkrétní příjem nahlížet rozdílně</w:t>
      </w:r>
      <w:r w:rsidR="002D20B9" w:rsidRPr="00EE6E06">
        <w:rPr>
          <w:rFonts w:asciiTheme="minorHAnsi" w:eastAsia="Times New Roman" w:hAnsiTheme="minorHAnsi" w:cstheme="minorHAnsi"/>
          <w:i/>
          <w:color w:val="000000"/>
          <w:sz w:val="21"/>
          <w:szCs w:val="21"/>
          <w:lang w:eastAsia="en-US" w:bidi="ar-SA"/>
        </w:rPr>
        <w:t xml:space="preserve"> a pro samotné schválení úvěru stanovovat vlastní podmínky</w:t>
      </w:r>
      <w:r w:rsidR="00A64F9A" w:rsidRPr="00A64F9A">
        <w:rPr>
          <w:rFonts w:asciiTheme="minorHAnsi" w:eastAsia="Times New Roman" w:hAnsiTheme="minorHAnsi" w:cstheme="minorHAnsi"/>
          <w:i/>
          <w:color w:val="000000"/>
          <w:sz w:val="21"/>
          <w:szCs w:val="21"/>
          <w:lang w:eastAsia="en-US" w:bidi="ar-SA"/>
        </w:rPr>
        <w:t>.</w:t>
      </w:r>
      <w:r w:rsidR="002D20B9" w:rsidRPr="00EE6E06">
        <w:rPr>
          <w:rFonts w:asciiTheme="minorHAnsi" w:eastAsia="Times New Roman" w:hAnsiTheme="minorHAnsi" w:cstheme="minorHAnsi"/>
          <w:i/>
          <w:sz w:val="21"/>
          <w:szCs w:val="21"/>
          <w:lang w:bidi="ar-SA"/>
        </w:rPr>
        <w:t xml:space="preserve"> </w:t>
      </w:r>
      <w:r w:rsidR="002D20B9" w:rsidRPr="00EE6E06">
        <w:rPr>
          <w:rFonts w:asciiTheme="minorHAnsi" w:eastAsia="Times New Roman" w:hAnsiTheme="minorHAnsi" w:cstheme="minorHAnsi"/>
          <w:i/>
          <w:color w:val="000000"/>
          <w:sz w:val="21"/>
          <w:szCs w:val="21"/>
          <w:lang w:eastAsia="en-US" w:bidi="ar-SA"/>
        </w:rPr>
        <w:t>Vždy je</w:t>
      </w:r>
      <w:r w:rsidR="00A64F9A" w:rsidRPr="00A64F9A">
        <w:rPr>
          <w:rFonts w:asciiTheme="minorHAnsi" w:eastAsia="Times New Roman" w:hAnsiTheme="minorHAnsi" w:cstheme="minorHAnsi"/>
          <w:i/>
          <w:color w:val="000000"/>
          <w:sz w:val="21"/>
          <w:szCs w:val="21"/>
          <w:lang w:eastAsia="en-US" w:bidi="ar-SA"/>
        </w:rPr>
        <w:t xml:space="preserve"> nezbytné posoudit </w:t>
      </w:r>
      <w:r w:rsidR="002D20B9" w:rsidRPr="00EE6E06">
        <w:rPr>
          <w:rFonts w:asciiTheme="minorHAnsi" w:eastAsia="Times New Roman" w:hAnsiTheme="minorHAnsi" w:cstheme="minorHAnsi"/>
          <w:i/>
          <w:color w:val="000000"/>
          <w:sz w:val="21"/>
          <w:szCs w:val="21"/>
          <w:lang w:eastAsia="en-US" w:bidi="ar-SA"/>
        </w:rPr>
        <w:t xml:space="preserve">také </w:t>
      </w:r>
      <w:r w:rsidR="00A64F9A" w:rsidRPr="00A64F9A">
        <w:rPr>
          <w:rFonts w:asciiTheme="minorHAnsi" w:eastAsia="Times New Roman" w:hAnsiTheme="minorHAnsi" w:cstheme="minorHAnsi"/>
          <w:i/>
          <w:color w:val="000000"/>
          <w:sz w:val="21"/>
          <w:szCs w:val="21"/>
          <w:lang w:eastAsia="en-US" w:bidi="ar-SA"/>
        </w:rPr>
        <w:t>d</w:t>
      </w:r>
      <w:r w:rsidR="002D20B9" w:rsidRPr="00EE6E06">
        <w:rPr>
          <w:rFonts w:asciiTheme="minorHAnsi" w:eastAsia="Times New Roman" w:hAnsiTheme="minorHAnsi" w:cstheme="minorHAnsi"/>
          <w:i/>
          <w:color w:val="000000"/>
          <w:sz w:val="21"/>
          <w:szCs w:val="21"/>
          <w:lang w:eastAsia="en-US" w:bidi="ar-SA"/>
        </w:rPr>
        <w:t xml:space="preserve">élku trvání a stabilitu příjmu,“ komentuje </w:t>
      </w:r>
      <w:r w:rsidR="002D20B9" w:rsidRPr="00EE6E06">
        <w:rPr>
          <w:rFonts w:asciiTheme="minorHAnsi" w:hAnsiTheme="minorHAnsi" w:cstheme="minorHAnsi"/>
          <w:b/>
          <w:sz w:val="21"/>
          <w:szCs w:val="21"/>
        </w:rPr>
        <w:t>Michaela Pudilová ze společnosti Broker Consulting. „</w:t>
      </w:r>
      <w:r w:rsidR="00A64F9A" w:rsidRPr="00A64F9A">
        <w:rPr>
          <w:rFonts w:asciiTheme="minorHAnsi" w:eastAsia="Times New Roman" w:hAnsiTheme="minorHAnsi" w:cstheme="minorHAnsi"/>
          <w:i/>
          <w:color w:val="000000"/>
          <w:sz w:val="21"/>
          <w:szCs w:val="21"/>
          <w:lang w:eastAsia="en-US" w:bidi="ar-SA"/>
        </w:rPr>
        <w:t>Možnosti schválení úvěru ve zkušební či výpovědn</w:t>
      </w:r>
      <w:r w:rsidR="002D20B9" w:rsidRPr="00EE6E06">
        <w:rPr>
          <w:rFonts w:asciiTheme="minorHAnsi" w:eastAsia="Times New Roman" w:hAnsiTheme="minorHAnsi" w:cstheme="minorHAnsi"/>
          <w:i/>
          <w:color w:val="000000"/>
          <w:sz w:val="21"/>
          <w:szCs w:val="21"/>
          <w:lang w:eastAsia="en-US" w:bidi="ar-SA"/>
        </w:rPr>
        <w:t xml:space="preserve">í lhůtě jsou tedy velmi omezené,“ </w:t>
      </w:r>
      <w:r w:rsidR="002D20B9" w:rsidRPr="00EE6E06">
        <w:rPr>
          <w:rFonts w:asciiTheme="minorHAnsi" w:eastAsia="Times New Roman" w:hAnsiTheme="minorHAnsi" w:cstheme="minorHAnsi"/>
          <w:color w:val="000000"/>
          <w:sz w:val="21"/>
          <w:szCs w:val="21"/>
          <w:lang w:eastAsia="en-US" w:bidi="ar-SA"/>
        </w:rPr>
        <w:t>dodává k procesu schvalování žádosti.</w:t>
      </w:r>
    </w:p>
    <w:p w14:paraId="54EB895D" w14:textId="77777777" w:rsidR="00EE6E06" w:rsidRPr="00EE6E06" w:rsidRDefault="00EE6E06" w:rsidP="00EE6E06">
      <w:pPr>
        <w:widowControl/>
        <w:autoSpaceDE/>
        <w:autoSpaceDN/>
        <w:jc w:val="both"/>
        <w:rPr>
          <w:rFonts w:asciiTheme="minorHAnsi" w:eastAsia="Times New Roman" w:hAnsiTheme="minorHAnsi" w:cstheme="minorHAnsi"/>
          <w:color w:val="000000"/>
          <w:sz w:val="21"/>
          <w:szCs w:val="21"/>
          <w:lang w:eastAsia="en-US" w:bidi="ar-SA"/>
        </w:rPr>
      </w:pPr>
    </w:p>
    <w:p w14:paraId="7A9813CD" w14:textId="005A0A6E" w:rsidR="002D20B9" w:rsidRPr="00A64F9A" w:rsidRDefault="00A64F9A" w:rsidP="00EE6E06">
      <w:pPr>
        <w:widowControl/>
        <w:autoSpaceDE/>
        <w:autoSpaceDN/>
        <w:jc w:val="both"/>
        <w:rPr>
          <w:rFonts w:asciiTheme="minorHAnsi" w:eastAsia="Times New Roman" w:hAnsiTheme="minorHAnsi" w:cstheme="minorHAnsi"/>
          <w:sz w:val="21"/>
          <w:szCs w:val="21"/>
          <w:lang w:bidi="ar-SA"/>
        </w:rPr>
      </w:pPr>
      <w:r w:rsidRPr="00A64F9A">
        <w:rPr>
          <w:rFonts w:asciiTheme="minorHAnsi" w:eastAsia="Times New Roman" w:hAnsiTheme="minorHAnsi" w:cstheme="minorHAnsi"/>
          <w:color w:val="000000"/>
          <w:sz w:val="21"/>
          <w:szCs w:val="21"/>
          <w:lang w:eastAsia="en-US" w:bidi="ar-SA"/>
        </w:rPr>
        <w:t>Další možností</w:t>
      </w:r>
      <w:r w:rsidR="002D20B9" w:rsidRPr="00EE6E06">
        <w:rPr>
          <w:rFonts w:asciiTheme="minorHAnsi" w:eastAsia="Times New Roman" w:hAnsiTheme="minorHAnsi" w:cstheme="minorHAnsi"/>
          <w:color w:val="000000"/>
          <w:sz w:val="21"/>
          <w:szCs w:val="21"/>
          <w:lang w:eastAsia="en-US" w:bidi="ar-SA"/>
        </w:rPr>
        <w:t>, jak si od banky vypůjčit peníze,</w:t>
      </w:r>
      <w:r w:rsidRPr="00A64F9A">
        <w:rPr>
          <w:rFonts w:asciiTheme="minorHAnsi" w:eastAsia="Times New Roman" w:hAnsiTheme="minorHAnsi" w:cstheme="minorHAnsi"/>
          <w:color w:val="000000"/>
          <w:sz w:val="21"/>
          <w:szCs w:val="21"/>
          <w:lang w:eastAsia="en-US" w:bidi="ar-SA"/>
        </w:rPr>
        <w:t xml:space="preserve"> je</w:t>
      </w:r>
      <w:r w:rsidR="002D20B9" w:rsidRPr="00EE6E06">
        <w:rPr>
          <w:rFonts w:asciiTheme="minorHAnsi" w:eastAsia="Times New Roman" w:hAnsiTheme="minorHAnsi" w:cstheme="minorHAnsi"/>
          <w:color w:val="000000"/>
          <w:sz w:val="21"/>
          <w:szCs w:val="21"/>
          <w:lang w:eastAsia="en-US" w:bidi="ar-SA"/>
        </w:rPr>
        <w:t xml:space="preserve"> tzv. </w:t>
      </w:r>
      <w:proofErr w:type="spellStart"/>
      <w:r w:rsidR="002D20B9" w:rsidRPr="00EE6E06">
        <w:rPr>
          <w:rFonts w:asciiTheme="minorHAnsi" w:eastAsia="Times New Roman" w:hAnsiTheme="minorHAnsi" w:cstheme="minorHAnsi"/>
          <w:color w:val="000000"/>
          <w:sz w:val="21"/>
          <w:szCs w:val="21"/>
          <w:lang w:eastAsia="en-US" w:bidi="ar-SA"/>
        </w:rPr>
        <w:t>předschválená</w:t>
      </w:r>
      <w:proofErr w:type="spellEnd"/>
      <w:r w:rsidR="002D20B9" w:rsidRPr="00EE6E06">
        <w:rPr>
          <w:rFonts w:asciiTheme="minorHAnsi" w:eastAsia="Times New Roman" w:hAnsiTheme="minorHAnsi" w:cstheme="minorHAnsi"/>
          <w:color w:val="000000"/>
          <w:sz w:val="21"/>
          <w:szCs w:val="21"/>
          <w:lang w:eastAsia="en-US" w:bidi="ar-SA"/>
        </w:rPr>
        <w:t xml:space="preserve"> nabídka</w:t>
      </w:r>
      <w:r w:rsidR="002D20B9" w:rsidRPr="00A64F9A">
        <w:rPr>
          <w:rFonts w:asciiTheme="minorHAnsi" w:eastAsia="Times New Roman" w:hAnsiTheme="minorHAnsi" w:cstheme="minorHAnsi"/>
          <w:color w:val="000000"/>
          <w:sz w:val="21"/>
          <w:szCs w:val="21"/>
          <w:lang w:eastAsia="en-US" w:bidi="ar-SA"/>
        </w:rPr>
        <w:t xml:space="preserve"> na spotřebitelský úvěr nebo kreditní kartu či kontokorent.</w:t>
      </w:r>
      <w:r w:rsidR="00837ECF">
        <w:rPr>
          <w:rFonts w:asciiTheme="minorHAnsi" w:eastAsia="Times New Roman" w:hAnsiTheme="minorHAnsi" w:cstheme="minorHAnsi"/>
          <w:color w:val="000000"/>
          <w:sz w:val="21"/>
          <w:szCs w:val="21"/>
          <w:lang w:eastAsia="en-US" w:bidi="ar-SA"/>
        </w:rPr>
        <w:t xml:space="preserve"> Tato možnost je nabízena klientům, kteří</w:t>
      </w:r>
      <w:r w:rsidR="00EE6E06" w:rsidRPr="00EE6E06">
        <w:rPr>
          <w:rFonts w:asciiTheme="minorHAnsi" w:eastAsia="Times New Roman" w:hAnsiTheme="minorHAnsi" w:cstheme="minorHAnsi"/>
          <w:color w:val="000000"/>
          <w:sz w:val="21"/>
          <w:szCs w:val="21"/>
          <w:lang w:eastAsia="en-US" w:bidi="ar-SA"/>
        </w:rPr>
        <w:t xml:space="preserve"> již</w:t>
      </w:r>
      <w:r w:rsidR="00837ECF">
        <w:rPr>
          <w:rFonts w:asciiTheme="minorHAnsi" w:eastAsia="Times New Roman" w:hAnsiTheme="minorHAnsi" w:cstheme="minorHAnsi"/>
          <w:color w:val="000000"/>
          <w:sz w:val="21"/>
          <w:szCs w:val="21"/>
          <w:lang w:eastAsia="en-US" w:bidi="ar-SA"/>
        </w:rPr>
        <w:t xml:space="preserve"> u dané banky mají zřízený účet, na</w:t>
      </w:r>
      <w:r w:rsidR="00EE6E06" w:rsidRPr="00EE6E06">
        <w:rPr>
          <w:rFonts w:asciiTheme="minorHAnsi" w:eastAsia="Times New Roman" w:hAnsiTheme="minorHAnsi" w:cstheme="minorHAnsi"/>
          <w:color w:val="000000"/>
          <w:sz w:val="21"/>
          <w:szCs w:val="21"/>
          <w:lang w:eastAsia="en-US" w:bidi="ar-SA"/>
        </w:rPr>
        <w:t xml:space="preserve"> který je jim vyplácen pravidelný příjem.</w:t>
      </w:r>
    </w:p>
    <w:p w14:paraId="5C325780" w14:textId="77777777" w:rsidR="00DF7709" w:rsidRPr="00EF6D8C" w:rsidRDefault="00DF7709" w:rsidP="00DF7709">
      <w:pPr>
        <w:pBdr>
          <w:bottom w:val="single" w:sz="4" w:space="1" w:color="auto"/>
        </w:pBdr>
        <w:jc w:val="both"/>
        <w:rPr>
          <w:rFonts w:asciiTheme="minorHAnsi" w:hAnsiTheme="minorHAnsi" w:cstheme="minorHAnsi"/>
          <w:bCs/>
          <w:sz w:val="2"/>
          <w:szCs w:val="2"/>
        </w:rPr>
      </w:pPr>
    </w:p>
    <w:p w14:paraId="4CF17F9A" w14:textId="4F3C8C79" w:rsidR="00C10C80" w:rsidRPr="00EF6D8C" w:rsidRDefault="008F3C6D" w:rsidP="00EE3451">
      <w:pPr>
        <w:spacing w:before="120"/>
        <w:rPr>
          <w:rFonts w:asciiTheme="minorHAnsi" w:hAnsiTheme="minorHAnsi" w:cstheme="minorHAnsi"/>
          <w:b/>
          <w:sz w:val="21"/>
          <w:szCs w:val="21"/>
        </w:rPr>
      </w:pPr>
      <w:r w:rsidRPr="00EF6D8C">
        <w:rPr>
          <w:rFonts w:asciiTheme="minorHAnsi" w:hAnsiTheme="minorHAnsi" w:cstheme="minorHAnsi"/>
          <w:b/>
          <w:sz w:val="21"/>
          <w:szCs w:val="21"/>
        </w:rPr>
        <w:t>Broker Consulting Index spotřebitelských úvěrů</w:t>
      </w:r>
      <w:r w:rsidRPr="00EF6D8C">
        <w:rPr>
          <w:rFonts w:asciiTheme="minorHAnsi" w:hAnsiTheme="minorHAnsi" w:cstheme="minorHAnsi"/>
          <w:sz w:val="21"/>
          <w:szCs w:val="21"/>
        </w:rPr>
        <w:t xml:space="preserve"> je analytický nástroj, který ukazuje průměrnou úrokovou sazbu </w:t>
      </w:r>
      <w:r w:rsidR="00BE768F" w:rsidRPr="00EF6D8C">
        <w:rPr>
          <w:rFonts w:asciiTheme="minorHAnsi" w:hAnsiTheme="minorHAnsi" w:cstheme="minorHAnsi"/>
          <w:sz w:val="21"/>
          <w:szCs w:val="21"/>
        </w:rPr>
        <w:br/>
      </w:r>
      <w:r w:rsidRPr="00EF6D8C">
        <w:rPr>
          <w:rFonts w:asciiTheme="minorHAnsi" w:hAnsiTheme="minorHAnsi" w:cstheme="minorHAnsi"/>
          <w:sz w:val="21"/>
          <w:szCs w:val="21"/>
        </w:rPr>
        <w:t>u spotřebitelských úvěrů, jež zprostředkovali konzultanti Brok</w:t>
      </w:r>
      <w:r w:rsidR="00BB537C">
        <w:rPr>
          <w:rFonts w:asciiTheme="minorHAnsi" w:hAnsiTheme="minorHAnsi" w:cstheme="minorHAnsi"/>
          <w:sz w:val="21"/>
          <w:szCs w:val="21"/>
        </w:rPr>
        <w:t>er Consulting a pobočky Broker Point či Broker Point Premium,</w:t>
      </w:r>
      <w:r w:rsidRPr="00EF6D8C">
        <w:rPr>
          <w:rFonts w:asciiTheme="minorHAnsi" w:hAnsiTheme="minorHAnsi" w:cstheme="minorHAnsi"/>
          <w:sz w:val="21"/>
          <w:szCs w:val="21"/>
        </w:rPr>
        <w:t xml:space="preserve"> u kteréhokoli poskytovatele bankovních úvěrů. Jedná se o vážený aritmetický průměr, kdy hlavní vahou je </w:t>
      </w:r>
      <w:r w:rsidRPr="00EF6D8C">
        <w:rPr>
          <w:rFonts w:asciiTheme="minorHAnsi" w:hAnsiTheme="minorHAnsi" w:cstheme="minorHAnsi"/>
          <w:sz w:val="21"/>
          <w:szCs w:val="21"/>
        </w:rPr>
        <w:lastRenderedPageBreak/>
        <w:t>objem úvěru. Tedy čím vyšší úvěr, tím jeho sazba do Indexu vstupuje větší vahou. Výhodou metody výpočtu je to, že se do stati</w:t>
      </w:r>
      <w:r w:rsidR="009066E9" w:rsidRPr="00EF6D8C">
        <w:rPr>
          <w:rFonts w:asciiTheme="minorHAnsi" w:hAnsiTheme="minorHAnsi" w:cstheme="minorHAnsi"/>
          <w:sz w:val="21"/>
          <w:szCs w:val="21"/>
        </w:rPr>
        <w:t xml:space="preserve">stiky dostávají pouze  skutečně schválené </w:t>
      </w:r>
      <w:r w:rsidRPr="00EF6D8C">
        <w:rPr>
          <w:rFonts w:asciiTheme="minorHAnsi" w:hAnsiTheme="minorHAnsi" w:cstheme="minorHAnsi"/>
          <w:sz w:val="21"/>
          <w:szCs w:val="21"/>
        </w:rPr>
        <w:t xml:space="preserve">úvěry, a to bez výjimky všechny. Nemůže tak </w:t>
      </w:r>
      <w:r w:rsidR="00EE3451" w:rsidRPr="00EF6D8C">
        <w:rPr>
          <w:rFonts w:asciiTheme="minorHAnsi" w:hAnsiTheme="minorHAnsi" w:cstheme="minorHAnsi"/>
          <w:sz w:val="21"/>
          <w:szCs w:val="21"/>
        </w:rPr>
        <w:t>dojít ke zkreslení informací a i</w:t>
      </w:r>
      <w:r w:rsidRPr="00EF6D8C">
        <w:rPr>
          <w:rFonts w:asciiTheme="minorHAnsi" w:hAnsiTheme="minorHAnsi" w:cstheme="minorHAnsi"/>
          <w:sz w:val="21"/>
          <w:szCs w:val="21"/>
        </w:rPr>
        <w:t>ndex není závislý na datech dodávaných třetími stranami.</w:t>
      </w:r>
      <w:r w:rsidRPr="00EF6D8C">
        <w:rPr>
          <w:rFonts w:asciiTheme="minorHAnsi" w:hAnsiTheme="minorHAnsi" w:cstheme="minorHAnsi"/>
          <w:b/>
          <w:sz w:val="21"/>
          <w:szCs w:val="21"/>
        </w:rPr>
        <w:tab/>
      </w:r>
    </w:p>
    <w:p w14:paraId="2FA3FD44" w14:textId="1E7A17D8" w:rsidR="008F3C6D" w:rsidRPr="00EF6D8C" w:rsidRDefault="008F3C6D" w:rsidP="00EE3451">
      <w:pPr>
        <w:spacing w:before="120" w:after="120"/>
        <w:rPr>
          <w:rFonts w:asciiTheme="minorHAnsi" w:hAnsiTheme="minorHAnsi" w:cstheme="minorHAnsi"/>
          <w:b/>
          <w:sz w:val="21"/>
          <w:szCs w:val="21"/>
        </w:rPr>
      </w:pPr>
      <w:r w:rsidRPr="00EF6D8C">
        <w:rPr>
          <w:rFonts w:asciiTheme="minorHAnsi" w:hAnsiTheme="minorHAnsi" w:cstheme="minorHAnsi"/>
          <w:b/>
          <w:sz w:val="21"/>
          <w:szCs w:val="21"/>
        </w:rPr>
        <w:t>Proč je dobré Index sledovat</w:t>
      </w:r>
      <w:r w:rsidRPr="00EF6D8C">
        <w:rPr>
          <w:rFonts w:asciiTheme="minorHAnsi" w:hAnsiTheme="minorHAnsi" w:cstheme="minorHAnsi"/>
          <w:b/>
          <w:sz w:val="21"/>
          <w:szCs w:val="21"/>
        </w:rPr>
        <w:tab/>
      </w:r>
    </w:p>
    <w:p w14:paraId="0979CE30" w14:textId="0F07CF11" w:rsidR="008B3925" w:rsidRPr="00EF6D8C" w:rsidRDefault="008F3C6D" w:rsidP="00EF6D8C">
      <w:pPr>
        <w:pBdr>
          <w:bottom w:val="single" w:sz="4" w:space="1" w:color="auto"/>
        </w:pBdr>
        <w:spacing w:after="120"/>
        <w:rPr>
          <w:rFonts w:asciiTheme="minorHAnsi" w:hAnsiTheme="minorHAnsi" w:cstheme="minorHAnsi"/>
          <w:sz w:val="21"/>
          <w:szCs w:val="21"/>
        </w:rPr>
      </w:pPr>
      <w:r w:rsidRPr="00EF6D8C">
        <w:rPr>
          <w:rFonts w:asciiTheme="minorHAnsi" w:hAnsiTheme="minorHAnsi" w:cstheme="minorHAnsi"/>
          <w:sz w:val="21"/>
          <w:szCs w:val="21"/>
        </w:rPr>
        <w:t>Broker Consulting Index spotřebitelských úvěrů zachycuje vývoj úrokových sazeb u spotřebitelských bankovních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w:t>
      </w:r>
      <w:r w:rsidR="00FE619E" w:rsidRPr="00EF6D8C">
        <w:rPr>
          <w:rFonts w:asciiTheme="minorHAnsi" w:hAnsiTheme="minorHAnsi" w:cstheme="minorHAnsi"/>
          <w:sz w:val="21"/>
          <w:szCs w:val="21"/>
        </w:rPr>
        <w:t>,</w:t>
      </w:r>
      <w:r w:rsidRPr="00EF6D8C">
        <w:rPr>
          <w:rFonts w:asciiTheme="minorHAnsi" w:hAnsiTheme="minorHAnsi" w:cstheme="minorHAnsi"/>
          <w:sz w:val="21"/>
          <w:szCs w:val="21"/>
        </w:rPr>
        <w:t xml:space="preserve"> a úroková sazba je výrazněji vyšší než aktuální index, je potřeba zpozornět.</w:t>
      </w:r>
      <w:r w:rsidRPr="00EF6D8C">
        <w:rPr>
          <w:rFonts w:asciiTheme="minorHAnsi" w:hAnsiTheme="minorHAnsi" w:cstheme="minorHAnsi"/>
          <w:sz w:val="21"/>
          <w:szCs w:val="21"/>
        </w:rPr>
        <w:tab/>
      </w:r>
    </w:p>
    <w:p w14:paraId="5F16FECD" w14:textId="69AB3698" w:rsidR="008F3C6D" w:rsidRPr="00EF6D8C" w:rsidRDefault="008F3C6D" w:rsidP="008F3C6D">
      <w:pPr>
        <w:jc w:val="both"/>
        <w:rPr>
          <w:rFonts w:asciiTheme="minorHAnsi" w:hAnsiTheme="minorHAnsi" w:cstheme="minorHAnsi"/>
          <w:sz w:val="21"/>
          <w:szCs w:val="21"/>
        </w:rPr>
      </w:pPr>
    </w:p>
    <w:p w14:paraId="685A4AD2" w14:textId="23A7A74E" w:rsidR="00B51F55" w:rsidRPr="00EF6D8C" w:rsidRDefault="00B51F55" w:rsidP="00EF6D8C">
      <w:pPr>
        <w:spacing w:after="120"/>
        <w:rPr>
          <w:rFonts w:asciiTheme="minorHAnsi" w:hAnsiTheme="minorHAnsi" w:cstheme="minorHAnsi"/>
          <w:sz w:val="21"/>
          <w:szCs w:val="21"/>
        </w:rPr>
      </w:pPr>
      <w:r w:rsidRPr="00EF6D8C">
        <w:rPr>
          <w:rFonts w:asciiTheme="minorHAnsi" w:hAnsiTheme="minorHAnsi" w:cstheme="minorHAnsi"/>
          <w:b/>
          <w:sz w:val="21"/>
          <w:szCs w:val="21"/>
        </w:rPr>
        <w:t>Poznámka pro média:</w:t>
      </w:r>
      <w:r w:rsidRPr="00EF6D8C">
        <w:rPr>
          <w:rFonts w:asciiTheme="minorHAnsi" w:hAnsiTheme="minorHAnsi" w:cstheme="minorHAnsi"/>
          <w:sz w:val="21"/>
          <w:szCs w:val="21"/>
        </w:rPr>
        <w:t xml:space="preserve"> </w:t>
      </w:r>
      <w:r w:rsidRPr="00EF6D8C">
        <w:rPr>
          <w:rFonts w:asciiTheme="minorHAnsi" w:hAnsiTheme="minorHAnsi" w:cstheme="minorHAnsi"/>
          <w:color w:val="1D1D1B"/>
          <w:w w:val="105"/>
          <w:sz w:val="21"/>
          <w:szCs w:val="21"/>
        </w:rPr>
        <w:t>Broker</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Consulting</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Indexy</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je</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možné</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volně</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spacing w:val="2"/>
          <w:w w:val="105"/>
          <w:sz w:val="21"/>
          <w:szCs w:val="21"/>
        </w:rPr>
        <w:t>publikovat</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pouze</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s</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označením</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„Broker</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Consulting</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Index“</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spacing w:val="-3"/>
          <w:w w:val="105"/>
          <w:sz w:val="21"/>
          <w:szCs w:val="21"/>
        </w:rPr>
        <w:t>(</w:t>
      </w:r>
      <w:r w:rsidRPr="00EF6D8C">
        <w:rPr>
          <w:rFonts w:asciiTheme="minorHAnsi" w:hAnsiTheme="minorHAnsi" w:cstheme="minorHAnsi"/>
          <w:i/>
          <w:color w:val="1D1D1B"/>
          <w:spacing w:val="-3"/>
          <w:w w:val="105"/>
          <w:sz w:val="21"/>
          <w:szCs w:val="21"/>
        </w:rPr>
        <w:t>např.</w:t>
      </w:r>
      <w:r w:rsidRPr="00EF6D8C">
        <w:rPr>
          <w:rFonts w:asciiTheme="minorHAnsi" w:hAnsiTheme="minorHAnsi" w:cstheme="minorHAnsi"/>
          <w:i/>
          <w:color w:val="1D1D1B"/>
          <w:spacing w:val="-8"/>
          <w:w w:val="105"/>
          <w:sz w:val="21"/>
          <w:szCs w:val="21"/>
        </w:rPr>
        <w:t xml:space="preserve"> </w:t>
      </w:r>
      <w:r w:rsidRPr="00EF6D8C">
        <w:rPr>
          <w:rFonts w:asciiTheme="minorHAnsi" w:hAnsiTheme="minorHAnsi" w:cstheme="minorHAnsi"/>
          <w:i/>
          <w:color w:val="1D1D1B"/>
          <w:w w:val="105"/>
          <w:sz w:val="21"/>
          <w:szCs w:val="21"/>
        </w:rPr>
        <w:t>Broker</w:t>
      </w:r>
      <w:r w:rsidRPr="00EF6D8C">
        <w:rPr>
          <w:rFonts w:asciiTheme="minorHAnsi" w:hAnsiTheme="minorHAnsi" w:cstheme="minorHAnsi"/>
          <w:i/>
          <w:color w:val="1D1D1B"/>
          <w:spacing w:val="-9"/>
          <w:w w:val="105"/>
          <w:sz w:val="21"/>
          <w:szCs w:val="21"/>
        </w:rPr>
        <w:t xml:space="preserve"> </w:t>
      </w:r>
      <w:r w:rsidRPr="00EF6D8C">
        <w:rPr>
          <w:rFonts w:asciiTheme="minorHAnsi" w:hAnsiTheme="minorHAnsi" w:cstheme="minorHAnsi"/>
          <w:i/>
          <w:color w:val="1D1D1B"/>
          <w:w w:val="105"/>
          <w:sz w:val="21"/>
          <w:szCs w:val="21"/>
        </w:rPr>
        <w:t>Consulting</w:t>
      </w:r>
      <w:r w:rsidRPr="00EF6D8C">
        <w:rPr>
          <w:rFonts w:asciiTheme="minorHAnsi" w:hAnsiTheme="minorHAnsi" w:cstheme="minorHAnsi"/>
          <w:i/>
          <w:color w:val="1D1D1B"/>
          <w:spacing w:val="-8"/>
          <w:w w:val="105"/>
          <w:sz w:val="21"/>
          <w:szCs w:val="21"/>
        </w:rPr>
        <w:t xml:space="preserve"> Index </w:t>
      </w:r>
      <w:r w:rsidRPr="00EF6D8C">
        <w:rPr>
          <w:rFonts w:asciiTheme="minorHAnsi" w:hAnsiTheme="minorHAnsi" w:cstheme="minorHAnsi"/>
          <w:i/>
          <w:color w:val="1D1D1B"/>
          <w:w w:val="105"/>
          <w:sz w:val="21"/>
          <w:szCs w:val="21"/>
        </w:rPr>
        <w:t>hypoteční</w:t>
      </w:r>
      <w:r w:rsidRPr="00EF6D8C">
        <w:rPr>
          <w:rFonts w:asciiTheme="minorHAnsi" w:hAnsiTheme="minorHAnsi" w:cstheme="minorHAnsi"/>
          <w:i/>
          <w:color w:val="1D1D1B"/>
          <w:spacing w:val="-9"/>
          <w:w w:val="105"/>
          <w:sz w:val="21"/>
          <w:szCs w:val="21"/>
        </w:rPr>
        <w:t>ch úvěrů</w:t>
      </w:r>
      <w:r w:rsidRPr="00EF6D8C">
        <w:rPr>
          <w:rFonts w:asciiTheme="minorHAnsi" w:hAnsiTheme="minorHAnsi" w:cstheme="minorHAnsi"/>
          <w:i/>
          <w:color w:val="1D1D1B"/>
          <w:w w:val="105"/>
          <w:sz w:val="21"/>
          <w:szCs w:val="21"/>
        </w:rPr>
        <w:t xml:space="preserve">). Více informací najdete též na webu </w:t>
      </w:r>
      <w:r w:rsidRPr="00EF6D8C">
        <w:rPr>
          <w:rStyle w:val="Hypertextovodkaz"/>
          <w:rFonts w:asciiTheme="minorHAnsi" w:hAnsiTheme="minorHAnsi" w:cstheme="minorHAnsi"/>
          <w:i/>
          <w:w w:val="105"/>
          <w:sz w:val="21"/>
          <w:szCs w:val="21"/>
        </w:rPr>
        <w:t>https://www.bcas.cz/onas/pro-media/</w:t>
      </w:r>
      <w:r w:rsidRPr="00EF6D8C">
        <w:rPr>
          <w:rFonts w:asciiTheme="minorHAnsi" w:hAnsiTheme="minorHAnsi" w:cstheme="minorHAnsi"/>
          <w:i/>
          <w:color w:val="1D1D1B"/>
          <w:w w:val="105"/>
          <w:sz w:val="21"/>
          <w:szCs w:val="21"/>
        </w:rPr>
        <w:t xml:space="preserve">. </w:t>
      </w:r>
    </w:p>
    <w:p w14:paraId="5245244C" w14:textId="59FD1ED6" w:rsidR="007563D8" w:rsidRPr="00EF6D8C" w:rsidRDefault="007563D8" w:rsidP="00A2244B">
      <w:pPr>
        <w:rPr>
          <w:rFonts w:asciiTheme="minorHAnsi" w:hAnsiTheme="minorHAnsi" w:cstheme="minorHAnsi"/>
          <w:b/>
          <w:color w:val="1D1D1B"/>
          <w:w w:val="105"/>
          <w:sz w:val="21"/>
          <w:szCs w:val="21"/>
        </w:rPr>
      </w:pPr>
      <w:r w:rsidRPr="00EF6D8C">
        <w:rPr>
          <w:rFonts w:asciiTheme="minorHAnsi" w:hAnsiTheme="minorHAnsi" w:cstheme="minorHAnsi"/>
          <w:b/>
          <w:color w:val="FF0000"/>
          <w:w w:val="105"/>
          <w:sz w:val="21"/>
          <w:szCs w:val="21"/>
        </w:rPr>
        <w:t>Broker Consulting Indexy je nyní možné sledovat v interaktivní formě na webu</w:t>
      </w:r>
      <w:r w:rsidRPr="00EF6D8C">
        <w:rPr>
          <w:rFonts w:asciiTheme="minorHAnsi" w:hAnsiTheme="minorHAnsi" w:cstheme="minorHAnsi"/>
          <w:color w:val="1D1D1B"/>
          <w:w w:val="105"/>
          <w:sz w:val="21"/>
          <w:szCs w:val="21"/>
        </w:rPr>
        <w:t>. Zde lze zároveň exportovat zdrojová data ke grafům. Vice dostupné na odkaze</w:t>
      </w:r>
      <w:r w:rsidRPr="00EF6D8C">
        <w:rPr>
          <w:rFonts w:asciiTheme="minorHAnsi" w:hAnsiTheme="minorHAnsi" w:cstheme="minorHAnsi"/>
          <w:b/>
          <w:color w:val="1D1D1B"/>
          <w:w w:val="105"/>
          <w:sz w:val="21"/>
          <w:szCs w:val="21"/>
        </w:rPr>
        <w:t xml:space="preserve">: </w:t>
      </w:r>
      <w:hyperlink r:id="rId26" w:history="1">
        <w:r w:rsidRPr="00EF6D8C">
          <w:rPr>
            <w:rStyle w:val="Hypertextovodkaz"/>
            <w:rFonts w:asciiTheme="minorHAnsi" w:hAnsiTheme="minorHAnsi" w:cstheme="minorHAnsi"/>
            <w:b/>
            <w:sz w:val="21"/>
            <w:szCs w:val="21"/>
          </w:rPr>
          <w:t>https://www.bcas.cz/o-nas/broker-consulting-index-spotrebitelskych-uveru/</w:t>
        </w:r>
      </w:hyperlink>
      <w:r w:rsidRPr="00EF6D8C">
        <w:rPr>
          <w:rFonts w:asciiTheme="minorHAnsi" w:hAnsiTheme="minorHAnsi" w:cstheme="minorHAnsi"/>
          <w:b/>
          <w:sz w:val="21"/>
          <w:szCs w:val="21"/>
        </w:rPr>
        <w:t xml:space="preserve">. </w:t>
      </w:r>
    </w:p>
    <w:p w14:paraId="3FDF8955" w14:textId="399F6C6F" w:rsidR="00EF6D8C" w:rsidRPr="00EF6D8C" w:rsidRDefault="008F3C6D" w:rsidP="00EF6D8C">
      <w:pPr>
        <w:spacing w:before="120"/>
        <w:rPr>
          <w:rFonts w:asciiTheme="minorHAnsi" w:eastAsia="Calibri" w:hAnsiTheme="minorHAnsi" w:cstheme="minorHAnsi"/>
          <w:b/>
          <w:bCs/>
          <w:noProof/>
          <w:sz w:val="21"/>
          <w:szCs w:val="21"/>
        </w:rPr>
      </w:pPr>
      <w:r w:rsidRPr="00EF6D8C">
        <w:rPr>
          <w:rFonts w:asciiTheme="minorHAnsi" w:eastAsia="Calibri" w:hAnsiTheme="minorHAnsi" w:cstheme="minorHAnsi"/>
          <w:b/>
          <w:bCs/>
          <w:noProof/>
          <w:sz w:val="21"/>
          <w:szCs w:val="21"/>
        </w:rPr>
        <w:t>Kontakt pro média:</w:t>
      </w:r>
    </w:p>
    <w:p w14:paraId="3450A3C2" w14:textId="77777777" w:rsidR="00624358" w:rsidRPr="00AD79CC" w:rsidRDefault="00624358" w:rsidP="00624358">
      <w:pPr>
        <w:pStyle w:val="Bezmezer"/>
        <w:rPr>
          <w:rFonts w:eastAsia="F015TEELig" w:cstheme="minorHAnsi"/>
          <w:sz w:val="21"/>
          <w:szCs w:val="21"/>
        </w:rPr>
      </w:pPr>
      <w:r>
        <w:rPr>
          <w:rFonts w:eastAsia="Calibri" w:cstheme="minorHAnsi"/>
          <w:bCs/>
          <w:noProof/>
          <w:sz w:val="21"/>
          <w:szCs w:val="21"/>
        </w:rPr>
        <w:t xml:space="preserve">Lenka Kuželová, </w:t>
      </w:r>
      <w:r w:rsidRPr="00AD79CC">
        <w:rPr>
          <w:rFonts w:eastAsia="F015TEELig" w:cstheme="minorHAnsi"/>
          <w:sz w:val="21"/>
          <w:szCs w:val="21"/>
        </w:rPr>
        <w:t xml:space="preserve">Specialistka PR </w:t>
      </w:r>
    </w:p>
    <w:p w14:paraId="14A711EF" w14:textId="77777777" w:rsidR="00624358" w:rsidRPr="00AD79CC" w:rsidRDefault="00624358" w:rsidP="00624358">
      <w:pPr>
        <w:pStyle w:val="Bezmezer"/>
        <w:rPr>
          <w:rFonts w:eastAsia="F015TEELig" w:cstheme="minorHAnsi"/>
          <w:sz w:val="21"/>
          <w:szCs w:val="21"/>
        </w:rPr>
      </w:pPr>
      <w:r>
        <w:rPr>
          <w:rFonts w:eastAsia="F015TEELig" w:cstheme="minorHAnsi"/>
          <w:sz w:val="21"/>
          <w:szCs w:val="21"/>
        </w:rPr>
        <w:t>Mobil: +420 731 929 990</w:t>
      </w:r>
      <w:r w:rsidRPr="00AD79CC">
        <w:rPr>
          <w:rFonts w:eastAsia="F015TEELig" w:cstheme="minorHAnsi"/>
          <w:sz w:val="21"/>
          <w:szCs w:val="21"/>
        </w:rPr>
        <w:t>, e-mail:</w:t>
      </w:r>
      <w:r w:rsidRPr="00AD79CC">
        <w:rPr>
          <w:rFonts w:eastAsia="Calibri" w:cstheme="minorHAnsi"/>
          <w:noProof/>
          <w:sz w:val="21"/>
          <w:szCs w:val="21"/>
        </w:rPr>
        <w:t xml:space="preserve"> </w:t>
      </w:r>
      <w:hyperlink r:id="rId27" w:history="1">
        <w:r w:rsidRPr="00DE288C">
          <w:rPr>
            <w:rStyle w:val="Hypertextovodkaz"/>
            <w:rFonts w:eastAsia="Calibri" w:cstheme="minorHAnsi"/>
            <w:noProof/>
            <w:sz w:val="21"/>
            <w:szCs w:val="21"/>
          </w:rPr>
          <w:t>lenka.kuzelova@bcas.cz</w:t>
        </w:r>
      </w:hyperlink>
      <w:r>
        <w:rPr>
          <w:rFonts w:eastAsia="Calibri" w:cstheme="minorHAnsi"/>
          <w:noProof/>
          <w:sz w:val="21"/>
          <w:szCs w:val="21"/>
        </w:rPr>
        <w:t xml:space="preserve"> </w:t>
      </w:r>
    </w:p>
    <w:p w14:paraId="12134AC2" w14:textId="4F708FE7" w:rsidR="008F3C6D" w:rsidRPr="00EF6D8C" w:rsidRDefault="008F3C6D" w:rsidP="00EF6D8C">
      <w:pPr>
        <w:rPr>
          <w:rFonts w:asciiTheme="minorHAnsi" w:eastAsiaTheme="minorEastAsia" w:hAnsiTheme="minorHAnsi" w:cstheme="minorHAnsi"/>
          <w:noProof/>
          <w:color w:val="000000" w:themeColor="text1"/>
          <w:sz w:val="21"/>
          <w:szCs w:val="21"/>
          <w:lang w:bidi="ar-SA"/>
        </w:rPr>
      </w:pPr>
    </w:p>
    <w:sectPr w:rsidR="008F3C6D" w:rsidRPr="00EF6D8C"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3C9BB8" w14:textId="77777777" w:rsidR="00A43748" w:rsidRDefault="00A43748">
      <w:r>
        <w:separator/>
      </w:r>
    </w:p>
  </w:endnote>
  <w:endnote w:type="continuationSeparator" w:id="0">
    <w:p w14:paraId="256A6B31" w14:textId="77777777" w:rsidR="00A43748" w:rsidRDefault="00A43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A43748"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9E5992"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A43748"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9E5992"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A43748"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9E5992"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FFAC84" w14:textId="77777777" w:rsidR="00A43748" w:rsidRDefault="00A43748">
      <w:r>
        <w:separator/>
      </w:r>
    </w:p>
  </w:footnote>
  <w:footnote w:type="continuationSeparator" w:id="0">
    <w:p w14:paraId="5723672D" w14:textId="77777777" w:rsidR="00A43748" w:rsidRDefault="00A437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BC331D" w:rsidRDefault="00D80B6D" w:rsidP="00E95698">
    <w:pPr>
      <w:tabs>
        <w:tab w:val="left" w:pos="8633"/>
      </w:tabs>
      <w:spacing w:before="80"/>
      <w:ind w:firstLine="2880"/>
      <w:rPr>
        <w:rFonts w:asciiTheme="minorHAnsi" w:hAnsiTheme="minorHAnsi" w:cstheme="minorHAnsi"/>
        <w:sz w:val="52"/>
      </w:rPr>
    </w:pPr>
    <w:r w:rsidRPr="00BC331D">
      <w:rPr>
        <w:rFonts w:asciiTheme="minorHAnsi" w:hAnsiTheme="minorHAnsi" w:cstheme="minorHAnsi"/>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BC331D">
      <w:rPr>
        <w:rFonts w:asciiTheme="minorHAnsi" w:hAnsiTheme="minorHAnsi" w:cstheme="minorHAnsi"/>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BC331D">
      <w:rPr>
        <w:rFonts w:asciiTheme="minorHAnsi" w:hAnsiTheme="minorHAnsi" w:cstheme="minorHAnsi"/>
        <w:color w:val="1D1D1B"/>
        <w:sz w:val="48"/>
      </w:rPr>
      <w:t xml:space="preserve">BROKER CONSULTING </w:t>
    </w:r>
    <w:r w:rsidRPr="00BC331D">
      <w:rPr>
        <w:rFonts w:asciiTheme="minorHAnsi" w:hAnsiTheme="minorHAnsi" w:cstheme="minorHAnsi"/>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CB10A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53FBB"/>
    <w:multiLevelType w:val="hybridMultilevel"/>
    <w:tmpl w:val="09B0E60C"/>
    <w:lvl w:ilvl="0" w:tplc="21DECE18">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D8E0C12"/>
    <w:multiLevelType w:val="hybridMultilevel"/>
    <w:tmpl w:val="7C44D2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3" w15:restartNumberingAfterBreak="0">
    <w:nsid w:val="3DFD5456"/>
    <w:multiLevelType w:val="hybridMultilevel"/>
    <w:tmpl w:val="414C92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58C4F68"/>
    <w:multiLevelType w:val="hybridMultilevel"/>
    <w:tmpl w:val="1B0AB248"/>
    <w:lvl w:ilvl="0" w:tplc="21DECE18">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39C3D22"/>
    <w:multiLevelType w:val="hybridMultilevel"/>
    <w:tmpl w:val="011C0E20"/>
    <w:lvl w:ilvl="0" w:tplc="04050017">
      <w:start w:val="1"/>
      <w:numFmt w:val="lowerLetter"/>
      <w:lvlText w:val="%1)"/>
      <w:lvlJc w:val="left"/>
      <w:pPr>
        <w:ind w:left="720" w:hanging="360"/>
      </w:p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F062222"/>
    <w:multiLevelType w:val="hybridMultilevel"/>
    <w:tmpl w:val="8C283B0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 w15:restartNumberingAfterBreak="0">
    <w:nsid w:val="6786571F"/>
    <w:multiLevelType w:val="hybridMultilevel"/>
    <w:tmpl w:val="1B086EF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 w15:restartNumberingAfterBreak="0">
    <w:nsid w:val="75E63C89"/>
    <w:multiLevelType w:val="hybridMultilevel"/>
    <w:tmpl w:val="FF200B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0"/>
  </w:num>
  <w:num w:numId="4">
    <w:abstractNumId w:val="9"/>
  </w:num>
  <w:num w:numId="5">
    <w:abstractNumId w:val="5"/>
  </w:num>
  <w:num w:numId="6">
    <w:abstractNumId w:val="8"/>
  </w:num>
  <w:num w:numId="7">
    <w:abstractNumId w:val="3"/>
  </w:num>
  <w:num w:numId="8">
    <w:abstractNumId w:val="9"/>
  </w:num>
  <w:num w:numId="9">
    <w:abstractNumId w:val="1"/>
  </w:num>
  <w:num w:numId="10">
    <w:abstractNumId w:val="0"/>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0406E"/>
    <w:rsid w:val="00005076"/>
    <w:rsid w:val="000058F2"/>
    <w:rsid w:val="00014E72"/>
    <w:rsid w:val="00017A80"/>
    <w:rsid w:val="00020EC7"/>
    <w:rsid w:val="00021C70"/>
    <w:rsid w:val="00022715"/>
    <w:rsid w:val="00024AC6"/>
    <w:rsid w:val="00026F23"/>
    <w:rsid w:val="000276A7"/>
    <w:rsid w:val="000277AC"/>
    <w:rsid w:val="000329A2"/>
    <w:rsid w:val="00032D94"/>
    <w:rsid w:val="00036C73"/>
    <w:rsid w:val="000374D7"/>
    <w:rsid w:val="000400E4"/>
    <w:rsid w:val="0004253B"/>
    <w:rsid w:val="00045B39"/>
    <w:rsid w:val="0005252A"/>
    <w:rsid w:val="0005423A"/>
    <w:rsid w:val="00057018"/>
    <w:rsid w:val="00057DE7"/>
    <w:rsid w:val="000611E3"/>
    <w:rsid w:val="000618FE"/>
    <w:rsid w:val="00061ABB"/>
    <w:rsid w:val="00070675"/>
    <w:rsid w:val="000766E7"/>
    <w:rsid w:val="00076D0E"/>
    <w:rsid w:val="0007763B"/>
    <w:rsid w:val="00080552"/>
    <w:rsid w:val="00080ADE"/>
    <w:rsid w:val="00081616"/>
    <w:rsid w:val="00082FDB"/>
    <w:rsid w:val="000853D4"/>
    <w:rsid w:val="00087263"/>
    <w:rsid w:val="00091F9C"/>
    <w:rsid w:val="0009776B"/>
    <w:rsid w:val="000A5467"/>
    <w:rsid w:val="000A6063"/>
    <w:rsid w:val="000B0D84"/>
    <w:rsid w:val="000B2E5D"/>
    <w:rsid w:val="000B2F39"/>
    <w:rsid w:val="000B5339"/>
    <w:rsid w:val="000B54E5"/>
    <w:rsid w:val="000C0090"/>
    <w:rsid w:val="000C1853"/>
    <w:rsid w:val="000C4C77"/>
    <w:rsid w:val="000C50AA"/>
    <w:rsid w:val="000D145E"/>
    <w:rsid w:val="000D14E2"/>
    <w:rsid w:val="000D5F5D"/>
    <w:rsid w:val="000D68AC"/>
    <w:rsid w:val="000D7A4D"/>
    <w:rsid w:val="000E0EEC"/>
    <w:rsid w:val="000E168E"/>
    <w:rsid w:val="000E3D86"/>
    <w:rsid w:val="000F0BA4"/>
    <w:rsid w:val="000F1EC4"/>
    <w:rsid w:val="000F29D1"/>
    <w:rsid w:val="000F6249"/>
    <w:rsid w:val="00103543"/>
    <w:rsid w:val="001069A1"/>
    <w:rsid w:val="0010739A"/>
    <w:rsid w:val="00111C28"/>
    <w:rsid w:val="00112079"/>
    <w:rsid w:val="00112CC0"/>
    <w:rsid w:val="00112D65"/>
    <w:rsid w:val="001130B7"/>
    <w:rsid w:val="00114F7B"/>
    <w:rsid w:val="00115429"/>
    <w:rsid w:val="0011716E"/>
    <w:rsid w:val="0012330F"/>
    <w:rsid w:val="00123939"/>
    <w:rsid w:val="001302C1"/>
    <w:rsid w:val="0013044E"/>
    <w:rsid w:val="00131A69"/>
    <w:rsid w:val="001352B7"/>
    <w:rsid w:val="00136C97"/>
    <w:rsid w:val="00137003"/>
    <w:rsid w:val="0013717C"/>
    <w:rsid w:val="00137474"/>
    <w:rsid w:val="00143EFE"/>
    <w:rsid w:val="0014644B"/>
    <w:rsid w:val="001546F5"/>
    <w:rsid w:val="00156082"/>
    <w:rsid w:val="00161D10"/>
    <w:rsid w:val="00164597"/>
    <w:rsid w:val="001675AF"/>
    <w:rsid w:val="00170556"/>
    <w:rsid w:val="00170D87"/>
    <w:rsid w:val="00170E0F"/>
    <w:rsid w:val="00173F5C"/>
    <w:rsid w:val="00175224"/>
    <w:rsid w:val="001767A5"/>
    <w:rsid w:val="00180051"/>
    <w:rsid w:val="00182B07"/>
    <w:rsid w:val="0018460D"/>
    <w:rsid w:val="00187ECB"/>
    <w:rsid w:val="001901D0"/>
    <w:rsid w:val="00191B34"/>
    <w:rsid w:val="001925C8"/>
    <w:rsid w:val="00192716"/>
    <w:rsid w:val="00192C2A"/>
    <w:rsid w:val="00193550"/>
    <w:rsid w:val="00194C95"/>
    <w:rsid w:val="0019698F"/>
    <w:rsid w:val="001A54DD"/>
    <w:rsid w:val="001B08C7"/>
    <w:rsid w:val="001B296D"/>
    <w:rsid w:val="001B29C7"/>
    <w:rsid w:val="001B3C85"/>
    <w:rsid w:val="001B501B"/>
    <w:rsid w:val="001B6A93"/>
    <w:rsid w:val="001B745F"/>
    <w:rsid w:val="001D015A"/>
    <w:rsid w:val="001D3DFC"/>
    <w:rsid w:val="001D4EA8"/>
    <w:rsid w:val="001D66D5"/>
    <w:rsid w:val="001D6965"/>
    <w:rsid w:val="001E22F1"/>
    <w:rsid w:val="001E3D5F"/>
    <w:rsid w:val="001E3FBF"/>
    <w:rsid w:val="001E4209"/>
    <w:rsid w:val="001E44AC"/>
    <w:rsid w:val="001E5D83"/>
    <w:rsid w:val="001F045E"/>
    <w:rsid w:val="001F25C4"/>
    <w:rsid w:val="001F2BE0"/>
    <w:rsid w:val="001F3CF1"/>
    <w:rsid w:val="001F7194"/>
    <w:rsid w:val="001F71BA"/>
    <w:rsid w:val="001F7D30"/>
    <w:rsid w:val="00200B65"/>
    <w:rsid w:val="00203943"/>
    <w:rsid w:val="002116F0"/>
    <w:rsid w:val="00213566"/>
    <w:rsid w:val="002141AF"/>
    <w:rsid w:val="002157B1"/>
    <w:rsid w:val="0022066E"/>
    <w:rsid w:val="00220944"/>
    <w:rsid w:val="002227D9"/>
    <w:rsid w:val="00223A4A"/>
    <w:rsid w:val="002259CD"/>
    <w:rsid w:val="0023042D"/>
    <w:rsid w:val="00232F1A"/>
    <w:rsid w:val="00233A58"/>
    <w:rsid w:val="0023469F"/>
    <w:rsid w:val="002368F3"/>
    <w:rsid w:val="002402BD"/>
    <w:rsid w:val="002404A1"/>
    <w:rsid w:val="002406A8"/>
    <w:rsid w:val="00241313"/>
    <w:rsid w:val="00242D4D"/>
    <w:rsid w:val="00243075"/>
    <w:rsid w:val="00243C49"/>
    <w:rsid w:val="0024551C"/>
    <w:rsid w:val="0025264B"/>
    <w:rsid w:val="0025428A"/>
    <w:rsid w:val="002542AA"/>
    <w:rsid w:val="00255003"/>
    <w:rsid w:val="00255182"/>
    <w:rsid w:val="00263C8C"/>
    <w:rsid w:val="002645E4"/>
    <w:rsid w:val="002679C9"/>
    <w:rsid w:val="00270DB3"/>
    <w:rsid w:val="00271F07"/>
    <w:rsid w:val="002743F2"/>
    <w:rsid w:val="0027623E"/>
    <w:rsid w:val="00281834"/>
    <w:rsid w:val="002831C1"/>
    <w:rsid w:val="00285397"/>
    <w:rsid w:val="0028590C"/>
    <w:rsid w:val="00287D46"/>
    <w:rsid w:val="00290416"/>
    <w:rsid w:val="002A0285"/>
    <w:rsid w:val="002A3F19"/>
    <w:rsid w:val="002A6FA3"/>
    <w:rsid w:val="002A7325"/>
    <w:rsid w:val="002B0728"/>
    <w:rsid w:val="002B1317"/>
    <w:rsid w:val="002B7DA9"/>
    <w:rsid w:val="002B7F6D"/>
    <w:rsid w:val="002C0240"/>
    <w:rsid w:val="002C4A25"/>
    <w:rsid w:val="002C4BCE"/>
    <w:rsid w:val="002C7224"/>
    <w:rsid w:val="002D1619"/>
    <w:rsid w:val="002D20B9"/>
    <w:rsid w:val="002D6D20"/>
    <w:rsid w:val="002E1ABC"/>
    <w:rsid w:val="002E3DC6"/>
    <w:rsid w:val="002E633F"/>
    <w:rsid w:val="002F002B"/>
    <w:rsid w:val="002F05B2"/>
    <w:rsid w:val="002F1DD3"/>
    <w:rsid w:val="002F3FCA"/>
    <w:rsid w:val="002F485A"/>
    <w:rsid w:val="002F56BD"/>
    <w:rsid w:val="002F7EC2"/>
    <w:rsid w:val="003001F4"/>
    <w:rsid w:val="003028DB"/>
    <w:rsid w:val="003055CB"/>
    <w:rsid w:val="00306EEA"/>
    <w:rsid w:val="00306FE1"/>
    <w:rsid w:val="00307E95"/>
    <w:rsid w:val="00310BEB"/>
    <w:rsid w:val="00311F45"/>
    <w:rsid w:val="0031287A"/>
    <w:rsid w:val="003128F8"/>
    <w:rsid w:val="00313A87"/>
    <w:rsid w:val="00315AC2"/>
    <w:rsid w:val="00316FA6"/>
    <w:rsid w:val="0031712D"/>
    <w:rsid w:val="0031752C"/>
    <w:rsid w:val="00320455"/>
    <w:rsid w:val="00320E0F"/>
    <w:rsid w:val="00321518"/>
    <w:rsid w:val="00321E19"/>
    <w:rsid w:val="003226EB"/>
    <w:rsid w:val="003247B0"/>
    <w:rsid w:val="00330918"/>
    <w:rsid w:val="00331E15"/>
    <w:rsid w:val="003358BA"/>
    <w:rsid w:val="00340DB5"/>
    <w:rsid w:val="0034184F"/>
    <w:rsid w:val="00342F85"/>
    <w:rsid w:val="0034360E"/>
    <w:rsid w:val="00345686"/>
    <w:rsid w:val="00345DAD"/>
    <w:rsid w:val="00345DD2"/>
    <w:rsid w:val="00347557"/>
    <w:rsid w:val="003502B4"/>
    <w:rsid w:val="00352D2E"/>
    <w:rsid w:val="00355366"/>
    <w:rsid w:val="00356752"/>
    <w:rsid w:val="00361D44"/>
    <w:rsid w:val="003629B6"/>
    <w:rsid w:val="00365407"/>
    <w:rsid w:val="0036580F"/>
    <w:rsid w:val="003705A1"/>
    <w:rsid w:val="00370C35"/>
    <w:rsid w:val="003721AD"/>
    <w:rsid w:val="0037300C"/>
    <w:rsid w:val="00374182"/>
    <w:rsid w:val="00374618"/>
    <w:rsid w:val="00383942"/>
    <w:rsid w:val="00383DC5"/>
    <w:rsid w:val="00385325"/>
    <w:rsid w:val="00385EED"/>
    <w:rsid w:val="00386B09"/>
    <w:rsid w:val="00390B58"/>
    <w:rsid w:val="00392024"/>
    <w:rsid w:val="003948A1"/>
    <w:rsid w:val="00396E90"/>
    <w:rsid w:val="003A1549"/>
    <w:rsid w:val="003A285A"/>
    <w:rsid w:val="003A2887"/>
    <w:rsid w:val="003A375A"/>
    <w:rsid w:val="003A43AB"/>
    <w:rsid w:val="003A6435"/>
    <w:rsid w:val="003B0E4E"/>
    <w:rsid w:val="003B0E4F"/>
    <w:rsid w:val="003B3F0C"/>
    <w:rsid w:val="003B4BD8"/>
    <w:rsid w:val="003C0CBE"/>
    <w:rsid w:val="003C2A23"/>
    <w:rsid w:val="003C5664"/>
    <w:rsid w:val="003C59A8"/>
    <w:rsid w:val="003C6F57"/>
    <w:rsid w:val="003C7F98"/>
    <w:rsid w:val="003D157E"/>
    <w:rsid w:val="003D1987"/>
    <w:rsid w:val="003D2162"/>
    <w:rsid w:val="003D47CB"/>
    <w:rsid w:val="003D654E"/>
    <w:rsid w:val="003E0649"/>
    <w:rsid w:val="003E3701"/>
    <w:rsid w:val="003E5B34"/>
    <w:rsid w:val="003E6537"/>
    <w:rsid w:val="003F0CAF"/>
    <w:rsid w:val="003F324C"/>
    <w:rsid w:val="003F7018"/>
    <w:rsid w:val="003F79EC"/>
    <w:rsid w:val="0040257E"/>
    <w:rsid w:val="00403729"/>
    <w:rsid w:val="004041EF"/>
    <w:rsid w:val="004053BB"/>
    <w:rsid w:val="004075C9"/>
    <w:rsid w:val="00411153"/>
    <w:rsid w:val="004116FD"/>
    <w:rsid w:val="0041759C"/>
    <w:rsid w:val="0042193A"/>
    <w:rsid w:val="004228ED"/>
    <w:rsid w:val="00422A4A"/>
    <w:rsid w:val="00424406"/>
    <w:rsid w:val="00431BE5"/>
    <w:rsid w:val="00432DAE"/>
    <w:rsid w:val="0043345B"/>
    <w:rsid w:val="0043347D"/>
    <w:rsid w:val="004336E4"/>
    <w:rsid w:val="00433F20"/>
    <w:rsid w:val="00434FAE"/>
    <w:rsid w:val="00435342"/>
    <w:rsid w:val="004372BB"/>
    <w:rsid w:val="004376B0"/>
    <w:rsid w:val="00445316"/>
    <w:rsid w:val="00445D0A"/>
    <w:rsid w:val="00447FBA"/>
    <w:rsid w:val="004501B9"/>
    <w:rsid w:val="00453CFE"/>
    <w:rsid w:val="00454843"/>
    <w:rsid w:val="004556BB"/>
    <w:rsid w:val="00455F65"/>
    <w:rsid w:val="00457FFE"/>
    <w:rsid w:val="00460FA7"/>
    <w:rsid w:val="00461BF2"/>
    <w:rsid w:val="0046273D"/>
    <w:rsid w:val="004627B9"/>
    <w:rsid w:val="004678E9"/>
    <w:rsid w:val="00467E69"/>
    <w:rsid w:val="00471166"/>
    <w:rsid w:val="00473E24"/>
    <w:rsid w:val="00474C76"/>
    <w:rsid w:val="00477DC5"/>
    <w:rsid w:val="00480982"/>
    <w:rsid w:val="00483C09"/>
    <w:rsid w:val="00486655"/>
    <w:rsid w:val="0049280D"/>
    <w:rsid w:val="00492BA9"/>
    <w:rsid w:val="004935C2"/>
    <w:rsid w:val="00496374"/>
    <w:rsid w:val="004A40C5"/>
    <w:rsid w:val="004A59C1"/>
    <w:rsid w:val="004A7830"/>
    <w:rsid w:val="004B2DF6"/>
    <w:rsid w:val="004B2FF6"/>
    <w:rsid w:val="004B4E91"/>
    <w:rsid w:val="004B5797"/>
    <w:rsid w:val="004B7412"/>
    <w:rsid w:val="004C222D"/>
    <w:rsid w:val="004C3DD1"/>
    <w:rsid w:val="004C3F71"/>
    <w:rsid w:val="004D5CC6"/>
    <w:rsid w:val="004D6DB4"/>
    <w:rsid w:val="004E09B8"/>
    <w:rsid w:val="004E1737"/>
    <w:rsid w:val="004F303D"/>
    <w:rsid w:val="004F38CD"/>
    <w:rsid w:val="004F5D36"/>
    <w:rsid w:val="004F6195"/>
    <w:rsid w:val="00504EBB"/>
    <w:rsid w:val="0050659B"/>
    <w:rsid w:val="005130A9"/>
    <w:rsid w:val="00514932"/>
    <w:rsid w:val="005153F7"/>
    <w:rsid w:val="00515952"/>
    <w:rsid w:val="005224C1"/>
    <w:rsid w:val="005231DA"/>
    <w:rsid w:val="00530625"/>
    <w:rsid w:val="0053079B"/>
    <w:rsid w:val="0053153F"/>
    <w:rsid w:val="00531C9F"/>
    <w:rsid w:val="00533EEB"/>
    <w:rsid w:val="005361AF"/>
    <w:rsid w:val="00536822"/>
    <w:rsid w:val="00536954"/>
    <w:rsid w:val="0053728E"/>
    <w:rsid w:val="005374D5"/>
    <w:rsid w:val="00540563"/>
    <w:rsid w:val="00540606"/>
    <w:rsid w:val="005411AC"/>
    <w:rsid w:val="00541870"/>
    <w:rsid w:val="005436EC"/>
    <w:rsid w:val="00543DD3"/>
    <w:rsid w:val="00544A37"/>
    <w:rsid w:val="00545971"/>
    <w:rsid w:val="00550147"/>
    <w:rsid w:val="00550AC2"/>
    <w:rsid w:val="00551FDB"/>
    <w:rsid w:val="00554D18"/>
    <w:rsid w:val="00564E3C"/>
    <w:rsid w:val="0056501A"/>
    <w:rsid w:val="00565024"/>
    <w:rsid w:val="00571AD4"/>
    <w:rsid w:val="00573886"/>
    <w:rsid w:val="00573EE2"/>
    <w:rsid w:val="005766D5"/>
    <w:rsid w:val="00577D19"/>
    <w:rsid w:val="005907CD"/>
    <w:rsid w:val="00597875"/>
    <w:rsid w:val="005A2139"/>
    <w:rsid w:val="005A37E5"/>
    <w:rsid w:val="005A4EB8"/>
    <w:rsid w:val="005A50EB"/>
    <w:rsid w:val="005A5BBA"/>
    <w:rsid w:val="005A5F08"/>
    <w:rsid w:val="005B3143"/>
    <w:rsid w:val="005B31D7"/>
    <w:rsid w:val="005B460E"/>
    <w:rsid w:val="005C150C"/>
    <w:rsid w:val="005C318A"/>
    <w:rsid w:val="005D52F3"/>
    <w:rsid w:val="005D75B2"/>
    <w:rsid w:val="005E1193"/>
    <w:rsid w:val="005E14B1"/>
    <w:rsid w:val="005E5A67"/>
    <w:rsid w:val="005E7301"/>
    <w:rsid w:val="005E7865"/>
    <w:rsid w:val="005E7EC0"/>
    <w:rsid w:val="005F2D95"/>
    <w:rsid w:val="005F6BD8"/>
    <w:rsid w:val="005F7E72"/>
    <w:rsid w:val="005F7EAE"/>
    <w:rsid w:val="0060397A"/>
    <w:rsid w:val="0060554F"/>
    <w:rsid w:val="006135FD"/>
    <w:rsid w:val="0061438C"/>
    <w:rsid w:val="006166CE"/>
    <w:rsid w:val="0062060D"/>
    <w:rsid w:val="006218E4"/>
    <w:rsid w:val="00623C47"/>
    <w:rsid w:val="00624358"/>
    <w:rsid w:val="0062747C"/>
    <w:rsid w:val="0062786E"/>
    <w:rsid w:val="00636142"/>
    <w:rsid w:val="006365D5"/>
    <w:rsid w:val="0064160C"/>
    <w:rsid w:val="00643131"/>
    <w:rsid w:val="00646E6F"/>
    <w:rsid w:val="00650123"/>
    <w:rsid w:val="006509E8"/>
    <w:rsid w:val="00651B48"/>
    <w:rsid w:val="006542CA"/>
    <w:rsid w:val="006548C4"/>
    <w:rsid w:val="0066135D"/>
    <w:rsid w:val="00662758"/>
    <w:rsid w:val="00662AC6"/>
    <w:rsid w:val="00664259"/>
    <w:rsid w:val="00664867"/>
    <w:rsid w:val="00667012"/>
    <w:rsid w:val="00675867"/>
    <w:rsid w:val="006768F0"/>
    <w:rsid w:val="00677078"/>
    <w:rsid w:val="00681F49"/>
    <w:rsid w:val="00682D62"/>
    <w:rsid w:val="006839FB"/>
    <w:rsid w:val="00683F9A"/>
    <w:rsid w:val="0068571D"/>
    <w:rsid w:val="006859AC"/>
    <w:rsid w:val="006859FD"/>
    <w:rsid w:val="00685AF9"/>
    <w:rsid w:val="0068617E"/>
    <w:rsid w:val="006870AB"/>
    <w:rsid w:val="006902C0"/>
    <w:rsid w:val="00690415"/>
    <w:rsid w:val="00691527"/>
    <w:rsid w:val="006939E7"/>
    <w:rsid w:val="006A2F6C"/>
    <w:rsid w:val="006A3510"/>
    <w:rsid w:val="006A3BE2"/>
    <w:rsid w:val="006A4E81"/>
    <w:rsid w:val="006A5A20"/>
    <w:rsid w:val="006B2F00"/>
    <w:rsid w:val="006B4027"/>
    <w:rsid w:val="006B58D8"/>
    <w:rsid w:val="006B7185"/>
    <w:rsid w:val="006C5C1A"/>
    <w:rsid w:val="006C5ED3"/>
    <w:rsid w:val="006C61E8"/>
    <w:rsid w:val="006D18F3"/>
    <w:rsid w:val="006D2B43"/>
    <w:rsid w:val="006D39DF"/>
    <w:rsid w:val="006D65EC"/>
    <w:rsid w:val="006E26DC"/>
    <w:rsid w:val="006E6A2F"/>
    <w:rsid w:val="006E70A0"/>
    <w:rsid w:val="006F32FB"/>
    <w:rsid w:val="006F66F1"/>
    <w:rsid w:val="007046C5"/>
    <w:rsid w:val="00704D83"/>
    <w:rsid w:val="007052FC"/>
    <w:rsid w:val="00705D83"/>
    <w:rsid w:val="00707E44"/>
    <w:rsid w:val="00710AF5"/>
    <w:rsid w:val="00710E0C"/>
    <w:rsid w:val="007131CE"/>
    <w:rsid w:val="00713AF1"/>
    <w:rsid w:val="00716355"/>
    <w:rsid w:val="0072112F"/>
    <w:rsid w:val="00724267"/>
    <w:rsid w:val="00725BF5"/>
    <w:rsid w:val="007320FB"/>
    <w:rsid w:val="007362E3"/>
    <w:rsid w:val="007408D1"/>
    <w:rsid w:val="00741E71"/>
    <w:rsid w:val="00743390"/>
    <w:rsid w:val="00743627"/>
    <w:rsid w:val="00743E6A"/>
    <w:rsid w:val="00744C4D"/>
    <w:rsid w:val="0074636A"/>
    <w:rsid w:val="00753B64"/>
    <w:rsid w:val="007563D8"/>
    <w:rsid w:val="0076114C"/>
    <w:rsid w:val="00762590"/>
    <w:rsid w:val="0076280C"/>
    <w:rsid w:val="007648F0"/>
    <w:rsid w:val="0076667F"/>
    <w:rsid w:val="007672BB"/>
    <w:rsid w:val="00771B91"/>
    <w:rsid w:val="00772415"/>
    <w:rsid w:val="007725B8"/>
    <w:rsid w:val="00772FF0"/>
    <w:rsid w:val="007741A2"/>
    <w:rsid w:val="007748AF"/>
    <w:rsid w:val="007753A0"/>
    <w:rsid w:val="00776CDE"/>
    <w:rsid w:val="007815BB"/>
    <w:rsid w:val="007824F4"/>
    <w:rsid w:val="00782848"/>
    <w:rsid w:val="00784109"/>
    <w:rsid w:val="0078410A"/>
    <w:rsid w:val="0078525A"/>
    <w:rsid w:val="00785FC5"/>
    <w:rsid w:val="0078631B"/>
    <w:rsid w:val="0078653C"/>
    <w:rsid w:val="00791A2B"/>
    <w:rsid w:val="00791B3A"/>
    <w:rsid w:val="00791E6F"/>
    <w:rsid w:val="00792EE9"/>
    <w:rsid w:val="0079572A"/>
    <w:rsid w:val="007969EF"/>
    <w:rsid w:val="007A1121"/>
    <w:rsid w:val="007A1122"/>
    <w:rsid w:val="007A15A6"/>
    <w:rsid w:val="007A1AB2"/>
    <w:rsid w:val="007A41BD"/>
    <w:rsid w:val="007A6A4D"/>
    <w:rsid w:val="007A74F9"/>
    <w:rsid w:val="007A7C7B"/>
    <w:rsid w:val="007B152D"/>
    <w:rsid w:val="007B358E"/>
    <w:rsid w:val="007B48B8"/>
    <w:rsid w:val="007C0F6D"/>
    <w:rsid w:val="007D0C39"/>
    <w:rsid w:val="007D14AE"/>
    <w:rsid w:val="007D325D"/>
    <w:rsid w:val="007E3027"/>
    <w:rsid w:val="007E38CD"/>
    <w:rsid w:val="007E5614"/>
    <w:rsid w:val="007E6E9A"/>
    <w:rsid w:val="007E768B"/>
    <w:rsid w:val="007F13CC"/>
    <w:rsid w:val="007F2512"/>
    <w:rsid w:val="007F2DE8"/>
    <w:rsid w:val="007F3E94"/>
    <w:rsid w:val="007F4493"/>
    <w:rsid w:val="007F4C72"/>
    <w:rsid w:val="007F5903"/>
    <w:rsid w:val="007F71F9"/>
    <w:rsid w:val="008011E7"/>
    <w:rsid w:val="0080323F"/>
    <w:rsid w:val="00805BDB"/>
    <w:rsid w:val="008063BB"/>
    <w:rsid w:val="00812394"/>
    <w:rsid w:val="008123FF"/>
    <w:rsid w:val="0081387C"/>
    <w:rsid w:val="0081474E"/>
    <w:rsid w:val="008171F9"/>
    <w:rsid w:val="00826BAD"/>
    <w:rsid w:val="0083053E"/>
    <w:rsid w:val="008317A3"/>
    <w:rsid w:val="00831B5E"/>
    <w:rsid w:val="00832F5B"/>
    <w:rsid w:val="00837ECF"/>
    <w:rsid w:val="00841AC4"/>
    <w:rsid w:val="00845A34"/>
    <w:rsid w:val="00852192"/>
    <w:rsid w:val="00852BBB"/>
    <w:rsid w:val="00856806"/>
    <w:rsid w:val="00856D3C"/>
    <w:rsid w:val="00860609"/>
    <w:rsid w:val="00863FC3"/>
    <w:rsid w:val="0087199F"/>
    <w:rsid w:val="00871CBD"/>
    <w:rsid w:val="00874C1A"/>
    <w:rsid w:val="00880B97"/>
    <w:rsid w:val="00881800"/>
    <w:rsid w:val="00883A3E"/>
    <w:rsid w:val="008845ED"/>
    <w:rsid w:val="0088579E"/>
    <w:rsid w:val="00885B2F"/>
    <w:rsid w:val="008875C1"/>
    <w:rsid w:val="00891E25"/>
    <w:rsid w:val="008926E5"/>
    <w:rsid w:val="008926F3"/>
    <w:rsid w:val="0089338C"/>
    <w:rsid w:val="008953F0"/>
    <w:rsid w:val="008A04D3"/>
    <w:rsid w:val="008A4116"/>
    <w:rsid w:val="008A60F1"/>
    <w:rsid w:val="008B2EEE"/>
    <w:rsid w:val="008B3925"/>
    <w:rsid w:val="008B4E8C"/>
    <w:rsid w:val="008B4F0F"/>
    <w:rsid w:val="008C000E"/>
    <w:rsid w:val="008C1795"/>
    <w:rsid w:val="008C2254"/>
    <w:rsid w:val="008C3938"/>
    <w:rsid w:val="008C3A59"/>
    <w:rsid w:val="008C4B0D"/>
    <w:rsid w:val="008E1286"/>
    <w:rsid w:val="008E19F3"/>
    <w:rsid w:val="008E1F4A"/>
    <w:rsid w:val="008E79E2"/>
    <w:rsid w:val="008F08A1"/>
    <w:rsid w:val="008F0C4A"/>
    <w:rsid w:val="008F1824"/>
    <w:rsid w:val="008F2AEC"/>
    <w:rsid w:val="008F36CB"/>
    <w:rsid w:val="008F3C6D"/>
    <w:rsid w:val="008F6AAF"/>
    <w:rsid w:val="00901DB4"/>
    <w:rsid w:val="00901E1F"/>
    <w:rsid w:val="0090292E"/>
    <w:rsid w:val="009066E9"/>
    <w:rsid w:val="00906E67"/>
    <w:rsid w:val="0091135A"/>
    <w:rsid w:val="009144B1"/>
    <w:rsid w:val="00915ADA"/>
    <w:rsid w:val="00916B03"/>
    <w:rsid w:val="00920391"/>
    <w:rsid w:val="0092097A"/>
    <w:rsid w:val="009222C9"/>
    <w:rsid w:val="009228CF"/>
    <w:rsid w:val="00925499"/>
    <w:rsid w:val="00930569"/>
    <w:rsid w:val="00931F18"/>
    <w:rsid w:val="00932625"/>
    <w:rsid w:val="009343CC"/>
    <w:rsid w:val="009344C2"/>
    <w:rsid w:val="00934CD7"/>
    <w:rsid w:val="00935CE8"/>
    <w:rsid w:val="009412B0"/>
    <w:rsid w:val="00944750"/>
    <w:rsid w:val="00944E57"/>
    <w:rsid w:val="0094645B"/>
    <w:rsid w:val="0094705C"/>
    <w:rsid w:val="00957739"/>
    <w:rsid w:val="00957B41"/>
    <w:rsid w:val="009631E0"/>
    <w:rsid w:val="009649D2"/>
    <w:rsid w:val="009660BD"/>
    <w:rsid w:val="009674F1"/>
    <w:rsid w:val="009750FA"/>
    <w:rsid w:val="009771E2"/>
    <w:rsid w:val="009771E6"/>
    <w:rsid w:val="00977540"/>
    <w:rsid w:val="009834E2"/>
    <w:rsid w:val="00985DC8"/>
    <w:rsid w:val="009A4FC0"/>
    <w:rsid w:val="009A52BA"/>
    <w:rsid w:val="009A63A0"/>
    <w:rsid w:val="009A69B1"/>
    <w:rsid w:val="009A700C"/>
    <w:rsid w:val="009B1D25"/>
    <w:rsid w:val="009C0ECA"/>
    <w:rsid w:val="009C16D4"/>
    <w:rsid w:val="009C45BA"/>
    <w:rsid w:val="009C7948"/>
    <w:rsid w:val="009C79BD"/>
    <w:rsid w:val="009D01A2"/>
    <w:rsid w:val="009D1D17"/>
    <w:rsid w:val="009D24BB"/>
    <w:rsid w:val="009D44DD"/>
    <w:rsid w:val="009D64B2"/>
    <w:rsid w:val="009D729E"/>
    <w:rsid w:val="009D7493"/>
    <w:rsid w:val="009E233F"/>
    <w:rsid w:val="009E317D"/>
    <w:rsid w:val="009E31C0"/>
    <w:rsid w:val="009E3B52"/>
    <w:rsid w:val="009E5992"/>
    <w:rsid w:val="009F2CB2"/>
    <w:rsid w:val="009F342D"/>
    <w:rsid w:val="009F3DA2"/>
    <w:rsid w:val="009F59EE"/>
    <w:rsid w:val="009F6CFC"/>
    <w:rsid w:val="00A008B8"/>
    <w:rsid w:val="00A04BAE"/>
    <w:rsid w:val="00A069E2"/>
    <w:rsid w:val="00A07639"/>
    <w:rsid w:val="00A10289"/>
    <w:rsid w:val="00A106F8"/>
    <w:rsid w:val="00A10BF9"/>
    <w:rsid w:val="00A11C90"/>
    <w:rsid w:val="00A12900"/>
    <w:rsid w:val="00A1395B"/>
    <w:rsid w:val="00A13D4D"/>
    <w:rsid w:val="00A14701"/>
    <w:rsid w:val="00A16A29"/>
    <w:rsid w:val="00A16E82"/>
    <w:rsid w:val="00A20BBF"/>
    <w:rsid w:val="00A2244B"/>
    <w:rsid w:val="00A22B56"/>
    <w:rsid w:val="00A252BA"/>
    <w:rsid w:val="00A26285"/>
    <w:rsid w:val="00A27237"/>
    <w:rsid w:val="00A27A7B"/>
    <w:rsid w:val="00A350E5"/>
    <w:rsid w:val="00A36CBA"/>
    <w:rsid w:val="00A36D79"/>
    <w:rsid w:val="00A3783E"/>
    <w:rsid w:val="00A41EA4"/>
    <w:rsid w:val="00A43748"/>
    <w:rsid w:val="00A44FE0"/>
    <w:rsid w:val="00A4618A"/>
    <w:rsid w:val="00A50D03"/>
    <w:rsid w:val="00A522F5"/>
    <w:rsid w:val="00A53799"/>
    <w:rsid w:val="00A551C6"/>
    <w:rsid w:val="00A566B1"/>
    <w:rsid w:val="00A61269"/>
    <w:rsid w:val="00A624BA"/>
    <w:rsid w:val="00A64F9A"/>
    <w:rsid w:val="00A672BC"/>
    <w:rsid w:val="00A712B2"/>
    <w:rsid w:val="00A720B2"/>
    <w:rsid w:val="00A74214"/>
    <w:rsid w:val="00A7796E"/>
    <w:rsid w:val="00A812F9"/>
    <w:rsid w:val="00A86544"/>
    <w:rsid w:val="00A9085F"/>
    <w:rsid w:val="00A92C95"/>
    <w:rsid w:val="00A93A25"/>
    <w:rsid w:val="00AA0920"/>
    <w:rsid w:val="00AA3055"/>
    <w:rsid w:val="00AA469A"/>
    <w:rsid w:val="00AA5141"/>
    <w:rsid w:val="00AA6E6D"/>
    <w:rsid w:val="00AA715C"/>
    <w:rsid w:val="00AA7977"/>
    <w:rsid w:val="00AA79D9"/>
    <w:rsid w:val="00AB0126"/>
    <w:rsid w:val="00AB50FF"/>
    <w:rsid w:val="00AB6239"/>
    <w:rsid w:val="00AC4BEC"/>
    <w:rsid w:val="00AC57BB"/>
    <w:rsid w:val="00AC614D"/>
    <w:rsid w:val="00AD0323"/>
    <w:rsid w:val="00AD1F39"/>
    <w:rsid w:val="00AD4BC3"/>
    <w:rsid w:val="00AD647D"/>
    <w:rsid w:val="00AE2698"/>
    <w:rsid w:val="00AE313F"/>
    <w:rsid w:val="00AE34F4"/>
    <w:rsid w:val="00AF042F"/>
    <w:rsid w:val="00AF412F"/>
    <w:rsid w:val="00B00C49"/>
    <w:rsid w:val="00B0200B"/>
    <w:rsid w:val="00B03105"/>
    <w:rsid w:val="00B03461"/>
    <w:rsid w:val="00B0766F"/>
    <w:rsid w:val="00B07F42"/>
    <w:rsid w:val="00B10787"/>
    <w:rsid w:val="00B11974"/>
    <w:rsid w:val="00B12CF8"/>
    <w:rsid w:val="00B13035"/>
    <w:rsid w:val="00B225A2"/>
    <w:rsid w:val="00B244B9"/>
    <w:rsid w:val="00B24559"/>
    <w:rsid w:val="00B27020"/>
    <w:rsid w:val="00B27178"/>
    <w:rsid w:val="00B310C3"/>
    <w:rsid w:val="00B41E5B"/>
    <w:rsid w:val="00B42229"/>
    <w:rsid w:val="00B43ABC"/>
    <w:rsid w:val="00B44FA9"/>
    <w:rsid w:val="00B51125"/>
    <w:rsid w:val="00B51F55"/>
    <w:rsid w:val="00B52CDF"/>
    <w:rsid w:val="00B5679C"/>
    <w:rsid w:val="00B60D60"/>
    <w:rsid w:val="00B63CDD"/>
    <w:rsid w:val="00B65687"/>
    <w:rsid w:val="00B6589C"/>
    <w:rsid w:val="00B65A3B"/>
    <w:rsid w:val="00B67AF0"/>
    <w:rsid w:val="00B72C6B"/>
    <w:rsid w:val="00B72E16"/>
    <w:rsid w:val="00B73012"/>
    <w:rsid w:val="00B83D7B"/>
    <w:rsid w:val="00B91131"/>
    <w:rsid w:val="00B94E88"/>
    <w:rsid w:val="00B95BB2"/>
    <w:rsid w:val="00B95EBA"/>
    <w:rsid w:val="00B97151"/>
    <w:rsid w:val="00BA037E"/>
    <w:rsid w:val="00BA04AB"/>
    <w:rsid w:val="00BA23D8"/>
    <w:rsid w:val="00BA35C9"/>
    <w:rsid w:val="00BA3EE0"/>
    <w:rsid w:val="00BA786D"/>
    <w:rsid w:val="00BB0AA7"/>
    <w:rsid w:val="00BB4D49"/>
    <w:rsid w:val="00BB537C"/>
    <w:rsid w:val="00BB6439"/>
    <w:rsid w:val="00BB675F"/>
    <w:rsid w:val="00BB7776"/>
    <w:rsid w:val="00BC331B"/>
    <w:rsid w:val="00BC331D"/>
    <w:rsid w:val="00BC332B"/>
    <w:rsid w:val="00BC3E08"/>
    <w:rsid w:val="00BD17B0"/>
    <w:rsid w:val="00BD21B8"/>
    <w:rsid w:val="00BD3E59"/>
    <w:rsid w:val="00BD4403"/>
    <w:rsid w:val="00BD56B7"/>
    <w:rsid w:val="00BD5A47"/>
    <w:rsid w:val="00BD5FB6"/>
    <w:rsid w:val="00BE2BCC"/>
    <w:rsid w:val="00BE3896"/>
    <w:rsid w:val="00BE424D"/>
    <w:rsid w:val="00BE4A23"/>
    <w:rsid w:val="00BE7068"/>
    <w:rsid w:val="00BE768F"/>
    <w:rsid w:val="00C03192"/>
    <w:rsid w:val="00C10C80"/>
    <w:rsid w:val="00C11CD5"/>
    <w:rsid w:val="00C22046"/>
    <w:rsid w:val="00C23E32"/>
    <w:rsid w:val="00C251C4"/>
    <w:rsid w:val="00C266F9"/>
    <w:rsid w:val="00C314C1"/>
    <w:rsid w:val="00C31917"/>
    <w:rsid w:val="00C37B8E"/>
    <w:rsid w:val="00C40571"/>
    <w:rsid w:val="00C40D7F"/>
    <w:rsid w:val="00C41741"/>
    <w:rsid w:val="00C41DD9"/>
    <w:rsid w:val="00C427DA"/>
    <w:rsid w:val="00C42C49"/>
    <w:rsid w:val="00C42FAF"/>
    <w:rsid w:val="00C47FE5"/>
    <w:rsid w:val="00C521D9"/>
    <w:rsid w:val="00C56053"/>
    <w:rsid w:val="00C568FB"/>
    <w:rsid w:val="00C56D0A"/>
    <w:rsid w:val="00C7063D"/>
    <w:rsid w:val="00C71320"/>
    <w:rsid w:val="00C7255C"/>
    <w:rsid w:val="00C72FDA"/>
    <w:rsid w:val="00C734F1"/>
    <w:rsid w:val="00C73AA7"/>
    <w:rsid w:val="00C73DAB"/>
    <w:rsid w:val="00C85569"/>
    <w:rsid w:val="00C863A3"/>
    <w:rsid w:val="00C864DC"/>
    <w:rsid w:val="00C90075"/>
    <w:rsid w:val="00C915B4"/>
    <w:rsid w:val="00C94C33"/>
    <w:rsid w:val="00C94EEA"/>
    <w:rsid w:val="00CA1722"/>
    <w:rsid w:val="00CA172B"/>
    <w:rsid w:val="00CA452F"/>
    <w:rsid w:val="00CA6098"/>
    <w:rsid w:val="00CA7673"/>
    <w:rsid w:val="00CB1227"/>
    <w:rsid w:val="00CB1255"/>
    <w:rsid w:val="00CB18B1"/>
    <w:rsid w:val="00CB38CA"/>
    <w:rsid w:val="00CB66A2"/>
    <w:rsid w:val="00CB6F2B"/>
    <w:rsid w:val="00CC1067"/>
    <w:rsid w:val="00CC1159"/>
    <w:rsid w:val="00CC2EC2"/>
    <w:rsid w:val="00CD18B3"/>
    <w:rsid w:val="00CD3324"/>
    <w:rsid w:val="00CD5FBC"/>
    <w:rsid w:val="00CD6162"/>
    <w:rsid w:val="00CE4309"/>
    <w:rsid w:val="00CE6C6E"/>
    <w:rsid w:val="00CF42B9"/>
    <w:rsid w:val="00CF580B"/>
    <w:rsid w:val="00CF7819"/>
    <w:rsid w:val="00D01832"/>
    <w:rsid w:val="00D04527"/>
    <w:rsid w:val="00D201A6"/>
    <w:rsid w:val="00D21C96"/>
    <w:rsid w:val="00D30854"/>
    <w:rsid w:val="00D31127"/>
    <w:rsid w:val="00D33134"/>
    <w:rsid w:val="00D366B5"/>
    <w:rsid w:val="00D4052C"/>
    <w:rsid w:val="00D447AC"/>
    <w:rsid w:val="00D4538C"/>
    <w:rsid w:val="00D4539F"/>
    <w:rsid w:val="00D458F0"/>
    <w:rsid w:val="00D472C6"/>
    <w:rsid w:val="00D5079D"/>
    <w:rsid w:val="00D535DF"/>
    <w:rsid w:val="00D54957"/>
    <w:rsid w:val="00D55BD2"/>
    <w:rsid w:val="00D57CA6"/>
    <w:rsid w:val="00D6041B"/>
    <w:rsid w:val="00D60D98"/>
    <w:rsid w:val="00D61018"/>
    <w:rsid w:val="00D6265B"/>
    <w:rsid w:val="00D66D12"/>
    <w:rsid w:val="00D72F33"/>
    <w:rsid w:val="00D7707C"/>
    <w:rsid w:val="00D80919"/>
    <w:rsid w:val="00D80B6D"/>
    <w:rsid w:val="00D80CAD"/>
    <w:rsid w:val="00D82CBC"/>
    <w:rsid w:val="00D8513A"/>
    <w:rsid w:val="00D85BBB"/>
    <w:rsid w:val="00D90628"/>
    <w:rsid w:val="00D92D49"/>
    <w:rsid w:val="00D930E7"/>
    <w:rsid w:val="00D93623"/>
    <w:rsid w:val="00D93D7A"/>
    <w:rsid w:val="00D9690A"/>
    <w:rsid w:val="00DA073A"/>
    <w:rsid w:val="00DA08E6"/>
    <w:rsid w:val="00DA244F"/>
    <w:rsid w:val="00DA441B"/>
    <w:rsid w:val="00DA50BA"/>
    <w:rsid w:val="00DA5330"/>
    <w:rsid w:val="00DA55A8"/>
    <w:rsid w:val="00DA7B87"/>
    <w:rsid w:val="00DB0266"/>
    <w:rsid w:val="00DB0F40"/>
    <w:rsid w:val="00DB63D9"/>
    <w:rsid w:val="00DB7514"/>
    <w:rsid w:val="00DB795C"/>
    <w:rsid w:val="00DB7E77"/>
    <w:rsid w:val="00DC0B27"/>
    <w:rsid w:val="00DC1667"/>
    <w:rsid w:val="00DC2FCA"/>
    <w:rsid w:val="00DC30D0"/>
    <w:rsid w:val="00DC78F9"/>
    <w:rsid w:val="00DC7E88"/>
    <w:rsid w:val="00DD3AB0"/>
    <w:rsid w:val="00DD68B5"/>
    <w:rsid w:val="00DD7FC1"/>
    <w:rsid w:val="00DE62D6"/>
    <w:rsid w:val="00DF0000"/>
    <w:rsid w:val="00DF020C"/>
    <w:rsid w:val="00DF05CC"/>
    <w:rsid w:val="00DF4BD2"/>
    <w:rsid w:val="00DF5A2C"/>
    <w:rsid w:val="00DF7709"/>
    <w:rsid w:val="00DF7D1B"/>
    <w:rsid w:val="00E00DC6"/>
    <w:rsid w:val="00E01A0A"/>
    <w:rsid w:val="00E02B4A"/>
    <w:rsid w:val="00E058A3"/>
    <w:rsid w:val="00E06422"/>
    <w:rsid w:val="00E11439"/>
    <w:rsid w:val="00E151F3"/>
    <w:rsid w:val="00E161C6"/>
    <w:rsid w:val="00E17539"/>
    <w:rsid w:val="00E17D0C"/>
    <w:rsid w:val="00E21CDE"/>
    <w:rsid w:val="00E225BA"/>
    <w:rsid w:val="00E2483C"/>
    <w:rsid w:val="00E26CF0"/>
    <w:rsid w:val="00E30987"/>
    <w:rsid w:val="00E31346"/>
    <w:rsid w:val="00E33BF5"/>
    <w:rsid w:val="00E35966"/>
    <w:rsid w:val="00E36C23"/>
    <w:rsid w:val="00E376F8"/>
    <w:rsid w:val="00E40550"/>
    <w:rsid w:val="00E40650"/>
    <w:rsid w:val="00E409BF"/>
    <w:rsid w:val="00E41C99"/>
    <w:rsid w:val="00E423B5"/>
    <w:rsid w:val="00E4313E"/>
    <w:rsid w:val="00E43F59"/>
    <w:rsid w:val="00E448C8"/>
    <w:rsid w:val="00E461E4"/>
    <w:rsid w:val="00E47FF9"/>
    <w:rsid w:val="00E518BB"/>
    <w:rsid w:val="00E56A60"/>
    <w:rsid w:val="00E57F9B"/>
    <w:rsid w:val="00E6726D"/>
    <w:rsid w:val="00E76043"/>
    <w:rsid w:val="00E77BCA"/>
    <w:rsid w:val="00E81433"/>
    <w:rsid w:val="00E81C95"/>
    <w:rsid w:val="00E8372E"/>
    <w:rsid w:val="00E84B41"/>
    <w:rsid w:val="00E852A3"/>
    <w:rsid w:val="00E93958"/>
    <w:rsid w:val="00EA01CC"/>
    <w:rsid w:val="00EA0C1C"/>
    <w:rsid w:val="00EA3819"/>
    <w:rsid w:val="00EA477A"/>
    <w:rsid w:val="00EA4F68"/>
    <w:rsid w:val="00EA57EB"/>
    <w:rsid w:val="00EB1036"/>
    <w:rsid w:val="00EB4746"/>
    <w:rsid w:val="00EB4785"/>
    <w:rsid w:val="00EB48E6"/>
    <w:rsid w:val="00EB716B"/>
    <w:rsid w:val="00EC3BED"/>
    <w:rsid w:val="00EC7BC1"/>
    <w:rsid w:val="00EC7F0E"/>
    <w:rsid w:val="00ED1BBB"/>
    <w:rsid w:val="00ED2D1F"/>
    <w:rsid w:val="00ED47B9"/>
    <w:rsid w:val="00ED58E9"/>
    <w:rsid w:val="00ED79D6"/>
    <w:rsid w:val="00EE1831"/>
    <w:rsid w:val="00EE3451"/>
    <w:rsid w:val="00EE63BE"/>
    <w:rsid w:val="00EE6922"/>
    <w:rsid w:val="00EE6E06"/>
    <w:rsid w:val="00EE6F99"/>
    <w:rsid w:val="00EF0284"/>
    <w:rsid w:val="00EF18D9"/>
    <w:rsid w:val="00EF1AE7"/>
    <w:rsid w:val="00EF2F7C"/>
    <w:rsid w:val="00EF318B"/>
    <w:rsid w:val="00EF6D8C"/>
    <w:rsid w:val="00F01A8D"/>
    <w:rsid w:val="00F01BFC"/>
    <w:rsid w:val="00F02356"/>
    <w:rsid w:val="00F02D95"/>
    <w:rsid w:val="00F101B3"/>
    <w:rsid w:val="00F10A3C"/>
    <w:rsid w:val="00F13FDA"/>
    <w:rsid w:val="00F14982"/>
    <w:rsid w:val="00F14B6E"/>
    <w:rsid w:val="00F20B64"/>
    <w:rsid w:val="00F20D55"/>
    <w:rsid w:val="00F21D05"/>
    <w:rsid w:val="00F250B8"/>
    <w:rsid w:val="00F253CD"/>
    <w:rsid w:val="00F2598D"/>
    <w:rsid w:val="00F259AE"/>
    <w:rsid w:val="00F30F02"/>
    <w:rsid w:val="00F31B7E"/>
    <w:rsid w:val="00F336A2"/>
    <w:rsid w:val="00F33826"/>
    <w:rsid w:val="00F33D58"/>
    <w:rsid w:val="00F34E7C"/>
    <w:rsid w:val="00F3561E"/>
    <w:rsid w:val="00F36EC6"/>
    <w:rsid w:val="00F4229F"/>
    <w:rsid w:val="00F44AEB"/>
    <w:rsid w:val="00F45620"/>
    <w:rsid w:val="00F46BBD"/>
    <w:rsid w:val="00F479A2"/>
    <w:rsid w:val="00F51B95"/>
    <w:rsid w:val="00F5432C"/>
    <w:rsid w:val="00F5470D"/>
    <w:rsid w:val="00F5611C"/>
    <w:rsid w:val="00F637FB"/>
    <w:rsid w:val="00F640A4"/>
    <w:rsid w:val="00F66B41"/>
    <w:rsid w:val="00F712AB"/>
    <w:rsid w:val="00F77D7D"/>
    <w:rsid w:val="00F80CD0"/>
    <w:rsid w:val="00F82DDB"/>
    <w:rsid w:val="00F838FF"/>
    <w:rsid w:val="00F83CDB"/>
    <w:rsid w:val="00F8401D"/>
    <w:rsid w:val="00F8771B"/>
    <w:rsid w:val="00F90003"/>
    <w:rsid w:val="00F9173C"/>
    <w:rsid w:val="00F94180"/>
    <w:rsid w:val="00F95752"/>
    <w:rsid w:val="00FA04F3"/>
    <w:rsid w:val="00FA1C73"/>
    <w:rsid w:val="00FA3302"/>
    <w:rsid w:val="00FA69C2"/>
    <w:rsid w:val="00FA6B22"/>
    <w:rsid w:val="00FA6E63"/>
    <w:rsid w:val="00FA73E5"/>
    <w:rsid w:val="00FB18D0"/>
    <w:rsid w:val="00FB2ED6"/>
    <w:rsid w:val="00FB3309"/>
    <w:rsid w:val="00FB53F1"/>
    <w:rsid w:val="00FC0973"/>
    <w:rsid w:val="00FC2216"/>
    <w:rsid w:val="00FC23FE"/>
    <w:rsid w:val="00FC2522"/>
    <w:rsid w:val="00FC309B"/>
    <w:rsid w:val="00FC5B56"/>
    <w:rsid w:val="00FC7D97"/>
    <w:rsid w:val="00FC7DA9"/>
    <w:rsid w:val="00FD43E4"/>
    <w:rsid w:val="00FD4B12"/>
    <w:rsid w:val="00FD7195"/>
    <w:rsid w:val="00FD747A"/>
    <w:rsid w:val="00FE10BB"/>
    <w:rsid w:val="00FE3038"/>
    <w:rsid w:val="00FE34CB"/>
    <w:rsid w:val="00FE4313"/>
    <w:rsid w:val="00FE6055"/>
    <w:rsid w:val="00FE619E"/>
    <w:rsid w:val="00FF21FF"/>
    <w:rsid w:val="00FF38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78525A"/>
    <w:rPr>
      <w:i/>
      <w:iCs/>
    </w:rPr>
  </w:style>
  <w:style w:type="character" w:customStyle="1" w:styleId="apple-converted-space">
    <w:name w:val="apple-converted-space"/>
    <w:basedOn w:val="Standardnpsmoodstavce"/>
    <w:rsid w:val="0078525A"/>
  </w:style>
  <w:style w:type="character" w:customStyle="1" w:styleId="Nevyeenzmnka1">
    <w:name w:val="Nevyřešená zmínka1"/>
    <w:basedOn w:val="Standardnpsmoodstavce"/>
    <w:uiPriority w:val="99"/>
    <w:semiHidden/>
    <w:unhideWhenUsed/>
    <w:rsid w:val="00FA6B22"/>
    <w:rPr>
      <w:color w:val="605E5C"/>
      <w:shd w:val="clear" w:color="auto" w:fill="E1DFDD"/>
    </w:rPr>
  </w:style>
  <w:style w:type="paragraph" w:styleId="Revize">
    <w:name w:val="Revision"/>
    <w:hidden/>
    <w:uiPriority w:val="99"/>
    <w:semiHidden/>
    <w:rsid w:val="00EA4F68"/>
    <w:pPr>
      <w:widowControl/>
      <w:autoSpaceDE/>
      <w:autoSpaceDN/>
    </w:pPr>
    <w:rPr>
      <w:rFonts w:ascii="F015TEELig" w:eastAsia="F015TEELig" w:hAnsi="F015TEELig" w:cs="F015TEELig"/>
      <w:lang w:val="cs-CZ" w:eastAsia="cs-CZ" w:bidi="cs-CZ"/>
    </w:rPr>
  </w:style>
  <w:style w:type="character" w:styleId="Siln">
    <w:name w:val="Strong"/>
    <w:basedOn w:val="Standardnpsmoodstavce"/>
    <w:uiPriority w:val="22"/>
    <w:qFormat/>
    <w:rsid w:val="009649D2"/>
    <w:rPr>
      <w:b/>
      <w:bCs/>
    </w:rPr>
  </w:style>
  <w:style w:type="table" w:styleId="Mkatabulky">
    <w:name w:val="Table Grid"/>
    <w:basedOn w:val="Normlntabulka"/>
    <w:uiPriority w:val="39"/>
    <w:rsid w:val="0060397A"/>
    <w:pPr>
      <w:widowControl/>
      <w:autoSpaceDE/>
      <w:autoSpaceDN/>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7D32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36460">
      <w:bodyDiv w:val="1"/>
      <w:marLeft w:val="0"/>
      <w:marRight w:val="0"/>
      <w:marTop w:val="0"/>
      <w:marBottom w:val="0"/>
      <w:divBdr>
        <w:top w:val="none" w:sz="0" w:space="0" w:color="auto"/>
        <w:left w:val="none" w:sz="0" w:space="0" w:color="auto"/>
        <w:bottom w:val="none" w:sz="0" w:space="0" w:color="auto"/>
        <w:right w:val="none" w:sz="0" w:space="0" w:color="auto"/>
      </w:divBdr>
    </w:div>
    <w:div w:id="104665014">
      <w:bodyDiv w:val="1"/>
      <w:marLeft w:val="0"/>
      <w:marRight w:val="0"/>
      <w:marTop w:val="0"/>
      <w:marBottom w:val="0"/>
      <w:divBdr>
        <w:top w:val="none" w:sz="0" w:space="0" w:color="auto"/>
        <w:left w:val="none" w:sz="0" w:space="0" w:color="auto"/>
        <w:bottom w:val="none" w:sz="0" w:space="0" w:color="auto"/>
        <w:right w:val="none" w:sz="0" w:space="0" w:color="auto"/>
      </w:divBdr>
    </w:div>
    <w:div w:id="111561255">
      <w:bodyDiv w:val="1"/>
      <w:marLeft w:val="0"/>
      <w:marRight w:val="0"/>
      <w:marTop w:val="0"/>
      <w:marBottom w:val="0"/>
      <w:divBdr>
        <w:top w:val="none" w:sz="0" w:space="0" w:color="auto"/>
        <w:left w:val="none" w:sz="0" w:space="0" w:color="auto"/>
        <w:bottom w:val="none" w:sz="0" w:space="0" w:color="auto"/>
        <w:right w:val="none" w:sz="0" w:space="0" w:color="auto"/>
      </w:divBdr>
    </w:div>
    <w:div w:id="134376578">
      <w:bodyDiv w:val="1"/>
      <w:marLeft w:val="0"/>
      <w:marRight w:val="0"/>
      <w:marTop w:val="0"/>
      <w:marBottom w:val="0"/>
      <w:divBdr>
        <w:top w:val="none" w:sz="0" w:space="0" w:color="auto"/>
        <w:left w:val="none" w:sz="0" w:space="0" w:color="auto"/>
        <w:bottom w:val="none" w:sz="0" w:space="0" w:color="auto"/>
        <w:right w:val="none" w:sz="0" w:space="0" w:color="auto"/>
      </w:divBdr>
    </w:div>
    <w:div w:id="218975976">
      <w:bodyDiv w:val="1"/>
      <w:marLeft w:val="0"/>
      <w:marRight w:val="0"/>
      <w:marTop w:val="0"/>
      <w:marBottom w:val="0"/>
      <w:divBdr>
        <w:top w:val="none" w:sz="0" w:space="0" w:color="auto"/>
        <w:left w:val="none" w:sz="0" w:space="0" w:color="auto"/>
        <w:bottom w:val="none" w:sz="0" w:space="0" w:color="auto"/>
        <w:right w:val="none" w:sz="0" w:space="0" w:color="auto"/>
      </w:divBdr>
    </w:div>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262307797">
      <w:bodyDiv w:val="1"/>
      <w:marLeft w:val="0"/>
      <w:marRight w:val="0"/>
      <w:marTop w:val="0"/>
      <w:marBottom w:val="0"/>
      <w:divBdr>
        <w:top w:val="none" w:sz="0" w:space="0" w:color="auto"/>
        <w:left w:val="none" w:sz="0" w:space="0" w:color="auto"/>
        <w:bottom w:val="none" w:sz="0" w:space="0" w:color="auto"/>
        <w:right w:val="none" w:sz="0" w:space="0" w:color="auto"/>
      </w:divBdr>
    </w:div>
    <w:div w:id="496388250">
      <w:bodyDiv w:val="1"/>
      <w:marLeft w:val="0"/>
      <w:marRight w:val="0"/>
      <w:marTop w:val="0"/>
      <w:marBottom w:val="0"/>
      <w:divBdr>
        <w:top w:val="none" w:sz="0" w:space="0" w:color="auto"/>
        <w:left w:val="none" w:sz="0" w:space="0" w:color="auto"/>
        <w:bottom w:val="none" w:sz="0" w:space="0" w:color="auto"/>
        <w:right w:val="none" w:sz="0" w:space="0" w:color="auto"/>
      </w:divBdr>
    </w:div>
    <w:div w:id="521670953">
      <w:bodyDiv w:val="1"/>
      <w:marLeft w:val="0"/>
      <w:marRight w:val="0"/>
      <w:marTop w:val="0"/>
      <w:marBottom w:val="0"/>
      <w:divBdr>
        <w:top w:val="none" w:sz="0" w:space="0" w:color="auto"/>
        <w:left w:val="none" w:sz="0" w:space="0" w:color="auto"/>
        <w:bottom w:val="none" w:sz="0" w:space="0" w:color="auto"/>
        <w:right w:val="none" w:sz="0" w:space="0" w:color="auto"/>
      </w:divBdr>
    </w:div>
    <w:div w:id="712386259">
      <w:bodyDiv w:val="1"/>
      <w:marLeft w:val="0"/>
      <w:marRight w:val="0"/>
      <w:marTop w:val="0"/>
      <w:marBottom w:val="0"/>
      <w:divBdr>
        <w:top w:val="none" w:sz="0" w:space="0" w:color="auto"/>
        <w:left w:val="none" w:sz="0" w:space="0" w:color="auto"/>
        <w:bottom w:val="none" w:sz="0" w:space="0" w:color="auto"/>
        <w:right w:val="none" w:sz="0" w:space="0" w:color="auto"/>
      </w:divBdr>
    </w:div>
    <w:div w:id="727850146">
      <w:bodyDiv w:val="1"/>
      <w:marLeft w:val="0"/>
      <w:marRight w:val="0"/>
      <w:marTop w:val="0"/>
      <w:marBottom w:val="0"/>
      <w:divBdr>
        <w:top w:val="none" w:sz="0" w:space="0" w:color="auto"/>
        <w:left w:val="none" w:sz="0" w:space="0" w:color="auto"/>
        <w:bottom w:val="none" w:sz="0" w:space="0" w:color="auto"/>
        <w:right w:val="none" w:sz="0" w:space="0" w:color="auto"/>
      </w:divBdr>
    </w:div>
    <w:div w:id="768620487">
      <w:bodyDiv w:val="1"/>
      <w:marLeft w:val="0"/>
      <w:marRight w:val="0"/>
      <w:marTop w:val="0"/>
      <w:marBottom w:val="0"/>
      <w:divBdr>
        <w:top w:val="none" w:sz="0" w:space="0" w:color="auto"/>
        <w:left w:val="none" w:sz="0" w:space="0" w:color="auto"/>
        <w:bottom w:val="none" w:sz="0" w:space="0" w:color="auto"/>
        <w:right w:val="none" w:sz="0" w:space="0" w:color="auto"/>
      </w:divBdr>
    </w:div>
    <w:div w:id="839541219">
      <w:bodyDiv w:val="1"/>
      <w:marLeft w:val="0"/>
      <w:marRight w:val="0"/>
      <w:marTop w:val="0"/>
      <w:marBottom w:val="0"/>
      <w:divBdr>
        <w:top w:val="none" w:sz="0" w:space="0" w:color="auto"/>
        <w:left w:val="none" w:sz="0" w:space="0" w:color="auto"/>
        <w:bottom w:val="none" w:sz="0" w:space="0" w:color="auto"/>
        <w:right w:val="none" w:sz="0" w:space="0" w:color="auto"/>
      </w:divBdr>
    </w:div>
    <w:div w:id="996148203">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20759940">
      <w:bodyDiv w:val="1"/>
      <w:marLeft w:val="0"/>
      <w:marRight w:val="0"/>
      <w:marTop w:val="0"/>
      <w:marBottom w:val="0"/>
      <w:divBdr>
        <w:top w:val="none" w:sz="0" w:space="0" w:color="auto"/>
        <w:left w:val="none" w:sz="0" w:space="0" w:color="auto"/>
        <w:bottom w:val="none" w:sz="0" w:space="0" w:color="auto"/>
        <w:right w:val="none" w:sz="0" w:space="0" w:color="auto"/>
      </w:divBdr>
    </w:div>
    <w:div w:id="1142887116">
      <w:bodyDiv w:val="1"/>
      <w:marLeft w:val="0"/>
      <w:marRight w:val="0"/>
      <w:marTop w:val="0"/>
      <w:marBottom w:val="0"/>
      <w:divBdr>
        <w:top w:val="none" w:sz="0" w:space="0" w:color="auto"/>
        <w:left w:val="none" w:sz="0" w:space="0" w:color="auto"/>
        <w:bottom w:val="none" w:sz="0" w:space="0" w:color="auto"/>
        <w:right w:val="none" w:sz="0" w:space="0" w:color="auto"/>
      </w:divBdr>
    </w:div>
    <w:div w:id="1165975158">
      <w:bodyDiv w:val="1"/>
      <w:marLeft w:val="0"/>
      <w:marRight w:val="0"/>
      <w:marTop w:val="0"/>
      <w:marBottom w:val="0"/>
      <w:divBdr>
        <w:top w:val="none" w:sz="0" w:space="0" w:color="auto"/>
        <w:left w:val="none" w:sz="0" w:space="0" w:color="auto"/>
        <w:bottom w:val="none" w:sz="0" w:space="0" w:color="auto"/>
        <w:right w:val="none" w:sz="0" w:space="0" w:color="auto"/>
      </w:divBdr>
    </w:div>
    <w:div w:id="1211453985">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258439728">
      <w:bodyDiv w:val="1"/>
      <w:marLeft w:val="0"/>
      <w:marRight w:val="0"/>
      <w:marTop w:val="0"/>
      <w:marBottom w:val="0"/>
      <w:divBdr>
        <w:top w:val="none" w:sz="0" w:space="0" w:color="auto"/>
        <w:left w:val="none" w:sz="0" w:space="0" w:color="auto"/>
        <w:bottom w:val="none" w:sz="0" w:space="0" w:color="auto"/>
        <w:right w:val="none" w:sz="0" w:space="0" w:color="auto"/>
      </w:divBdr>
    </w:div>
    <w:div w:id="1321469928">
      <w:bodyDiv w:val="1"/>
      <w:marLeft w:val="0"/>
      <w:marRight w:val="0"/>
      <w:marTop w:val="0"/>
      <w:marBottom w:val="0"/>
      <w:divBdr>
        <w:top w:val="none" w:sz="0" w:space="0" w:color="auto"/>
        <w:left w:val="none" w:sz="0" w:space="0" w:color="auto"/>
        <w:bottom w:val="none" w:sz="0" w:space="0" w:color="auto"/>
        <w:right w:val="none" w:sz="0" w:space="0" w:color="auto"/>
      </w:divBdr>
    </w:div>
    <w:div w:id="1328364310">
      <w:bodyDiv w:val="1"/>
      <w:marLeft w:val="0"/>
      <w:marRight w:val="0"/>
      <w:marTop w:val="0"/>
      <w:marBottom w:val="0"/>
      <w:divBdr>
        <w:top w:val="none" w:sz="0" w:space="0" w:color="auto"/>
        <w:left w:val="none" w:sz="0" w:space="0" w:color="auto"/>
        <w:bottom w:val="none" w:sz="0" w:space="0" w:color="auto"/>
        <w:right w:val="none" w:sz="0" w:space="0" w:color="auto"/>
      </w:divBdr>
    </w:div>
    <w:div w:id="1398286368">
      <w:bodyDiv w:val="1"/>
      <w:marLeft w:val="0"/>
      <w:marRight w:val="0"/>
      <w:marTop w:val="0"/>
      <w:marBottom w:val="0"/>
      <w:divBdr>
        <w:top w:val="none" w:sz="0" w:space="0" w:color="auto"/>
        <w:left w:val="none" w:sz="0" w:space="0" w:color="auto"/>
        <w:bottom w:val="none" w:sz="0" w:space="0" w:color="auto"/>
        <w:right w:val="none" w:sz="0" w:space="0" w:color="auto"/>
      </w:divBdr>
    </w:div>
    <w:div w:id="1470827945">
      <w:bodyDiv w:val="1"/>
      <w:marLeft w:val="0"/>
      <w:marRight w:val="0"/>
      <w:marTop w:val="0"/>
      <w:marBottom w:val="0"/>
      <w:divBdr>
        <w:top w:val="none" w:sz="0" w:space="0" w:color="auto"/>
        <w:left w:val="none" w:sz="0" w:space="0" w:color="auto"/>
        <w:bottom w:val="none" w:sz="0" w:space="0" w:color="auto"/>
        <w:right w:val="none" w:sz="0" w:space="0" w:color="auto"/>
      </w:divBdr>
    </w:div>
    <w:div w:id="1506087631">
      <w:bodyDiv w:val="1"/>
      <w:marLeft w:val="0"/>
      <w:marRight w:val="0"/>
      <w:marTop w:val="0"/>
      <w:marBottom w:val="0"/>
      <w:divBdr>
        <w:top w:val="none" w:sz="0" w:space="0" w:color="auto"/>
        <w:left w:val="none" w:sz="0" w:space="0" w:color="auto"/>
        <w:bottom w:val="none" w:sz="0" w:space="0" w:color="auto"/>
        <w:right w:val="none" w:sz="0" w:space="0" w:color="auto"/>
      </w:divBdr>
    </w:div>
    <w:div w:id="1507399407">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42743599">
      <w:bodyDiv w:val="1"/>
      <w:marLeft w:val="0"/>
      <w:marRight w:val="0"/>
      <w:marTop w:val="0"/>
      <w:marBottom w:val="0"/>
      <w:divBdr>
        <w:top w:val="none" w:sz="0" w:space="0" w:color="auto"/>
        <w:left w:val="none" w:sz="0" w:space="0" w:color="auto"/>
        <w:bottom w:val="none" w:sz="0" w:space="0" w:color="auto"/>
        <w:right w:val="none" w:sz="0" w:space="0" w:color="auto"/>
      </w:divBdr>
    </w:div>
    <w:div w:id="1548906999">
      <w:bodyDiv w:val="1"/>
      <w:marLeft w:val="0"/>
      <w:marRight w:val="0"/>
      <w:marTop w:val="0"/>
      <w:marBottom w:val="0"/>
      <w:divBdr>
        <w:top w:val="none" w:sz="0" w:space="0" w:color="auto"/>
        <w:left w:val="none" w:sz="0" w:space="0" w:color="auto"/>
        <w:bottom w:val="none" w:sz="0" w:space="0" w:color="auto"/>
        <w:right w:val="none" w:sz="0" w:space="0" w:color="auto"/>
      </w:divBdr>
    </w:div>
    <w:div w:id="1569268482">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814322425">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2080445261">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oker.Consulting/" TargetMode="External"/><Relationship Id="rId18" Type="http://schemas.openxmlformats.org/officeDocument/2006/relationships/footer" Target="footer1.xml"/><Relationship Id="rId26" Type="http://schemas.openxmlformats.org/officeDocument/2006/relationships/hyperlink" Target="https://www.bcas.cz/o-nas/broker-consulting-index-spotrebitelskych-uveru/"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header" Target="header1.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okpointy.cz"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3.xml"/><Relationship Id="rId27" Type="http://schemas.openxmlformats.org/officeDocument/2006/relationships/hyperlink" Target="mailto:lenka.kuzelova@bcas.cz"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BB1886-3F6C-4641-92B8-7E609429F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1006</Words>
  <Characters>5938</Characters>
  <Application>Microsoft Office Word</Application>
  <DocSecurity>0</DocSecurity>
  <Lines>49</Lines>
  <Paragraphs>13</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Michaela Sahulová</cp:lastModifiedBy>
  <cp:revision>3</cp:revision>
  <dcterms:created xsi:type="dcterms:W3CDTF">2024-05-02T10:34:00Z</dcterms:created>
  <dcterms:modified xsi:type="dcterms:W3CDTF">2024-05-02T10:35:00Z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