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4DBE9" w14:textId="6E0639B0" w:rsidR="00677C07" w:rsidRDefault="00677C07">
      <w:pPr>
        <w:rPr>
          <w:highlight w:val="yellow"/>
        </w:rPr>
      </w:pPr>
    </w:p>
    <w:sdt>
      <w:sdtPr>
        <w:rPr>
          <w:highlight w:val="yellow"/>
        </w:rPr>
        <w:id w:val="120037484"/>
        <w:docPartObj>
          <w:docPartGallery w:val="Cover Pages"/>
          <w:docPartUnique/>
        </w:docPartObj>
      </w:sdtPr>
      <w:sdtEndPr>
        <w:rPr>
          <w:rFonts w:ascii="Arial" w:hAnsi="Arial" w:cs="Arial"/>
          <w:sz w:val="20"/>
          <w:szCs w:val="20"/>
        </w:rPr>
      </w:sdtEndPr>
      <w:sdtContent>
        <w:p w14:paraId="7ED014A1" w14:textId="55F827D2" w:rsidR="00D80B6D" w:rsidRPr="00B346ED" w:rsidRDefault="00D80B6D" w:rsidP="00B346ED">
          <w:pPr>
            <w:rPr>
              <w:highlight w:val="yellow"/>
            </w:rPr>
          </w:pPr>
        </w:p>
        <w:p w14:paraId="0FB45B67" w14:textId="77777777" w:rsidR="00D80B6D" w:rsidRPr="007443AD" w:rsidRDefault="00D80B6D" w:rsidP="00D80B6D">
          <w:pPr>
            <w:spacing w:before="230"/>
            <w:ind w:left="165"/>
            <w:jc w:val="center"/>
            <w:rPr>
              <w:rFonts w:asciiTheme="minorHAnsi" w:hAnsiTheme="minorHAnsi" w:cstheme="minorHAnsi"/>
              <w:sz w:val="24"/>
            </w:rPr>
          </w:pPr>
          <w:r w:rsidRPr="007443AD">
            <w:rPr>
              <w:rFonts w:asciiTheme="minorHAnsi" w:hAnsiTheme="minorHAnsi" w:cstheme="minorHAnsi"/>
              <w:b/>
              <w:sz w:val="24"/>
            </w:rPr>
            <w:t>INDEX HYPOTEČNÍCH ÚVĚRŮ</w:t>
          </w:r>
          <w:r w:rsidRPr="007443AD">
            <w:rPr>
              <w:rFonts w:asciiTheme="minorHAnsi" w:hAnsiTheme="minorHAnsi" w:cstheme="minorHAnsi"/>
              <w:sz w:val="24"/>
            </w:rPr>
            <w:t xml:space="preserve"> | </w:t>
          </w:r>
          <w:r w:rsidRPr="007443AD">
            <w:rPr>
              <w:rFonts w:asciiTheme="minorHAnsi" w:hAnsiTheme="minorHAnsi" w:cstheme="minorHAnsi"/>
              <w:b/>
              <w:sz w:val="24"/>
            </w:rPr>
            <w:t xml:space="preserve">FIXINDEX </w:t>
          </w:r>
        </w:p>
        <w:p w14:paraId="03C4DE47" w14:textId="137DE246" w:rsidR="0009776B" w:rsidRDefault="00D80B6D" w:rsidP="005F65A1">
          <w:pPr>
            <w:spacing w:before="230"/>
            <w:ind w:left="165"/>
            <w:jc w:val="center"/>
            <w:rPr>
              <w:rFonts w:asciiTheme="minorHAnsi" w:hAnsiTheme="minorHAnsi" w:cstheme="minorHAnsi"/>
              <w:sz w:val="24"/>
            </w:rPr>
          </w:pPr>
          <w:r w:rsidRPr="007443AD">
            <w:rPr>
              <w:rFonts w:asciiTheme="minorHAnsi" w:hAnsiTheme="minorHAnsi" w:cstheme="minorHAnsi"/>
              <w:sz w:val="24"/>
            </w:rPr>
            <w:t xml:space="preserve">INDEX PODÍLOVÝCH FONDŮ </w:t>
          </w:r>
        </w:p>
        <w:p w14:paraId="5F5E486E" w14:textId="2A454C45" w:rsidR="004B5B94" w:rsidRPr="007443AD" w:rsidRDefault="004B5B94" w:rsidP="005F65A1">
          <w:pPr>
            <w:spacing w:before="230"/>
            <w:ind w:left="165"/>
            <w:jc w:val="center"/>
            <w:rPr>
              <w:rFonts w:asciiTheme="minorHAnsi" w:hAnsiTheme="minorHAnsi" w:cstheme="minorHAnsi"/>
              <w:sz w:val="24"/>
            </w:rPr>
          </w:pPr>
          <w:r>
            <w:rPr>
              <w:rFonts w:asciiTheme="minorHAnsi" w:hAnsiTheme="minorHAnsi" w:cstheme="minorHAnsi"/>
              <w:sz w:val="24"/>
            </w:rPr>
            <w:t>REALINDEX</w:t>
          </w:r>
        </w:p>
        <w:p w14:paraId="32900BCE" w14:textId="5904F9FC" w:rsidR="00D80B6D" w:rsidRPr="007443AD" w:rsidRDefault="00D80B6D" w:rsidP="00D80B6D">
          <w:pPr>
            <w:spacing w:before="230"/>
            <w:ind w:left="165"/>
            <w:jc w:val="center"/>
            <w:rPr>
              <w:rFonts w:asciiTheme="minorHAnsi" w:hAnsiTheme="minorHAnsi" w:cstheme="minorHAnsi"/>
              <w:sz w:val="24"/>
            </w:rPr>
          </w:pPr>
          <w:r w:rsidRPr="007443AD">
            <w:rPr>
              <w:rFonts w:asciiTheme="minorHAnsi" w:hAnsiTheme="minorHAnsi" w:cstheme="minorHAnsi"/>
              <w:sz w:val="24"/>
            </w:rPr>
            <w:t>P</w:t>
          </w:r>
          <w:r w:rsidR="005F65A1" w:rsidRPr="007443AD">
            <w:rPr>
              <w:rFonts w:asciiTheme="minorHAnsi" w:hAnsiTheme="minorHAnsi" w:cstheme="minorHAnsi"/>
              <w:sz w:val="24"/>
            </w:rPr>
            <w:t>OV</w:t>
          </w:r>
          <w:r w:rsidRPr="007443AD">
            <w:rPr>
              <w:rFonts w:asciiTheme="minorHAnsi" w:hAnsiTheme="minorHAnsi" w:cstheme="minorHAnsi"/>
              <w:sz w:val="24"/>
            </w:rPr>
            <w:t xml:space="preserve">INDEX </w:t>
          </w:r>
        </w:p>
        <w:p w14:paraId="5B21B8A6" w14:textId="77777777" w:rsidR="00D80B6D" w:rsidRPr="007443AD" w:rsidRDefault="00D80B6D" w:rsidP="00D80B6D">
          <w:pPr>
            <w:spacing w:before="230"/>
            <w:ind w:left="165"/>
            <w:jc w:val="center"/>
            <w:rPr>
              <w:rFonts w:asciiTheme="minorHAnsi" w:hAnsiTheme="minorHAnsi" w:cstheme="minorHAnsi"/>
              <w:sz w:val="24"/>
            </w:rPr>
          </w:pPr>
          <w:r w:rsidRPr="007443AD">
            <w:rPr>
              <w:rFonts w:asciiTheme="minorHAnsi" w:hAnsiTheme="minorHAnsi" w:cstheme="minorHAnsi"/>
              <w:sz w:val="24"/>
            </w:rPr>
            <w:t xml:space="preserve">INDEX SPOTŘEBITELSKÝCH ÚVĚRŮ  </w:t>
          </w:r>
        </w:p>
        <w:p w14:paraId="720CCDBB" w14:textId="77777777" w:rsidR="00D80B6D" w:rsidRPr="00D84B7D" w:rsidRDefault="00D80B6D" w:rsidP="00D80B6D">
          <w:pPr>
            <w:pStyle w:val="Zkladntext"/>
            <w:spacing w:before="240"/>
            <w:rPr>
              <w:sz w:val="20"/>
              <w:highlight w:val="yellow"/>
            </w:rPr>
          </w:pPr>
        </w:p>
        <w:p w14:paraId="703D71F2" w14:textId="77777777" w:rsidR="00D80B6D" w:rsidRPr="00D84B7D" w:rsidRDefault="00D80B6D" w:rsidP="00D80B6D">
          <w:pPr>
            <w:pStyle w:val="Zkladntext"/>
            <w:rPr>
              <w:sz w:val="20"/>
              <w:highlight w:val="yellow"/>
            </w:rPr>
          </w:pPr>
        </w:p>
        <w:p w14:paraId="00494A3A" w14:textId="77777777" w:rsidR="00D80B6D" w:rsidRPr="00D84B7D" w:rsidRDefault="00D80B6D" w:rsidP="00D80B6D">
          <w:pPr>
            <w:pStyle w:val="Zkladntext"/>
            <w:rPr>
              <w:sz w:val="20"/>
              <w:highlight w:val="yellow"/>
            </w:rPr>
          </w:pPr>
          <w:r w:rsidRPr="00D84B7D">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D84B7D" w:rsidRDefault="00D80B6D" w:rsidP="00D80B6D">
          <w:pPr>
            <w:pStyle w:val="Zkladntext"/>
            <w:rPr>
              <w:sz w:val="20"/>
              <w:highlight w:val="yellow"/>
            </w:rPr>
          </w:pPr>
        </w:p>
        <w:p w14:paraId="2A5F355C" w14:textId="77777777" w:rsidR="00D80B6D" w:rsidRPr="00D84B7D" w:rsidRDefault="00D80B6D" w:rsidP="00D80B6D">
          <w:pPr>
            <w:pStyle w:val="Zkladntext"/>
            <w:rPr>
              <w:sz w:val="20"/>
              <w:highlight w:val="yellow"/>
            </w:rPr>
          </w:pPr>
        </w:p>
        <w:p w14:paraId="218EE6CB" w14:textId="77777777" w:rsidR="00D80B6D" w:rsidRPr="00D84B7D" w:rsidRDefault="00D80B6D" w:rsidP="00D80B6D">
          <w:pPr>
            <w:pStyle w:val="Zkladntext"/>
            <w:rPr>
              <w:sz w:val="20"/>
              <w:highlight w:val="yellow"/>
            </w:rPr>
          </w:pPr>
        </w:p>
        <w:p w14:paraId="0238B3AB" w14:textId="77777777" w:rsidR="00D80B6D" w:rsidRPr="00D84B7D" w:rsidRDefault="00D80B6D" w:rsidP="00D80B6D">
          <w:pPr>
            <w:pStyle w:val="Zkladntext"/>
            <w:rPr>
              <w:sz w:val="20"/>
              <w:highlight w:val="yellow"/>
            </w:rPr>
          </w:pPr>
        </w:p>
        <w:p w14:paraId="54516A42" w14:textId="77777777" w:rsidR="00D80B6D" w:rsidRPr="00D84B7D" w:rsidRDefault="00D80B6D" w:rsidP="00D80B6D">
          <w:pPr>
            <w:pStyle w:val="Zkladntext"/>
            <w:rPr>
              <w:sz w:val="20"/>
              <w:highlight w:val="yellow"/>
            </w:rPr>
          </w:pPr>
        </w:p>
        <w:p w14:paraId="5266363A" w14:textId="77777777" w:rsidR="00D80B6D" w:rsidRPr="00D84B7D" w:rsidRDefault="00D80B6D" w:rsidP="00D80B6D">
          <w:pPr>
            <w:pStyle w:val="Zkladntext"/>
            <w:rPr>
              <w:sz w:val="20"/>
              <w:highlight w:val="yellow"/>
            </w:rPr>
          </w:pPr>
        </w:p>
        <w:p w14:paraId="363B2E28" w14:textId="77777777" w:rsidR="00D80B6D" w:rsidRPr="00D84B7D" w:rsidRDefault="00D80B6D" w:rsidP="00D80B6D">
          <w:pPr>
            <w:pStyle w:val="Zkladntext"/>
            <w:rPr>
              <w:sz w:val="20"/>
              <w:highlight w:val="yellow"/>
            </w:rPr>
          </w:pPr>
        </w:p>
        <w:p w14:paraId="17667B44" w14:textId="77777777" w:rsidR="00D80B6D" w:rsidRPr="00D84B7D" w:rsidRDefault="00D80B6D" w:rsidP="00D80B6D">
          <w:pPr>
            <w:pStyle w:val="Zkladntext"/>
            <w:jc w:val="both"/>
            <w:rPr>
              <w:rFonts w:ascii="Arial" w:hAnsi="Arial" w:cs="Arial"/>
              <w:sz w:val="20"/>
              <w:highlight w:val="yellow"/>
            </w:rPr>
          </w:pPr>
        </w:p>
        <w:p w14:paraId="5193A529" w14:textId="77777777" w:rsidR="00D80B6D" w:rsidRPr="00D84B7D" w:rsidRDefault="00D80B6D" w:rsidP="00D80B6D">
          <w:pPr>
            <w:pStyle w:val="Zkladntext"/>
            <w:jc w:val="both"/>
            <w:rPr>
              <w:rFonts w:ascii="Arial" w:hAnsi="Arial" w:cs="Arial"/>
              <w:b/>
              <w:sz w:val="20"/>
              <w:highlight w:val="yellow"/>
            </w:rPr>
          </w:pPr>
        </w:p>
        <w:p w14:paraId="2833FE59" w14:textId="77777777" w:rsidR="00D80B6D" w:rsidRPr="00D84B7D" w:rsidRDefault="00D80B6D" w:rsidP="00D80B6D">
          <w:pPr>
            <w:pStyle w:val="Zkladntext"/>
            <w:jc w:val="both"/>
            <w:rPr>
              <w:rFonts w:ascii="Arial" w:hAnsi="Arial" w:cs="Arial"/>
              <w:b/>
              <w:sz w:val="20"/>
              <w:highlight w:val="yellow"/>
            </w:rPr>
          </w:pPr>
        </w:p>
        <w:p w14:paraId="6DB157BF" w14:textId="77777777" w:rsidR="00D80B6D" w:rsidRPr="00D84B7D" w:rsidRDefault="00D80B6D" w:rsidP="00D80B6D">
          <w:pPr>
            <w:pStyle w:val="Zkladntext"/>
            <w:jc w:val="both"/>
            <w:rPr>
              <w:rFonts w:ascii="Arial" w:hAnsi="Arial" w:cs="Arial"/>
              <w:b/>
              <w:sz w:val="20"/>
              <w:highlight w:val="yellow"/>
            </w:rPr>
          </w:pPr>
        </w:p>
        <w:p w14:paraId="47803C2A" w14:textId="77777777" w:rsidR="00D80B6D" w:rsidRPr="00D84B7D" w:rsidRDefault="00D80B6D" w:rsidP="00D80B6D">
          <w:pPr>
            <w:pStyle w:val="Zkladntext"/>
            <w:jc w:val="both"/>
            <w:rPr>
              <w:rFonts w:ascii="Arial" w:hAnsi="Arial" w:cs="Arial"/>
              <w:b/>
              <w:sz w:val="20"/>
              <w:highlight w:val="yellow"/>
            </w:rPr>
          </w:pPr>
        </w:p>
        <w:p w14:paraId="1D90E1D0" w14:textId="77777777" w:rsidR="00D80B6D" w:rsidRPr="00D84B7D" w:rsidRDefault="00D80B6D" w:rsidP="00D80B6D">
          <w:pPr>
            <w:pStyle w:val="Zkladntext"/>
            <w:jc w:val="both"/>
            <w:rPr>
              <w:rFonts w:ascii="Arial" w:hAnsi="Arial" w:cs="Arial"/>
              <w:b/>
              <w:sz w:val="20"/>
              <w:highlight w:val="yellow"/>
            </w:rPr>
          </w:pPr>
        </w:p>
        <w:p w14:paraId="5A33B823" w14:textId="77777777" w:rsidR="00D80B6D" w:rsidRPr="00D84B7D" w:rsidRDefault="00D80B6D" w:rsidP="00D80B6D">
          <w:pPr>
            <w:pStyle w:val="Zkladntext"/>
            <w:jc w:val="both"/>
            <w:rPr>
              <w:rFonts w:ascii="Arial" w:hAnsi="Arial" w:cs="Arial"/>
              <w:b/>
              <w:sz w:val="20"/>
              <w:highlight w:val="yellow"/>
            </w:rPr>
          </w:pPr>
        </w:p>
        <w:p w14:paraId="0D2BECD0" w14:textId="77777777" w:rsidR="00D80B6D" w:rsidRPr="00D84B7D" w:rsidRDefault="00D80B6D" w:rsidP="00D80B6D">
          <w:pPr>
            <w:pStyle w:val="Zkladntext"/>
            <w:jc w:val="both"/>
            <w:rPr>
              <w:rFonts w:ascii="Arial" w:hAnsi="Arial" w:cs="Arial"/>
              <w:b/>
              <w:sz w:val="20"/>
              <w:highlight w:val="yellow"/>
            </w:rPr>
          </w:pPr>
        </w:p>
        <w:p w14:paraId="69288FB9" w14:textId="77777777" w:rsidR="00D80B6D" w:rsidRPr="00D84B7D" w:rsidRDefault="00D80B6D" w:rsidP="00D80B6D">
          <w:pPr>
            <w:pStyle w:val="Zkladntext"/>
            <w:jc w:val="both"/>
            <w:rPr>
              <w:rFonts w:ascii="Arial" w:hAnsi="Arial" w:cs="Arial"/>
              <w:b/>
              <w:sz w:val="20"/>
              <w:highlight w:val="yellow"/>
            </w:rPr>
          </w:pPr>
        </w:p>
        <w:p w14:paraId="541E93D5" w14:textId="77777777" w:rsidR="00D80B6D" w:rsidRPr="00D84B7D" w:rsidRDefault="00D80B6D" w:rsidP="00D80B6D">
          <w:pPr>
            <w:pStyle w:val="Zkladntext"/>
            <w:jc w:val="both"/>
            <w:rPr>
              <w:rFonts w:ascii="Arial" w:hAnsi="Arial" w:cs="Arial"/>
              <w:b/>
              <w:sz w:val="20"/>
              <w:highlight w:val="yellow"/>
            </w:rPr>
          </w:pPr>
        </w:p>
        <w:p w14:paraId="341A343C" w14:textId="77777777" w:rsidR="00D80B6D" w:rsidRPr="00D84B7D" w:rsidRDefault="00D80B6D" w:rsidP="00D80B6D">
          <w:pPr>
            <w:pStyle w:val="Zkladntext"/>
            <w:jc w:val="both"/>
            <w:rPr>
              <w:rFonts w:ascii="Arial" w:hAnsi="Arial" w:cs="Arial"/>
              <w:b/>
              <w:sz w:val="20"/>
              <w:highlight w:val="yellow"/>
            </w:rPr>
          </w:pPr>
        </w:p>
        <w:p w14:paraId="6C52C42D" w14:textId="77777777" w:rsidR="00D80B6D" w:rsidRPr="00D84B7D" w:rsidRDefault="00D80B6D" w:rsidP="00D80B6D">
          <w:pPr>
            <w:pStyle w:val="Zkladntext"/>
            <w:jc w:val="both"/>
            <w:rPr>
              <w:rFonts w:ascii="Arial" w:hAnsi="Arial" w:cs="Arial"/>
              <w:b/>
              <w:sz w:val="20"/>
              <w:highlight w:val="yellow"/>
            </w:rPr>
          </w:pPr>
        </w:p>
        <w:p w14:paraId="3E3CDF25" w14:textId="77777777" w:rsidR="00D80B6D" w:rsidRPr="00D84B7D" w:rsidRDefault="00D80B6D" w:rsidP="00D80B6D">
          <w:pPr>
            <w:pStyle w:val="Zkladntext"/>
            <w:jc w:val="both"/>
            <w:rPr>
              <w:rFonts w:ascii="Arial" w:hAnsi="Arial" w:cs="Arial"/>
              <w:b/>
              <w:sz w:val="20"/>
              <w:highlight w:val="yellow"/>
            </w:rPr>
          </w:pPr>
        </w:p>
        <w:p w14:paraId="40495E64" w14:textId="77777777" w:rsidR="00D80B6D" w:rsidRPr="00D84B7D" w:rsidRDefault="00D80B6D" w:rsidP="00D80B6D">
          <w:pPr>
            <w:pStyle w:val="Zkladntext"/>
            <w:jc w:val="both"/>
            <w:rPr>
              <w:rFonts w:ascii="Arial" w:hAnsi="Arial" w:cs="Arial"/>
              <w:b/>
              <w:sz w:val="20"/>
              <w:highlight w:val="yellow"/>
            </w:rPr>
          </w:pPr>
        </w:p>
        <w:p w14:paraId="59B6F4E6" w14:textId="77777777" w:rsidR="00D80B6D" w:rsidRPr="00D84B7D" w:rsidRDefault="00D80B6D" w:rsidP="00D80B6D">
          <w:pPr>
            <w:pStyle w:val="Zkladntext"/>
            <w:jc w:val="both"/>
            <w:rPr>
              <w:rFonts w:ascii="Arial" w:hAnsi="Arial" w:cs="Arial"/>
              <w:b/>
              <w:sz w:val="20"/>
              <w:highlight w:val="yellow"/>
            </w:rPr>
          </w:pPr>
        </w:p>
        <w:p w14:paraId="5ADDFBD6" w14:textId="77777777" w:rsidR="00D80B6D" w:rsidRPr="00D84B7D" w:rsidRDefault="00D80B6D" w:rsidP="00D80B6D">
          <w:pPr>
            <w:pStyle w:val="Zkladntext"/>
            <w:jc w:val="both"/>
            <w:rPr>
              <w:rFonts w:ascii="Arial" w:hAnsi="Arial" w:cs="Arial"/>
              <w:b/>
              <w:sz w:val="20"/>
              <w:highlight w:val="yellow"/>
            </w:rPr>
          </w:pPr>
        </w:p>
        <w:p w14:paraId="1CB27DF8" w14:textId="77777777" w:rsidR="007B358E" w:rsidRPr="00D84B7D" w:rsidRDefault="007B358E" w:rsidP="00D80B6D">
          <w:pPr>
            <w:pStyle w:val="Zkladntext"/>
            <w:jc w:val="both"/>
            <w:rPr>
              <w:rFonts w:ascii="Arial" w:hAnsi="Arial" w:cs="Arial"/>
              <w:b/>
              <w:sz w:val="20"/>
              <w:highlight w:val="yellow"/>
            </w:rPr>
          </w:pPr>
        </w:p>
        <w:p w14:paraId="3A61C564" w14:textId="77777777" w:rsidR="0068617E" w:rsidRPr="00D84B7D" w:rsidRDefault="0068617E" w:rsidP="00D80B6D">
          <w:pPr>
            <w:pStyle w:val="Zkladntext"/>
            <w:jc w:val="both"/>
            <w:rPr>
              <w:rFonts w:ascii="Arial" w:hAnsi="Arial" w:cs="Arial"/>
              <w:b/>
              <w:sz w:val="20"/>
              <w:highlight w:val="yellow"/>
            </w:rPr>
          </w:pPr>
        </w:p>
        <w:p w14:paraId="1414E639" w14:textId="77777777" w:rsidR="0068617E" w:rsidRPr="00D84B7D" w:rsidRDefault="0068617E" w:rsidP="00D80B6D">
          <w:pPr>
            <w:pStyle w:val="Zkladntext"/>
            <w:jc w:val="both"/>
            <w:rPr>
              <w:rFonts w:ascii="Arial" w:hAnsi="Arial" w:cs="Arial"/>
              <w:b/>
              <w:sz w:val="20"/>
              <w:highlight w:val="yellow"/>
            </w:rPr>
          </w:pPr>
        </w:p>
        <w:p w14:paraId="3660AEB6" w14:textId="77777777" w:rsidR="005B7E46" w:rsidRDefault="005B7E46" w:rsidP="00D80B6D">
          <w:pPr>
            <w:pStyle w:val="Zkladntext"/>
            <w:jc w:val="both"/>
            <w:rPr>
              <w:rFonts w:ascii="Arial" w:hAnsi="Arial" w:cs="Arial"/>
              <w:b/>
              <w:sz w:val="20"/>
            </w:rPr>
          </w:pPr>
        </w:p>
        <w:p w14:paraId="51D468A4" w14:textId="77777777" w:rsidR="005B7E46" w:rsidRDefault="005B7E46" w:rsidP="00D80B6D">
          <w:pPr>
            <w:pStyle w:val="Zkladntext"/>
            <w:jc w:val="both"/>
            <w:rPr>
              <w:rFonts w:ascii="Arial" w:hAnsi="Arial" w:cs="Arial"/>
              <w:b/>
              <w:sz w:val="20"/>
            </w:rPr>
          </w:pPr>
        </w:p>
        <w:p w14:paraId="2F2ED302" w14:textId="77777777" w:rsidR="005B7E46" w:rsidRDefault="005B7E46" w:rsidP="00D80B6D">
          <w:pPr>
            <w:pStyle w:val="Zkladntext"/>
            <w:jc w:val="both"/>
            <w:rPr>
              <w:rFonts w:ascii="Arial" w:hAnsi="Arial" w:cs="Arial"/>
              <w:b/>
              <w:sz w:val="20"/>
            </w:rPr>
          </w:pPr>
        </w:p>
        <w:p w14:paraId="6C828C12" w14:textId="77777777" w:rsidR="005B7E46" w:rsidRDefault="005B7E46" w:rsidP="00D80B6D">
          <w:pPr>
            <w:pStyle w:val="Zkladntext"/>
            <w:jc w:val="both"/>
            <w:rPr>
              <w:rFonts w:ascii="Arial" w:hAnsi="Arial" w:cs="Arial"/>
              <w:b/>
              <w:sz w:val="20"/>
            </w:rPr>
          </w:pPr>
        </w:p>
        <w:p w14:paraId="49B23CF7" w14:textId="77777777" w:rsidR="005B7E46" w:rsidRDefault="005B7E46" w:rsidP="00D80B6D">
          <w:pPr>
            <w:pStyle w:val="Zkladntext"/>
            <w:jc w:val="both"/>
            <w:rPr>
              <w:rFonts w:ascii="Arial" w:hAnsi="Arial" w:cs="Arial"/>
              <w:b/>
              <w:sz w:val="20"/>
            </w:rPr>
          </w:pPr>
        </w:p>
        <w:p w14:paraId="17EC9300" w14:textId="77777777" w:rsidR="005B7E46" w:rsidRDefault="005B7E46" w:rsidP="00D80B6D">
          <w:pPr>
            <w:pStyle w:val="Zkladntext"/>
            <w:jc w:val="both"/>
            <w:rPr>
              <w:rFonts w:ascii="Arial" w:hAnsi="Arial" w:cs="Arial"/>
              <w:b/>
              <w:sz w:val="20"/>
            </w:rPr>
          </w:pPr>
        </w:p>
        <w:p w14:paraId="11132A3F" w14:textId="5D367D7A" w:rsidR="00D80B6D" w:rsidRPr="00D84B7D" w:rsidRDefault="00D80B6D" w:rsidP="00D80B6D">
          <w:pPr>
            <w:pStyle w:val="Zkladntext"/>
            <w:jc w:val="both"/>
            <w:rPr>
              <w:rFonts w:ascii="Arial" w:hAnsi="Arial" w:cs="Arial"/>
              <w:b/>
              <w:sz w:val="20"/>
            </w:rPr>
          </w:pPr>
          <w:r w:rsidRPr="00D84B7D">
            <w:rPr>
              <w:rFonts w:ascii="Arial" w:hAnsi="Arial" w:cs="Arial"/>
              <w:b/>
              <w:sz w:val="20"/>
            </w:rPr>
            <w:t>O společnosti Broker Consulting</w:t>
          </w:r>
        </w:p>
        <w:p w14:paraId="27485CC6" w14:textId="77777777" w:rsidR="00D80B6D" w:rsidRPr="005B7E46" w:rsidRDefault="00D80B6D" w:rsidP="00D80B6D">
          <w:pPr>
            <w:jc w:val="both"/>
            <w:rPr>
              <w:rFonts w:asciiTheme="minorHAnsi" w:hAnsiTheme="minorHAnsi" w:cstheme="minorHAnsi"/>
              <w:sz w:val="20"/>
              <w:szCs w:val="20"/>
            </w:rPr>
          </w:pPr>
        </w:p>
        <w:p w14:paraId="08070DCC" w14:textId="1339148C" w:rsidR="00792EE9" w:rsidRPr="005B7E46" w:rsidRDefault="00792EE9" w:rsidP="00792EE9">
          <w:pPr>
            <w:jc w:val="both"/>
            <w:rPr>
              <w:rStyle w:val="dn"/>
              <w:rFonts w:asciiTheme="minorHAnsi" w:hAnsiTheme="minorHAnsi" w:cstheme="minorHAnsi"/>
              <w:sz w:val="20"/>
              <w:szCs w:val="20"/>
            </w:rPr>
          </w:pPr>
          <w:r w:rsidRPr="005B7E46">
            <w:rPr>
              <w:rFonts w:asciiTheme="minorHAnsi" w:hAnsiTheme="minorHAnsi" w:cstheme="minorHAnsi"/>
              <w:sz w:val="20"/>
              <w:szCs w:val="20"/>
            </w:rPr>
            <w:t>Broker Consulting je jednou z největších společností na českém a slovenském trhu, která poskytuje služby v oblasti financí a realit. Od rok</w:t>
          </w:r>
          <w:r w:rsidR="001734B4">
            <w:rPr>
              <w:rFonts w:asciiTheme="minorHAnsi" w:hAnsiTheme="minorHAnsi" w:cstheme="minorHAnsi"/>
              <w:sz w:val="20"/>
              <w:szCs w:val="20"/>
            </w:rPr>
            <w:t>u 1998 získala důvěru více než 7</w:t>
          </w:r>
          <w:r w:rsidRPr="005B7E46">
            <w:rPr>
              <w:rFonts w:asciiTheme="minorHAnsi" w:hAnsiTheme="minorHAnsi" w:cstheme="minorHAnsi"/>
              <w:sz w:val="20"/>
              <w:szCs w:val="20"/>
            </w:rPr>
            <w:t>00 000 klientů. Poskytuje také služby přes 4 000 firmám. Distribuci služeb zajišťuje přibližně 2 000 konzultantů (profesionální konzultanti, zaměstnanci, konzultanti v zapracování v ČR i SR</w:t>
          </w:r>
          <w:r w:rsidR="00B8133C">
            <w:rPr>
              <w:rFonts w:asciiTheme="minorHAnsi" w:hAnsiTheme="minorHAnsi" w:cstheme="minorHAnsi"/>
              <w:sz w:val="20"/>
              <w:szCs w:val="20"/>
            </w:rPr>
            <w:t>) ve více než 150 kancelářích</w:t>
          </w:r>
          <w:r w:rsidR="00CD6257" w:rsidRPr="005B7E46">
            <w:rPr>
              <w:rFonts w:asciiTheme="minorHAnsi" w:hAnsiTheme="minorHAnsi" w:cstheme="minorHAnsi"/>
              <w:sz w:val="20"/>
              <w:szCs w:val="20"/>
            </w:rPr>
            <w:t xml:space="preserve"> </w:t>
          </w:r>
          <w:r w:rsidR="00B8133C">
            <w:rPr>
              <w:rFonts w:asciiTheme="minorHAnsi" w:hAnsiTheme="minorHAnsi" w:cstheme="minorHAnsi"/>
              <w:sz w:val="20"/>
              <w:szCs w:val="20"/>
            </w:rPr>
            <w:t>a na několika desítkách poboček</w:t>
          </w:r>
          <w:r w:rsidR="00B2198E">
            <w:rPr>
              <w:rFonts w:asciiTheme="minorHAnsi" w:hAnsiTheme="minorHAnsi" w:cstheme="minorHAnsi"/>
              <w:sz w:val="20"/>
              <w:szCs w:val="20"/>
            </w:rPr>
            <w:t xml:space="preserve"> Broker Point Premium</w:t>
          </w:r>
          <w:r w:rsidRPr="005B7E46">
            <w:rPr>
              <w:rFonts w:asciiTheme="minorHAnsi" w:hAnsiTheme="minorHAnsi" w:cstheme="minorHAnsi"/>
              <w:sz w:val="20"/>
              <w:szCs w:val="20"/>
            </w:rPr>
            <w: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w:t>
          </w:r>
          <w:r w:rsidR="00B2198E">
            <w:rPr>
              <w:rFonts w:asciiTheme="minorHAnsi" w:hAnsiTheme="minorHAnsi" w:cstheme="minorHAnsi"/>
              <w:sz w:val="20"/>
              <w:szCs w:val="20"/>
            </w:rPr>
            <w:t xml:space="preserve"> služby společně, to je Broker Point Premium</w:t>
          </w:r>
          <w:r w:rsidR="004D6BA6">
            <w:rPr>
              <w:rFonts w:asciiTheme="minorHAnsi" w:hAnsiTheme="minorHAnsi" w:cstheme="minorHAnsi"/>
              <w:sz w:val="20"/>
              <w:szCs w:val="20"/>
            </w:rPr>
            <w:t>,</w:t>
          </w:r>
          <w:r w:rsidR="00961519" w:rsidRPr="00961519">
            <w:rPr>
              <w:rFonts w:asciiTheme="minorHAnsi" w:hAnsiTheme="minorHAnsi" w:cstheme="minorHAnsi"/>
              <w:sz w:val="20"/>
              <w:szCs w:val="20"/>
            </w:rPr>
            <w:t xml:space="preserve"> </w:t>
          </w:r>
          <w:r w:rsidR="00961519">
            <w:rPr>
              <w:rFonts w:asciiTheme="minorHAnsi" w:hAnsiTheme="minorHAnsi" w:cstheme="minorHAnsi"/>
              <w:sz w:val="20"/>
              <w:szCs w:val="20"/>
            </w:rPr>
            <w:t xml:space="preserve">jehož přináší společnost Broker Consulting, která za vedení franšízy a její podporu získala ocenění </w:t>
          </w:r>
          <w:proofErr w:type="spellStart"/>
          <w:r w:rsidR="00961519" w:rsidRPr="00A0680F">
            <w:rPr>
              <w:rFonts w:asciiTheme="minorHAnsi" w:hAnsiTheme="minorHAnsi" w:cstheme="minorHAnsi"/>
              <w:b/>
              <w:color w:val="FF0000"/>
              <w:sz w:val="20"/>
              <w:szCs w:val="20"/>
            </w:rPr>
            <w:t>Franchisor</w:t>
          </w:r>
          <w:proofErr w:type="spellEnd"/>
          <w:r w:rsidR="00961519" w:rsidRPr="00A0680F">
            <w:rPr>
              <w:rFonts w:asciiTheme="minorHAnsi" w:hAnsiTheme="minorHAnsi" w:cstheme="minorHAnsi"/>
              <w:b/>
              <w:color w:val="FF0000"/>
              <w:sz w:val="20"/>
              <w:szCs w:val="20"/>
            </w:rPr>
            <w:t xml:space="preserve"> roku 2022</w:t>
          </w:r>
          <w:r w:rsidR="00961519" w:rsidRPr="00A0680F">
            <w:rPr>
              <w:rFonts w:asciiTheme="minorHAnsi" w:hAnsiTheme="minorHAnsi" w:cstheme="minorHAnsi"/>
              <w:color w:val="FF0000"/>
              <w:sz w:val="20"/>
              <w:szCs w:val="20"/>
            </w:rPr>
            <w:t xml:space="preserve"> </w:t>
          </w:r>
          <w:r w:rsidR="00961519">
            <w:rPr>
              <w:rFonts w:asciiTheme="minorHAnsi" w:hAnsiTheme="minorHAnsi" w:cstheme="minorHAnsi"/>
              <w:sz w:val="20"/>
              <w:szCs w:val="20"/>
            </w:rPr>
            <w:t xml:space="preserve">od České asociace </w:t>
          </w:r>
          <w:proofErr w:type="spellStart"/>
          <w:r w:rsidR="00961519">
            <w:rPr>
              <w:rFonts w:asciiTheme="minorHAnsi" w:hAnsiTheme="minorHAnsi" w:cstheme="minorHAnsi"/>
              <w:sz w:val="20"/>
              <w:szCs w:val="20"/>
            </w:rPr>
            <w:t>franchisingu</w:t>
          </w:r>
          <w:proofErr w:type="spellEnd"/>
          <w:r w:rsidR="008D373A" w:rsidRPr="005B7E46">
            <w:rPr>
              <w:rFonts w:asciiTheme="minorHAnsi" w:hAnsiTheme="minorHAnsi" w:cstheme="minorHAnsi"/>
              <w:sz w:val="20"/>
              <w:szCs w:val="20"/>
            </w:rPr>
            <w:t xml:space="preserve">. </w:t>
          </w:r>
          <w:proofErr w:type="spellStart"/>
          <w:r w:rsidRPr="005B7E46">
            <w:rPr>
              <w:rStyle w:val="dn"/>
              <w:rFonts w:asciiTheme="minorHAnsi" w:hAnsiTheme="minorHAnsi" w:cstheme="minorHAnsi"/>
              <w:sz w:val="20"/>
              <w:szCs w:val="20"/>
            </w:rPr>
            <w:t>Více</w:t>
          </w:r>
          <w:proofErr w:type="spellEnd"/>
          <w:r w:rsidRPr="005B7E46">
            <w:rPr>
              <w:rStyle w:val="dn"/>
              <w:rFonts w:asciiTheme="minorHAnsi" w:hAnsiTheme="minorHAnsi" w:cstheme="minorHAnsi"/>
              <w:sz w:val="20"/>
              <w:szCs w:val="20"/>
            </w:rPr>
            <w:t xml:space="preserve"> na </w:t>
          </w:r>
          <w:hyperlink r:id="rId9" w:history="1">
            <w:r w:rsidR="007B232E" w:rsidRPr="005B7E46">
              <w:rPr>
                <w:rStyle w:val="Hypertextovodkaz"/>
                <w:rFonts w:asciiTheme="minorHAnsi" w:hAnsiTheme="minorHAnsi" w:cstheme="minorHAnsi"/>
                <w:color w:val="auto"/>
                <w:sz w:val="20"/>
                <w:szCs w:val="20"/>
              </w:rPr>
              <w:t>bcas.cz</w:t>
            </w:r>
          </w:hyperlink>
          <w:r w:rsidRPr="005B7E46">
            <w:rPr>
              <w:rStyle w:val="Hypertextovodkaz"/>
              <w:rFonts w:asciiTheme="minorHAnsi" w:hAnsiTheme="minorHAnsi" w:cstheme="minorHAnsi"/>
              <w:color w:val="auto"/>
              <w:sz w:val="20"/>
              <w:szCs w:val="20"/>
              <w:u w:val="none"/>
            </w:rPr>
            <w:t xml:space="preserve">, </w:t>
          </w:r>
          <w:hyperlink r:id="rId10" w:history="1">
            <w:r w:rsidR="00B2198E">
              <w:rPr>
                <w:rStyle w:val="Hypertextovodkaz"/>
                <w:rFonts w:asciiTheme="minorHAnsi" w:hAnsiTheme="minorHAnsi" w:cstheme="minorHAnsi"/>
                <w:color w:val="auto"/>
                <w:sz w:val="20"/>
                <w:szCs w:val="20"/>
              </w:rPr>
              <w:t>brokerpointy</w:t>
            </w:r>
            <w:r w:rsidR="007B232E" w:rsidRPr="005B7E46">
              <w:rPr>
                <w:rStyle w:val="Hypertextovodkaz"/>
                <w:rFonts w:asciiTheme="minorHAnsi" w:hAnsiTheme="minorHAnsi" w:cstheme="minorHAnsi"/>
                <w:color w:val="auto"/>
                <w:sz w:val="20"/>
                <w:szCs w:val="20"/>
              </w:rPr>
              <w:t>.cz</w:t>
            </w:r>
          </w:hyperlink>
          <w:r w:rsidR="007B232E" w:rsidRPr="005B7E46">
            <w:rPr>
              <w:rStyle w:val="Hypertextovodkaz"/>
              <w:rFonts w:asciiTheme="minorHAnsi" w:hAnsiTheme="minorHAnsi" w:cstheme="minorHAnsi"/>
              <w:color w:val="auto"/>
              <w:sz w:val="20"/>
              <w:szCs w:val="20"/>
              <w:u w:val="none"/>
            </w:rPr>
            <w:t xml:space="preserve">, </w:t>
          </w:r>
          <w:r w:rsidR="00B2198E">
            <w:rPr>
              <w:rStyle w:val="Hypertextovodkaz"/>
              <w:rFonts w:asciiTheme="minorHAnsi" w:hAnsiTheme="minorHAnsi" w:cstheme="minorHAnsi"/>
              <w:color w:val="auto"/>
              <w:sz w:val="20"/>
              <w:szCs w:val="20"/>
              <w:u w:val="none"/>
            </w:rPr>
            <w:t>brokerpoint</w:t>
          </w:r>
          <w:hyperlink r:id="rId11" w:history="1">
            <w:r w:rsidR="007B232E" w:rsidRPr="005B7E46">
              <w:rPr>
                <w:rStyle w:val="Hypertextovodkaz"/>
                <w:rFonts w:asciiTheme="minorHAnsi" w:hAnsiTheme="minorHAnsi" w:cstheme="minorHAnsi"/>
                <w:color w:val="auto"/>
                <w:sz w:val="20"/>
                <w:szCs w:val="20"/>
              </w:rPr>
              <w:t>.tv</w:t>
            </w:r>
          </w:hyperlink>
          <w:r w:rsidRPr="005B7E46">
            <w:rPr>
              <w:rStyle w:val="dn"/>
              <w:rFonts w:asciiTheme="minorHAnsi" w:hAnsiTheme="minorHAnsi" w:cstheme="minorHAnsi"/>
              <w:sz w:val="20"/>
              <w:szCs w:val="20"/>
            </w:rPr>
            <w:t xml:space="preserve"> a na </w:t>
          </w:r>
          <w:hyperlink r:id="rId12" w:history="1">
            <w:r w:rsidRPr="005B7E46">
              <w:rPr>
                <w:rStyle w:val="Hypertextovodkaz"/>
                <w:rFonts w:asciiTheme="minorHAnsi" w:hAnsiTheme="minorHAnsi" w:cstheme="minorHAnsi"/>
                <w:color w:val="auto"/>
                <w:sz w:val="20"/>
                <w:szCs w:val="20"/>
              </w:rPr>
              <w:t>realityspolu.cz</w:t>
            </w:r>
          </w:hyperlink>
          <w:r w:rsidR="007B232E" w:rsidRPr="005B7E46">
            <w:rPr>
              <w:rStyle w:val="Hypertextovodkaz"/>
              <w:rFonts w:asciiTheme="minorHAnsi" w:hAnsiTheme="minorHAnsi" w:cstheme="minorHAnsi"/>
              <w:color w:val="auto"/>
              <w:sz w:val="20"/>
              <w:szCs w:val="20"/>
              <w:u w:val="none"/>
            </w:rPr>
            <w:t xml:space="preserve">. </w:t>
          </w:r>
          <w:proofErr w:type="spellStart"/>
          <w:r w:rsidRPr="005B7E46">
            <w:rPr>
              <w:rStyle w:val="dn"/>
              <w:rFonts w:asciiTheme="minorHAnsi" w:hAnsiTheme="minorHAnsi" w:cstheme="minorHAnsi"/>
              <w:sz w:val="20"/>
              <w:szCs w:val="20"/>
            </w:rPr>
            <w:t>Navštivte</w:t>
          </w:r>
          <w:proofErr w:type="spellEnd"/>
          <w:r w:rsidRPr="005B7E46">
            <w:rPr>
              <w:rStyle w:val="dn"/>
              <w:rFonts w:asciiTheme="minorHAnsi" w:hAnsiTheme="minorHAnsi" w:cstheme="minorHAnsi"/>
              <w:sz w:val="20"/>
              <w:szCs w:val="20"/>
            </w:rPr>
            <w:t xml:space="preserve"> </w:t>
          </w:r>
          <w:proofErr w:type="spellStart"/>
          <w:r w:rsidRPr="005B7E46">
            <w:rPr>
              <w:rStyle w:val="dn"/>
              <w:rFonts w:asciiTheme="minorHAnsi" w:hAnsiTheme="minorHAnsi" w:cstheme="minorHAnsi"/>
              <w:sz w:val="20"/>
              <w:szCs w:val="20"/>
            </w:rPr>
            <w:t>také</w:t>
          </w:r>
          <w:proofErr w:type="spellEnd"/>
          <w:r w:rsidRPr="005B7E46">
            <w:rPr>
              <w:rStyle w:val="dn"/>
              <w:rFonts w:asciiTheme="minorHAnsi" w:hAnsiTheme="minorHAnsi" w:cstheme="minorHAnsi"/>
              <w:sz w:val="20"/>
              <w:szCs w:val="20"/>
            </w:rPr>
            <w:t xml:space="preserve"> </w:t>
          </w:r>
          <w:proofErr w:type="spellStart"/>
          <w:r w:rsidRPr="005B7E46">
            <w:rPr>
              <w:rStyle w:val="dn"/>
              <w:rFonts w:asciiTheme="minorHAnsi" w:hAnsiTheme="minorHAnsi" w:cstheme="minorHAnsi"/>
              <w:sz w:val="20"/>
              <w:szCs w:val="20"/>
            </w:rPr>
            <w:t>náš</w:t>
          </w:r>
          <w:proofErr w:type="spellEnd"/>
          <w:r w:rsidRPr="005B7E46">
            <w:rPr>
              <w:rStyle w:val="dn"/>
              <w:rFonts w:asciiTheme="minorHAnsi" w:hAnsiTheme="minorHAnsi" w:cstheme="minorHAnsi"/>
              <w:sz w:val="20"/>
              <w:szCs w:val="20"/>
            </w:rPr>
            <w:t xml:space="preserve"> </w:t>
          </w:r>
          <w:hyperlink r:id="rId13" w:history="1">
            <w:proofErr w:type="spellStart"/>
            <w:r w:rsidRPr="005B7E46">
              <w:rPr>
                <w:rStyle w:val="Hypertextovodkaz"/>
                <w:rFonts w:asciiTheme="minorHAnsi" w:hAnsiTheme="minorHAnsi" w:cstheme="minorHAnsi"/>
                <w:color w:val="auto"/>
                <w:sz w:val="20"/>
                <w:szCs w:val="20"/>
              </w:rPr>
              <w:t>Facebook</w:t>
            </w:r>
            <w:proofErr w:type="spellEnd"/>
          </w:hyperlink>
          <w:r w:rsidR="005B7E46" w:rsidRPr="005B7E46">
            <w:rPr>
              <w:rStyle w:val="dn"/>
              <w:rFonts w:asciiTheme="minorHAnsi" w:hAnsiTheme="minorHAnsi" w:cstheme="minorHAnsi"/>
              <w:sz w:val="20"/>
              <w:szCs w:val="20"/>
            </w:rPr>
            <w:t xml:space="preserve">, </w:t>
          </w:r>
          <w:hyperlink r:id="rId14" w:history="1">
            <w:proofErr w:type="spellStart"/>
            <w:r w:rsidRPr="005B7E46">
              <w:rPr>
                <w:rStyle w:val="Hypertextovodkaz"/>
                <w:rFonts w:asciiTheme="minorHAnsi" w:hAnsiTheme="minorHAnsi" w:cstheme="minorHAnsi"/>
                <w:color w:val="auto"/>
                <w:sz w:val="20"/>
                <w:szCs w:val="20"/>
              </w:rPr>
              <w:t>LinkedIN</w:t>
            </w:r>
            <w:proofErr w:type="spellEnd"/>
          </w:hyperlink>
          <w:r w:rsidR="005B7E46" w:rsidRPr="005B7E46">
            <w:rPr>
              <w:rStyle w:val="dn"/>
              <w:rFonts w:asciiTheme="minorHAnsi" w:hAnsiTheme="minorHAnsi" w:cstheme="minorHAnsi"/>
              <w:sz w:val="20"/>
              <w:szCs w:val="20"/>
            </w:rPr>
            <w:t xml:space="preserve"> Broker Consulting, Twitter </w:t>
          </w:r>
          <w:r w:rsidR="005B7E46" w:rsidRPr="005B7E46">
            <w:rPr>
              <w:rFonts w:asciiTheme="minorHAnsi" w:hAnsiTheme="minorHAnsi" w:cstheme="minorHAnsi"/>
              <w:sz w:val="20"/>
              <w:szCs w:val="20"/>
              <w:shd w:val="clear" w:color="auto" w:fill="FFFFFF"/>
            </w:rPr>
            <w:t>@</w:t>
          </w:r>
          <w:proofErr w:type="spellStart"/>
          <w:r w:rsidR="005B7E46" w:rsidRPr="005B7E46">
            <w:rPr>
              <w:rFonts w:asciiTheme="minorHAnsi" w:hAnsiTheme="minorHAnsi" w:cstheme="minorHAnsi"/>
              <w:sz w:val="20"/>
              <w:szCs w:val="20"/>
              <w:shd w:val="clear" w:color="auto" w:fill="FFFFFF"/>
            </w:rPr>
            <w:t>BC_oficialni</w:t>
          </w:r>
          <w:proofErr w:type="spellEnd"/>
          <w:r w:rsidR="005B7E46" w:rsidRPr="005B7E46">
            <w:rPr>
              <w:rFonts w:asciiTheme="minorHAnsi" w:hAnsiTheme="minorHAnsi" w:cstheme="minorHAnsi"/>
              <w:sz w:val="20"/>
              <w:szCs w:val="20"/>
              <w:shd w:val="clear" w:color="auto" w:fill="FFFFFF"/>
            </w:rPr>
            <w:t xml:space="preserve">, </w:t>
          </w:r>
          <w:r w:rsidRPr="005B7E46">
            <w:rPr>
              <w:rStyle w:val="dn"/>
              <w:rFonts w:asciiTheme="minorHAnsi" w:hAnsiTheme="minorHAnsi" w:cstheme="minorHAnsi"/>
              <w:sz w:val="20"/>
              <w:szCs w:val="20"/>
            </w:rPr>
            <w:t xml:space="preserve"> </w:t>
          </w:r>
          <w:hyperlink r:id="rId15" w:history="1">
            <w:proofErr w:type="spellStart"/>
            <w:r w:rsidRPr="005B7E46">
              <w:rPr>
                <w:rStyle w:val="Hypertextovodkaz"/>
                <w:rFonts w:asciiTheme="minorHAnsi" w:hAnsiTheme="minorHAnsi" w:cstheme="minorHAnsi"/>
                <w:color w:val="auto"/>
                <w:sz w:val="20"/>
                <w:szCs w:val="20"/>
              </w:rPr>
              <w:t>Facebook</w:t>
            </w:r>
            <w:proofErr w:type="spellEnd"/>
          </w:hyperlink>
          <w:r w:rsidRPr="005B7E46">
            <w:rPr>
              <w:rStyle w:val="dn"/>
              <w:rFonts w:asciiTheme="minorHAnsi" w:hAnsiTheme="minorHAnsi" w:cstheme="minorHAnsi"/>
              <w:sz w:val="20"/>
              <w:szCs w:val="20"/>
            </w:rPr>
            <w:t xml:space="preserve"> a </w:t>
          </w:r>
          <w:hyperlink r:id="rId16" w:history="1">
            <w:proofErr w:type="spellStart"/>
            <w:r w:rsidRPr="005B7E46">
              <w:rPr>
                <w:rStyle w:val="Hypertextovodkaz"/>
                <w:rFonts w:asciiTheme="minorHAnsi" w:hAnsiTheme="minorHAnsi" w:cstheme="minorHAnsi"/>
                <w:color w:val="auto"/>
                <w:sz w:val="20"/>
                <w:szCs w:val="20"/>
              </w:rPr>
              <w:t>LinkedI</w:t>
            </w:r>
          </w:hyperlink>
          <w:r w:rsidRPr="005B7E46">
            <w:rPr>
              <w:rStyle w:val="Hypertextovodkaz"/>
              <w:rFonts w:asciiTheme="minorHAnsi" w:hAnsiTheme="minorHAnsi" w:cstheme="minorHAnsi"/>
              <w:color w:val="auto"/>
              <w:sz w:val="20"/>
              <w:szCs w:val="20"/>
            </w:rPr>
            <w:t>N</w:t>
          </w:r>
          <w:proofErr w:type="spellEnd"/>
          <w:r w:rsidR="00B2198E">
            <w:rPr>
              <w:rStyle w:val="dn"/>
              <w:rFonts w:asciiTheme="minorHAnsi" w:hAnsiTheme="minorHAnsi" w:cstheme="minorHAnsi"/>
              <w:sz w:val="20"/>
              <w:szCs w:val="20"/>
            </w:rPr>
            <w:t xml:space="preserve"> Broker Point Premium</w:t>
          </w:r>
          <w:r w:rsidRPr="005B7E46">
            <w:rPr>
              <w:rStyle w:val="dn"/>
              <w:rFonts w:asciiTheme="minorHAnsi" w:hAnsiTheme="minorHAnsi" w:cstheme="minorHAnsi"/>
              <w:sz w:val="20"/>
              <w:szCs w:val="20"/>
            </w:rPr>
            <w:t xml:space="preserve">. </w:t>
          </w:r>
        </w:p>
        <w:p w14:paraId="3F0EC976" w14:textId="3496D289" w:rsidR="00D80B6D" w:rsidRPr="006545F8" w:rsidRDefault="00D80B6D" w:rsidP="0068617E">
          <w:pPr>
            <w:pStyle w:val="Zkladntext"/>
            <w:jc w:val="both"/>
            <w:rPr>
              <w:rFonts w:ascii="Arial" w:hAnsi="Arial" w:cs="Arial"/>
              <w:sz w:val="20"/>
              <w:highlight w:val="yellow"/>
            </w:rPr>
            <w:sectPr w:rsidR="00D80B6D" w:rsidRPr="006545F8" w:rsidSect="00D80B6D">
              <w:headerReference w:type="even" r:id="rId17"/>
              <w:headerReference w:type="default" r:id="rId18"/>
              <w:footerReference w:type="even" r:id="rId19"/>
              <w:footerReference w:type="default" r:id="rId20"/>
              <w:headerReference w:type="first" r:id="rId21"/>
              <w:footerReference w:type="first" r:id="rId22"/>
              <w:pgSz w:w="11910" w:h="16840"/>
              <w:pgMar w:top="960" w:right="740" w:bottom="0" w:left="720" w:header="708" w:footer="708" w:gutter="0"/>
              <w:cols w:space="708"/>
            </w:sectPr>
          </w:pPr>
        </w:p>
        <w:p w14:paraId="4F038982" w14:textId="77777777" w:rsidR="00203BD4" w:rsidRDefault="00203BD4" w:rsidP="0025264B">
          <w:pPr>
            <w:rPr>
              <w:rFonts w:ascii="Arial" w:hAnsi="Arial" w:cs="Arial"/>
              <w:sz w:val="20"/>
              <w:szCs w:val="20"/>
              <w:highlight w:val="yellow"/>
            </w:rPr>
          </w:pPr>
        </w:p>
        <w:p w14:paraId="35539C65" w14:textId="06F0629B" w:rsidR="00D31127" w:rsidRPr="006545F8" w:rsidRDefault="00EF62DE" w:rsidP="0025264B">
          <w:pPr>
            <w:rPr>
              <w:rFonts w:ascii="Arial" w:hAnsi="Arial" w:cs="Arial"/>
              <w:sz w:val="20"/>
              <w:szCs w:val="20"/>
              <w:highlight w:val="yellow"/>
            </w:rPr>
            <w:sectPr w:rsidR="00D31127" w:rsidRPr="006545F8" w:rsidSect="00D80B6D">
              <w:headerReference w:type="even" r:id="rId23"/>
              <w:headerReference w:type="default" r:id="rId24"/>
              <w:footerReference w:type="even" r:id="rId25"/>
              <w:footerReference w:type="default" r:id="rId26"/>
              <w:headerReference w:type="first" r:id="rId27"/>
              <w:footerReference w:type="first" r:id="rId28"/>
              <w:pgSz w:w="11910" w:h="16840"/>
              <w:pgMar w:top="1418" w:right="740" w:bottom="420" w:left="720" w:header="340" w:footer="223" w:gutter="0"/>
              <w:pgNumType w:start="0"/>
              <w:cols w:space="708"/>
              <w:titlePg/>
              <w:docGrid w:linePitch="299"/>
            </w:sectPr>
          </w:pPr>
        </w:p>
      </w:sdtContent>
    </w:sdt>
    <w:p w14:paraId="305A0D43" w14:textId="56864EB3" w:rsidR="00EC65E8" w:rsidRDefault="007D6B5F" w:rsidP="00792A3B">
      <w:pPr>
        <w:pStyle w:val="Odstavecseseznamem"/>
        <w:ind w:left="720" w:firstLine="0"/>
        <w:jc w:val="center"/>
        <w:rPr>
          <w:rFonts w:asciiTheme="minorHAnsi" w:hAnsiTheme="minorHAnsi" w:cstheme="minorHAnsi"/>
          <w:b/>
          <w:sz w:val="24"/>
          <w:szCs w:val="24"/>
        </w:rPr>
      </w:pPr>
      <w:r>
        <w:rPr>
          <w:rFonts w:asciiTheme="minorHAnsi" w:hAnsiTheme="minorHAnsi" w:cstheme="minorHAnsi"/>
          <w:b/>
          <w:sz w:val="24"/>
          <w:szCs w:val="24"/>
        </w:rPr>
        <w:t>Počet žadatelů o hypoteční</w:t>
      </w:r>
      <w:r w:rsidR="00DC72C4">
        <w:rPr>
          <w:rFonts w:asciiTheme="minorHAnsi" w:hAnsiTheme="minorHAnsi" w:cstheme="minorHAnsi"/>
          <w:b/>
          <w:sz w:val="24"/>
          <w:szCs w:val="24"/>
        </w:rPr>
        <w:t xml:space="preserve"> úvěr se zdvojnásobil, sazby však</w:t>
      </w:r>
      <w:r>
        <w:rPr>
          <w:rFonts w:asciiTheme="minorHAnsi" w:hAnsiTheme="minorHAnsi" w:cstheme="minorHAnsi"/>
          <w:b/>
          <w:sz w:val="24"/>
          <w:szCs w:val="24"/>
        </w:rPr>
        <w:t xml:space="preserve"> klesají velmi pomalu</w:t>
      </w:r>
    </w:p>
    <w:p w14:paraId="7986094F" w14:textId="77777777" w:rsidR="00792A3B" w:rsidRPr="0017296F" w:rsidRDefault="00792A3B" w:rsidP="00792A3B">
      <w:pPr>
        <w:pStyle w:val="Odstavecseseznamem"/>
        <w:ind w:left="720" w:firstLine="0"/>
        <w:jc w:val="center"/>
        <w:rPr>
          <w:rFonts w:asciiTheme="minorHAnsi" w:hAnsiTheme="minorHAnsi" w:cstheme="minorHAnsi"/>
          <w:b/>
          <w:sz w:val="24"/>
          <w:szCs w:val="24"/>
        </w:rPr>
      </w:pPr>
    </w:p>
    <w:p w14:paraId="44B00A19" w14:textId="3C073FE8" w:rsidR="007D6B5F" w:rsidRPr="0004487D" w:rsidRDefault="007D6B5F" w:rsidP="00792A3B">
      <w:pPr>
        <w:pStyle w:val="Bezmezer"/>
        <w:numPr>
          <w:ilvl w:val="0"/>
          <w:numId w:val="14"/>
        </w:numPr>
        <w:ind w:left="714" w:hanging="357"/>
        <w:jc w:val="both"/>
        <w:rPr>
          <w:rFonts w:eastAsiaTheme="minorHAnsi" w:cstheme="minorHAnsi"/>
          <w:b/>
        </w:rPr>
      </w:pPr>
      <w:r w:rsidRPr="0004487D">
        <w:rPr>
          <w:rFonts w:eastAsiaTheme="minorHAnsi" w:cstheme="minorHAnsi"/>
          <w:b/>
        </w:rPr>
        <w:t>Průměrné sazby u hypoték klesaly i v dubnu, ustálily se na 5,25 procentech.</w:t>
      </w:r>
    </w:p>
    <w:p w14:paraId="7D2B8E9B" w14:textId="4A7673E5" w:rsidR="007D6B5F" w:rsidRPr="0004487D" w:rsidRDefault="007D6B5F" w:rsidP="00792A3B">
      <w:pPr>
        <w:pStyle w:val="Odstavecseseznamem"/>
        <w:numPr>
          <w:ilvl w:val="0"/>
          <w:numId w:val="14"/>
        </w:numPr>
        <w:ind w:left="714" w:hanging="357"/>
        <w:rPr>
          <w:rFonts w:asciiTheme="minorHAnsi" w:eastAsia="Times New Roman" w:hAnsiTheme="minorHAnsi" w:cstheme="minorHAnsi"/>
          <w:b/>
          <w:sz w:val="24"/>
          <w:szCs w:val="24"/>
        </w:rPr>
      </w:pPr>
      <w:r w:rsidRPr="0004487D">
        <w:rPr>
          <w:rFonts w:asciiTheme="minorHAnsi" w:eastAsia="Times New Roman" w:hAnsiTheme="minorHAnsi" w:cstheme="minorHAnsi"/>
          <w:b/>
          <w:color w:val="000000"/>
        </w:rPr>
        <w:t xml:space="preserve">Počet žadatelů o hypoteční úvěr </w:t>
      </w:r>
      <w:r w:rsidR="0004487D">
        <w:rPr>
          <w:rFonts w:asciiTheme="minorHAnsi" w:eastAsia="Times New Roman" w:hAnsiTheme="minorHAnsi" w:cstheme="minorHAnsi"/>
          <w:b/>
          <w:color w:val="000000"/>
        </w:rPr>
        <w:t xml:space="preserve">se </w:t>
      </w:r>
      <w:r w:rsidRPr="0004487D">
        <w:rPr>
          <w:rFonts w:asciiTheme="minorHAnsi" w:eastAsia="Times New Roman" w:hAnsiTheme="minorHAnsi" w:cstheme="minorHAnsi"/>
          <w:b/>
          <w:color w:val="000000"/>
        </w:rPr>
        <w:t>oproti loňsku téměř zdvojnásobil.</w:t>
      </w:r>
    </w:p>
    <w:p w14:paraId="664B849A" w14:textId="07FEC8D1" w:rsidR="007D6B5F" w:rsidRPr="0004487D" w:rsidRDefault="007D6B5F" w:rsidP="00792A3B">
      <w:pPr>
        <w:pStyle w:val="Odstavecseseznamem"/>
        <w:numPr>
          <w:ilvl w:val="0"/>
          <w:numId w:val="14"/>
        </w:numPr>
        <w:ind w:left="714" w:hanging="357"/>
        <w:rPr>
          <w:rFonts w:asciiTheme="minorHAnsi" w:eastAsia="Times New Roman" w:hAnsiTheme="minorHAnsi" w:cstheme="minorHAnsi"/>
          <w:b/>
          <w:sz w:val="24"/>
          <w:szCs w:val="24"/>
        </w:rPr>
      </w:pPr>
      <w:r w:rsidRPr="0004487D">
        <w:rPr>
          <w:rFonts w:asciiTheme="minorHAnsi" w:eastAsia="Times New Roman" w:hAnsiTheme="minorHAnsi" w:cstheme="minorHAnsi"/>
          <w:b/>
          <w:color w:val="000000"/>
        </w:rPr>
        <w:t>I rozdíl několika desetin v úrokové sazbě může znamenat měsíční úsporu v řádech tisíců.</w:t>
      </w:r>
    </w:p>
    <w:p w14:paraId="78878F7C" w14:textId="77777777" w:rsidR="00164598" w:rsidRPr="00500925" w:rsidRDefault="00164598" w:rsidP="00500925">
      <w:pPr>
        <w:jc w:val="both"/>
        <w:rPr>
          <w:rFonts w:asciiTheme="minorHAnsi" w:hAnsiTheme="minorHAnsi" w:cstheme="minorHAnsi"/>
          <w:b/>
          <w:i/>
        </w:rPr>
      </w:pPr>
    </w:p>
    <w:p w14:paraId="7AC0F24A" w14:textId="4ED1A232" w:rsidR="00530F68" w:rsidRPr="00792A3B" w:rsidRDefault="002B4265" w:rsidP="00500925">
      <w:pPr>
        <w:jc w:val="both"/>
        <w:rPr>
          <w:rFonts w:asciiTheme="minorHAnsi" w:hAnsiTheme="minorHAnsi" w:cstheme="minorHAnsi"/>
          <w:bCs/>
          <w:color w:val="000000" w:themeColor="text1"/>
          <w:sz w:val="21"/>
          <w:szCs w:val="21"/>
        </w:rPr>
      </w:pPr>
      <w:r w:rsidRPr="00792A3B">
        <w:rPr>
          <w:rFonts w:asciiTheme="minorHAnsi" w:hAnsiTheme="minorHAnsi" w:cstheme="minorHAnsi"/>
          <w:i/>
          <w:sz w:val="21"/>
          <w:szCs w:val="21"/>
        </w:rPr>
        <w:t xml:space="preserve">Praha, </w:t>
      </w:r>
      <w:r w:rsidR="00630DEE">
        <w:rPr>
          <w:rFonts w:asciiTheme="minorHAnsi" w:hAnsiTheme="minorHAnsi" w:cstheme="minorHAnsi"/>
          <w:i/>
          <w:sz w:val="21"/>
          <w:szCs w:val="21"/>
        </w:rPr>
        <w:t>2. května</w:t>
      </w:r>
      <w:bookmarkStart w:id="0" w:name="_GoBack"/>
      <w:bookmarkEnd w:id="0"/>
      <w:r w:rsidR="00241DC1" w:rsidRPr="00792A3B">
        <w:rPr>
          <w:rFonts w:asciiTheme="minorHAnsi" w:hAnsiTheme="minorHAnsi" w:cstheme="minorHAnsi"/>
          <w:i/>
          <w:sz w:val="21"/>
          <w:szCs w:val="21"/>
        </w:rPr>
        <w:t xml:space="preserve"> </w:t>
      </w:r>
      <w:r w:rsidR="000878FB" w:rsidRPr="00792A3B">
        <w:rPr>
          <w:rFonts w:asciiTheme="minorHAnsi" w:hAnsiTheme="minorHAnsi" w:cstheme="minorHAnsi"/>
          <w:i/>
          <w:sz w:val="21"/>
          <w:szCs w:val="21"/>
        </w:rPr>
        <w:t>2024</w:t>
      </w:r>
      <w:r w:rsidR="000878FB" w:rsidRPr="00792A3B">
        <w:rPr>
          <w:rFonts w:asciiTheme="minorHAnsi" w:hAnsiTheme="minorHAnsi" w:cstheme="minorHAnsi"/>
          <w:b/>
          <w:i/>
          <w:sz w:val="21"/>
          <w:szCs w:val="21"/>
        </w:rPr>
        <w:t xml:space="preserve"> </w:t>
      </w:r>
      <w:r w:rsidR="00281DB8" w:rsidRPr="00792A3B">
        <w:rPr>
          <w:rFonts w:asciiTheme="minorHAnsi" w:hAnsiTheme="minorHAnsi" w:cstheme="minorHAnsi"/>
          <w:b/>
          <w:i/>
          <w:sz w:val="21"/>
          <w:szCs w:val="21"/>
        </w:rPr>
        <w:t>–</w:t>
      </w:r>
      <w:r w:rsidR="00E92775" w:rsidRPr="00792A3B">
        <w:rPr>
          <w:rFonts w:asciiTheme="minorHAnsi" w:hAnsiTheme="minorHAnsi" w:cstheme="minorHAnsi"/>
          <w:b/>
          <w:sz w:val="21"/>
          <w:szCs w:val="21"/>
        </w:rPr>
        <w:t xml:space="preserve"> </w:t>
      </w:r>
      <w:r w:rsidR="007D6B5F" w:rsidRPr="00792A3B">
        <w:rPr>
          <w:rFonts w:asciiTheme="minorHAnsi" w:hAnsiTheme="minorHAnsi" w:cstheme="minorHAnsi"/>
          <w:b/>
          <w:bCs/>
          <w:color w:val="000000" w:themeColor="text1"/>
          <w:sz w:val="21"/>
          <w:szCs w:val="21"/>
        </w:rPr>
        <w:t>Broker Consulting Index hypotečních úvěrů dosáhl v dub</w:t>
      </w:r>
      <w:r w:rsidR="0004487D" w:rsidRPr="00792A3B">
        <w:rPr>
          <w:rFonts w:asciiTheme="minorHAnsi" w:hAnsiTheme="minorHAnsi" w:cstheme="minorHAnsi"/>
          <w:b/>
          <w:bCs/>
          <w:color w:val="000000" w:themeColor="text1"/>
          <w:sz w:val="21"/>
          <w:szCs w:val="21"/>
        </w:rPr>
        <w:t>nu hodnoty 5,25 procenta a klesl</w:t>
      </w:r>
      <w:r w:rsidR="007D6B5F" w:rsidRPr="00792A3B">
        <w:rPr>
          <w:rFonts w:asciiTheme="minorHAnsi" w:hAnsiTheme="minorHAnsi" w:cstheme="minorHAnsi"/>
          <w:b/>
          <w:bCs/>
          <w:color w:val="000000" w:themeColor="text1"/>
          <w:sz w:val="21"/>
          <w:szCs w:val="21"/>
        </w:rPr>
        <w:t xml:space="preserve"> již po páté v řadě.</w:t>
      </w:r>
      <w:r w:rsidR="00530F68" w:rsidRPr="00792A3B">
        <w:rPr>
          <w:rFonts w:asciiTheme="minorHAnsi" w:hAnsiTheme="minorHAnsi" w:cstheme="minorHAnsi"/>
          <w:b/>
          <w:bCs/>
          <w:color w:val="000000" w:themeColor="text1"/>
          <w:sz w:val="21"/>
          <w:szCs w:val="21"/>
        </w:rPr>
        <w:t xml:space="preserve"> I přes</w:t>
      </w:r>
      <w:r w:rsidR="00576F5E" w:rsidRPr="00792A3B">
        <w:rPr>
          <w:rFonts w:asciiTheme="minorHAnsi" w:hAnsiTheme="minorHAnsi" w:cstheme="minorHAnsi"/>
          <w:b/>
          <w:bCs/>
          <w:color w:val="000000" w:themeColor="text1"/>
          <w:sz w:val="21"/>
          <w:szCs w:val="21"/>
        </w:rPr>
        <w:t xml:space="preserve"> opětovné snižování</w:t>
      </w:r>
      <w:r w:rsidR="00530F68" w:rsidRPr="00792A3B">
        <w:rPr>
          <w:rFonts w:asciiTheme="minorHAnsi" w:hAnsiTheme="minorHAnsi" w:cstheme="minorHAnsi"/>
          <w:b/>
          <w:bCs/>
          <w:color w:val="000000" w:themeColor="text1"/>
          <w:sz w:val="21"/>
          <w:szCs w:val="21"/>
        </w:rPr>
        <w:t xml:space="preserve"> základních sazeb Českou národní bankou klesají od začátku roku úrokové sazby jen velmi pomalu. Na konci loňského roku se průměrná hodnota úrokových sazeb pohybovala okolo 5,71 procent, nyní evidujeme oproti této hodnotě pokles o </w:t>
      </w:r>
      <w:r w:rsidR="00D639EE" w:rsidRPr="00792A3B">
        <w:rPr>
          <w:rFonts w:asciiTheme="minorHAnsi" w:hAnsiTheme="minorHAnsi" w:cstheme="minorHAnsi"/>
          <w:b/>
          <w:bCs/>
          <w:color w:val="000000" w:themeColor="text1"/>
          <w:sz w:val="21"/>
          <w:szCs w:val="21"/>
        </w:rPr>
        <w:t>0,46 procentního bodu. I toto snížení je však pro zájemce o hypoteční úvěr velmi významné, neboť i rozdíl několika desetin v úrokové sazbě může znamenat úspory v řádech tisíců.</w:t>
      </w:r>
    </w:p>
    <w:p w14:paraId="0D8B9CBD" w14:textId="37991027" w:rsidR="00D76337" w:rsidRPr="00792A3B" w:rsidRDefault="00D639EE" w:rsidP="00792A3B">
      <w:pPr>
        <w:spacing w:before="120" w:after="120"/>
        <w:ind w:right="40"/>
        <w:jc w:val="both"/>
        <w:rPr>
          <w:rFonts w:asciiTheme="minorHAnsi" w:hAnsiTheme="minorHAnsi" w:cstheme="minorHAnsi"/>
          <w:bCs/>
          <w:sz w:val="21"/>
          <w:szCs w:val="21"/>
        </w:rPr>
      </w:pPr>
      <w:r w:rsidRPr="00792A3B">
        <w:rPr>
          <w:rFonts w:asciiTheme="minorHAnsi" w:eastAsia="Times New Roman" w:hAnsiTheme="minorHAnsi" w:cstheme="minorHAnsi"/>
          <w:i/>
          <w:color w:val="000000"/>
          <w:sz w:val="21"/>
          <w:szCs w:val="21"/>
        </w:rPr>
        <w:t>„I díky tomu</w:t>
      </w:r>
      <w:r w:rsidR="0004487D" w:rsidRPr="00792A3B">
        <w:rPr>
          <w:rFonts w:asciiTheme="minorHAnsi" w:eastAsia="Times New Roman" w:hAnsiTheme="minorHAnsi" w:cstheme="minorHAnsi"/>
          <w:i/>
          <w:color w:val="000000"/>
          <w:sz w:val="21"/>
          <w:szCs w:val="21"/>
        </w:rPr>
        <w:t>to</w:t>
      </w:r>
      <w:r w:rsidRPr="00792A3B">
        <w:rPr>
          <w:rFonts w:asciiTheme="minorHAnsi" w:eastAsia="Times New Roman" w:hAnsiTheme="minorHAnsi" w:cstheme="minorHAnsi"/>
          <w:i/>
          <w:color w:val="000000"/>
          <w:sz w:val="21"/>
          <w:szCs w:val="21"/>
        </w:rPr>
        <w:t xml:space="preserve"> faktu </w:t>
      </w:r>
      <w:r w:rsidR="00576F5E" w:rsidRPr="00792A3B">
        <w:rPr>
          <w:rFonts w:asciiTheme="minorHAnsi" w:eastAsia="Times New Roman" w:hAnsiTheme="minorHAnsi" w:cstheme="minorHAnsi"/>
          <w:i/>
          <w:color w:val="000000"/>
          <w:sz w:val="21"/>
          <w:szCs w:val="21"/>
        </w:rPr>
        <w:t>opět stoupá objem</w:t>
      </w:r>
      <w:r w:rsidRPr="00792A3B">
        <w:rPr>
          <w:rFonts w:asciiTheme="minorHAnsi" w:eastAsia="Times New Roman" w:hAnsiTheme="minorHAnsi" w:cstheme="minorHAnsi"/>
          <w:i/>
          <w:color w:val="000000"/>
          <w:sz w:val="21"/>
          <w:szCs w:val="21"/>
        </w:rPr>
        <w:t xml:space="preserve"> poskytovaný</w:t>
      </w:r>
      <w:r w:rsidR="00576F5E" w:rsidRPr="00792A3B">
        <w:rPr>
          <w:rFonts w:asciiTheme="minorHAnsi" w:eastAsia="Times New Roman" w:hAnsiTheme="minorHAnsi" w:cstheme="minorHAnsi"/>
          <w:i/>
          <w:color w:val="000000"/>
          <w:sz w:val="21"/>
          <w:szCs w:val="21"/>
        </w:rPr>
        <w:t>ch hypotečních úvěrů</w:t>
      </w:r>
      <w:r w:rsidRPr="00792A3B">
        <w:rPr>
          <w:rFonts w:asciiTheme="minorHAnsi" w:eastAsia="Times New Roman" w:hAnsiTheme="minorHAnsi" w:cstheme="minorHAnsi"/>
          <w:i/>
          <w:color w:val="000000"/>
          <w:sz w:val="21"/>
          <w:szCs w:val="21"/>
        </w:rPr>
        <w:t>. Počet žadatelů se oproti stejnému období v loňském roce téměř zdvojnásobil.</w:t>
      </w:r>
      <w:r w:rsidRPr="00792A3B">
        <w:rPr>
          <w:rFonts w:asciiTheme="minorHAnsi" w:eastAsia="Times New Roman" w:hAnsiTheme="minorHAnsi" w:cstheme="minorHAnsi"/>
          <w:i/>
          <w:sz w:val="21"/>
          <w:szCs w:val="21"/>
        </w:rPr>
        <w:t xml:space="preserve"> </w:t>
      </w:r>
      <w:r w:rsidRPr="00792A3B">
        <w:rPr>
          <w:rFonts w:asciiTheme="minorHAnsi" w:eastAsia="Times New Roman" w:hAnsiTheme="minorHAnsi" w:cstheme="minorHAnsi"/>
          <w:i/>
          <w:color w:val="000000"/>
          <w:sz w:val="21"/>
          <w:szCs w:val="21"/>
        </w:rPr>
        <w:t>S</w:t>
      </w:r>
      <w:r w:rsidR="00576F5E" w:rsidRPr="00792A3B">
        <w:rPr>
          <w:rFonts w:asciiTheme="minorHAnsi" w:eastAsia="Times New Roman" w:hAnsiTheme="minorHAnsi" w:cstheme="minorHAnsi"/>
          <w:i/>
          <w:color w:val="000000"/>
          <w:sz w:val="21"/>
          <w:szCs w:val="21"/>
        </w:rPr>
        <w:t>nížení úrokových</w:t>
      </w:r>
      <w:r w:rsidRPr="00792A3B">
        <w:rPr>
          <w:rFonts w:asciiTheme="minorHAnsi" w:eastAsia="Times New Roman" w:hAnsiTheme="minorHAnsi" w:cstheme="minorHAnsi"/>
          <w:i/>
          <w:color w:val="000000"/>
          <w:sz w:val="21"/>
          <w:szCs w:val="21"/>
        </w:rPr>
        <w:t xml:space="preserve"> sazeb</w:t>
      </w:r>
      <w:r w:rsidR="00576F5E" w:rsidRPr="00792A3B">
        <w:rPr>
          <w:rFonts w:asciiTheme="minorHAnsi" w:eastAsia="Times New Roman" w:hAnsiTheme="minorHAnsi" w:cstheme="minorHAnsi"/>
          <w:i/>
          <w:color w:val="000000"/>
          <w:sz w:val="21"/>
          <w:szCs w:val="21"/>
        </w:rPr>
        <w:t>,</w:t>
      </w:r>
      <w:r w:rsidRPr="00792A3B">
        <w:rPr>
          <w:rFonts w:asciiTheme="minorHAnsi" w:eastAsia="Times New Roman" w:hAnsiTheme="minorHAnsi" w:cstheme="minorHAnsi"/>
          <w:i/>
          <w:color w:val="000000"/>
          <w:sz w:val="21"/>
          <w:szCs w:val="21"/>
        </w:rPr>
        <w:t xml:space="preserve"> </w:t>
      </w:r>
      <w:r w:rsidR="00576F5E" w:rsidRPr="00792A3B">
        <w:rPr>
          <w:rFonts w:asciiTheme="minorHAnsi" w:eastAsia="Times New Roman" w:hAnsiTheme="minorHAnsi" w:cstheme="minorHAnsi"/>
          <w:i/>
          <w:color w:val="000000"/>
          <w:sz w:val="21"/>
          <w:szCs w:val="21"/>
        </w:rPr>
        <w:t xml:space="preserve">byť v řádech desetin, může </w:t>
      </w:r>
      <w:r w:rsidRPr="00792A3B">
        <w:rPr>
          <w:rFonts w:asciiTheme="minorHAnsi" w:eastAsia="Times New Roman" w:hAnsiTheme="minorHAnsi" w:cstheme="minorHAnsi"/>
          <w:i/>
          <w:color w:val="000000"/>
          <w:sz w:val="21"/>
          <w:szCs w:val="21"/>
        </w:rPr>
        <w:t>klient</w:t>
      </w:r>
      <w:r w:rsidR="00576F5E" w:rsidRPr="00792A3B">
        <w:rPr>
          <w:rFonts w:asciiTheme="minorHAnsi" w:eastAsia="Times New Roman" w:hAnsiTheme="minorHAnsi" w:cstheme="minorHAnsi"/>
          <w:i/>
          <w:color w:val="000000"/>
          <w:sz w:val="21"/>
          <w:szCs w:val="21"/>
        </w:rPr>
        <w:t>ům ušetřit nemalé částky,“</w:t>
      </w:r>
      <w:r w:rsidR="00576F5E" w:rsidRPr="00792A3B">
        <w:rPr>
          <w:rFonts w:asciiTheme="minorHAnsi" w:eastAsia="Times New Roman" w:hAnsiTheme="minorHAnsi" w:cstheme="minorHAnsi"/>
          <w:color w:val="000000"/>
          <w:sz w:val="21"/>
          <w:szCs w:val="21"/>
        </w:rPr>
        <w:t xml:space="preserve"> </w:t>
      </w:r>
      <w:r w:rsidR="00576F5E" w:rsidRPr="00792A3B">
        <w:rPr>
          <w:rFonts w:asciiTheme="minorHAnsi" w:eastAsia="Times New Roman" w:hAnsiTheme="minorHAnsi" w:cstheme="minorHAnsi"/>
          <w:sz w:val="21"/>
          <w:szCs w:val="21"/>
        </w:rPr>
        <w:t xml:space="preserve">uvádí </w:t>
      </w:r>
      <w:r w:rsidR="00576F5E" w:rsidRPr="00792A3B">
        <w:rPr>
          <w:rFonts w:asciiTheme="minorHAnsi" w:hAnsiTheme="minorHAnsi" w:cstheme="minorHAnsi"/>
          <w:b/>
          <w:sz w:val="21"/>
          <w:szCs w:val="21"/>
        </w:rPr>
        <w:t>Michaela Pudilová, analytička hypotečních a spotřebitelských úvěrů ze společnosti Broker Consulting.</w:t>
      </w:r>
      <w:r w:rsidR="00576F5E" w:rsidRPr="00792A3B">
        <w:rPr>
          <w:rFonts w:asciiTheme="minorHAnsi" w:hAnsiTheme="minorHAnsi" w:cstheme="minorHAnsi"/>
          <w:bCs/>
          <w:sz w:val="21"/>
          <w:szCs w:val="21"/>
        </w:rPr>
        <w:t xml:space="preserve"> </w:t>
      </w:r>
    </w:p>
    <w:p w14:paraId="1A58422C" w14:textId="50BCC754" w:rsidR="00D71C06" w:rsidRPr="00792A3B" w:rsidRDefault="001E13C0" w:rsidP="00E569BC">
      <w:pPr>
        <w:jc w:val="both"/>
        <w:rPr>
          <w:rFonts w:asciiTheme="minorHAnsi" w:hAnsiTheme="minorHAnsi" w:cstheme="minorHAnsi"/>
          <w:b/>
          <w:sz w:val="21"/>
          <w:szCs w:val="21"/>
        </w:rPr>
      </w:pPr>
      <w:r w:rsidRPr="00792A3B">
        <w:rPr>
          <w:rFonts w:asciiTheme="minorHAnsi" w:hAnsiTheme="minorHAnsi" w:cstheme="minorHAnsi"/>
          <w:bCs/>
          <w:color w:val="000000" w:themeColor="text1"/>
          <w:sz w:val="21"/>
          <w:szCs w:val="21"/>
        </w:rPr>
        <w:t>Průměrná nabídková sazba hypoték</w:t>
      </w:r>
      <w:r w:rsidR="0004487D" w:rsidRPr="00792A3B">
        <w:rPr>
          <w:rFonts w:asciiTheme="minorHAnsi" w:hAnsiTheme="minorHAnsi" w:cstheme="minorHAnsi"/>
          <w:bCs/>
          <w:color w:val="000000" w:themeColor="text1"/>
          <w:sz w:val="21"/>
          <w:szCs w:val="21"/>
        </w:rPr>
        <w:t xml:space="preserve"> v dubnu</w:t>
      </w:r>
      <w:r w:rsidRPr="00792A3B">
        <w:rPr>
          <w:rFonts w:asciiTheme="minorHAnsi" w:hAnsiTheme="minorHAnsi" w:cstheme="minorHAnsi"/>
          <w:bCs/>
          <w:color w:val="000000" w:themeColor="text1"/>
          <w:sz w:val="21"/>
          <w:szCs w:val="21"/>
        </w:rPr>
        <w:t xml:space="preserve"> klesla </w:t>
      </w:r>
      <w:r w:rsidR="0004487D" w:rsidRPr="00792A3B">
        <w:rPr>
          <w:rFonts w:asciiTheme="minorHAnsi" w:hAnsiTheme="minorHAnsi" w:cstheme="minorHAnsi"/>
          <w:bCs/>
          <w:color w:val="000000" w:themeColor="text1"/>
          <w:sz w:val="21"/>
          <w:szCs w:val="21"/>
        </w:rPr>
        <w:t>oproti předchozímu měsíci</w:t>
      </w:r>
      <w:r w:rsidRPr="00792A3B">
        <w:rPr>
          <w:rFonts w:asciiTheme="minorHAnsi" w:hAnsiTheme="minorHAnsi" w:cstheme="minorHAnsi"/>
          <w:bCs/>
          <w:color w:val="000000" w:themeColor="text1"/>
          <w:sz w:val="21"/>
          <w:szCs w:val="21"/>
        </w:rPr>
        <w:t xml:space="preserve"> (5,34 procent) o 0,09 procentního bodu a zastavila se na hodnotě 5,25 procent.</w:t>
      </w:r>
      <w:r w:rsidR="00F13B2F" w:rsidRPr="00792A3B">
        <w:rPr>
          <w:rFonts w:asciiTheme="minorHAnsi" w:hAnsiTheme="minorHAnsi" w:cstheme="minorHAnsi"/>
          <w:bCs/>
          <w:color w:val="000000" w:themeColor="text1"/>
          <w:sz w:val="21"/>
          <w:szCs w:val="21"/>
        </w:rPr>
        <w:t xml:space="preserve"> I přesto, že Česká národní banka snížila v březnu základní </w:t>
      </w:r>
      <w:proofErr w:type="spellStart"/>
      <w:r w:rsidR="00F13B2F" w:rsidRPr="00792A3B">
        <w:rPr>
          <w:rFonts w:asciiTheme="minorHAnsi" w:hAnsiTheme="minorHAnsi" w:cstheme="minorHAnsi"/>
          <w:bCs/>
          <w:color w:val="000000" w:themeColor="text1"/>
          <w:sz w:val="21"/>
          <w:szCs w:val="21"/>
        </w:rPr>
        <w:t>repo</w:t>
      </w:r>
      <w:proofErr w:type="spellEnd"/>
      <w:r w:rsidR="00F13B2F" w:rsidRPr="00792A3B">
        <w:rPr>
          <w:rFonts w:asciiTheme="minorHAnsi" w:hAnsiTheme="minorHAnsi" w:cstheme="minorHAnsi"/>
          <w:bCs/>
          <w:color w:val="000000" w:themeColor="text1"/>
          <w:sz w:val="21"/>
          <w:szCs w:val="21"/>
        </w:rPr>
        <w:t xml:space="preserve"> sazbu o pět deseti</w:t>
      </w:r>
      <w:r w:rsidR="0004487D" w:rsidRPr="00792A3B">
        <w:rPr>
          <w:rFonts w:asciiTheme="minorHAnsi" w:hAnsiTheme="minorHAnsi" w:cstheme="minorHAnsi"/>
          <w:bCs/>
          <w:color w:val="000000" w:themeColor="text1"/>
          <w:sz w:val="21"/>
          <w:szCs w:val="21"/>
        </w:rPr>
        <w:t>n</w:t>
      </w:r>
      <w:r w:rsidR="00F13B2F" w:rsidRPr="00792A3B">
        <w:rPr>
          <w:rFonts w:asciiTheme="minorHAnsi" w:hAnsiTheme="minorHAnsi" w:cstheme="minorHAnsi"/>
          <w:bCs/>
          <w:color w:val="000000" w:themeColor="text1"/>
          <w:sz w:val="21"/>
          <w:szCs w:val="21"/>
        </w:rPr>
        <w:t xml:space="preserve"> procentního bodu, došlo,</w:t>
      </w:r>
      <w:r w:rsidRPr="00792A3B">
        <w:rPr>
          <w:rFonts w:asciiTheme="minorHAnsi" w:hAnsiTheme="minorHAnsi" w:cstheme="minorHAnsi"/>
          <w:bCs/>
          <w:color w:val="000000" w:themeColor="text1"/>
          <w:sz w:val="21"/>
          <w:szCs w:val="21"/>
        </w:rPr>
        <w:t xml:space="preserve"> </w:t>
      </w:r>
      <w:r w:rsidR="00F13B2F" w:rsidRPr="00792A3B">
        <w:rPr>
          <w:rFonts w:asciiTheme="minorHAnsi" w:hAnsiTheme="minorHAnsi" w:cstheme="minorHAnsi"/>
          <w:bCs/>
          <w:color w:val="000000" w:themeColor="text1"/>
          <w:sz w:val="21"/>
          <w:szCs w:val="21"/>
        </w:rPr>
        <w:t>z</w:t>
      </w:r>
      <w:r w:rsidR="0004487D" w:rsidRPr="00792A3B">
        <w:rPr>
          <w:rFonts w:asciiTheme="minorHAnsi" w:hAnsiTheme="minorHAnsi" w:cstheme="minorHAnsi"/>
          <w:bCs/>
          <w:color w:val="000000" w:themeColor="text1"/>
          <w:sz w:val="21"/>
          <w:szCs w:val="21"/>
        </w:rPr>
        <w:t>e strany poskytovatelů hypotečních úvěrů</w:t>
      </w:r>
      <w:r w:rsidR="00F13B2F" w:rsidRPr="00792A3B">
        <w:rPr>
          <w:rFonts w:asciiTheme="minorHAnsi" w:hAnsiTheme="minorHAnsi" w:cstheme="minorHAnsi"/>
          <w:bCs/>
          <w:color w:val="000000" w:themeColor="text1"/>
          <w:sz w:val="21"/>
          <w:szCs w:val="21"/>
        </w:rPr>
        <w:t>,</w:t>
      </w:r>
      <w:r w:rsidRPr="00792A3B">
        <w:rPr>
          <w:rFonts w:asciiTheme="minorHAnsi" w:hAnsiTheme="minorHAnsi" w:cstheme="minorHAnsi"/>
          <w:bCs/>
          <w:color w:val="000000" w:themeColor="text1"/>
          <w:sz w:val="21"/>
          <w:szCs w:val="21"/>
        </w:rPr>
        <w:t xml:space="preserve"> </w:t>
      </w:r>
      <w:r w:rsidR="00F13B2F" w:rsidRPr="00792A3B">
        <w:rPr>
          <w:rFonts w:asciiTheme="minorHAnsi" w:hAnsiTheme="minorHAnsi" w:cstheme="minorHAnsi"/>
          <w:bCs/>
          <w:color w:val="000000" w:themeColor="text1"/>
          <w:sz w:val="21"/>
          <w:szCs w:val="21"/>
        </w:rPr>
        <w:t>k velmi mírnému snížení základních úrokových zazeb. Ty v lednu startovaly</w:t>
      </w:r>
      <w:r w:rsidR="0004487D" w:rsidRPr="00792A3B">
        <w:rPr>
          <w:rFonts w:asciiTheme="minorHAnsi" w:hAnsiTheme="minorHAnsi" w:cstheme="minorHAnsi"/>
          <w:bCs/>
          <w:color w:val="000000" w:themeColor="text1"/>
          <w:sz w:val="21"/>
          <w:szCs w:val="21"/>
        </w:rPr>
        <w:t>,</w:t>
      </w:r>
      <w:r w:rsidR="00F13B2F" w:rsidRPr="00792A3B">
        <w:rPr>
          <w:rFonts w:asciiTheme="minorHAnsi" w:hAnsiTheme="minorHAnsi" w:cstheme="minorHAnsi"/>
          <w:bCs/>
          <w:color w:val="000000" w:themeColor="text1"/>
          <w:sz w:val="21"/>
          <w:szCs w:val="21"/>
        </w:rPr>
        <w:t xml:space="preserve"> podle dat Broker Consulting Indexu</w:t>
      </w:r>
      <w:r w:rsidR="0004487D" w:rsidRPr="00792A3B">
        <w:rPr>
          <w:rFonts w:asciiTheme="minorHAnsi" w:hAnsiTheme="minorHAnsi" w:cstheme="minorHAnsi"/>
          <w:bCs/>
          <w:color w:val="000000" w:themeColor="text1"/>
          <w:sz w:val="21"/>
          <w:szCs w:val="21"/>
        </w:rPr>
        <w:t>,</w:t>
      </w:r>
      <w:r w:rsidR="00F13B2F" w:rsidRPr="00792A3B">
        <w:rPr>
          <w:rFonts w:asciiTheme="minorHAnsi" w:hAnsiTheme="minorHAnsi" w:cstheme="minorHAnsi"/>
          <w:bCs/>
          <w:color w:val="000000" w:themeColor="text1"/>
          <w:sz w:val="21"/>
          <w:szCs w:val="21"/>
        </w:rPr>
        <w:t xml:space="preserve"> na </w:t>
      </w:r>
      <w:r w:rsidR="0004487D" w:rsidRPr="00792A3B">
        <w:rPr>
          <w:rFonts w:asciiTheme="minorHAnsi" w:hAnsiTheme="minorHAnsi" w:cstheme="minorHAnsi"/>
          <w:bCs/>
          <w:color w:val="000000" w:themeColor="text1"/>
          <w:sz w:val="21"/>
          <w:szCs w:val="21"/>
        </w:rPr>
        <w:t>hodnotě 5,62 procent, v únory se snížily  na 5,53 procent a v březnu pak klesly na výše zmíněných 5,34 procent. Poklesl také předstihový ukazatel</w:t>
      </w:r>
      <w:r w:rsidR="0004487D" w:rsidRPr="00792A3B">
        <w:rPr>
          <w:rFonts w:asciiTheme="minorHAnsi" w:hAnsiTheme="minorHAnsi" w:cstheme="minorHAnsi"/>
          <w:sz w:val="21"/>
          <w:szCs w:val="21"/>
        </w:rPr>
        <w:t xml:space="preserve"> Broker Consulting Indexu hypotečních úvěrů, který na měsíc květen předpovídá hodnotu 5,34 procenta.</w:t>
      </w:r>
    </w:p>
    <w:p w14:paraId="37E763E8" w14:textId="3812A42D" w:rsidR="00756671" w:rsidRDefault="00D71C06" w:rsidP="000D6E9B">
      <w:pPr>
        <w:jc w:val="both"/>
        <w:rPr>
          <w:rFonts w:asciiTheme="minorHAnsi" w:hAnsiTheme="minorHAnsi" w:cstheme="minorHAnsi"/>
          <w:b/>
        </w:rPr>
      </w:pPr>
      <w:r w:rsidRPr="009808FE">
        <w:rPr>
          <w:rFonts w:asciiTheme="minorHAnsi" w:hAnsiTheme="minorHAnsi" w:cstheme="minorHAnsi"/>
          <w:bCs/>
          <w:color w:val="000000" w:themeColor="text1"/>
        </w:rPr>
        <w:t xml:space="preserve"> </w:t>
      </w:r>
      <w:r w:rsidR="005B2E22">
        <w:rPr>
          <w:rFonts w:asciiTheme="minorHAnsi" w:hAnsiTheme="minorHAnsi" w:cstheme="minorHAnsi"/>
          <w:b/>
          <w:noProof/>
          <w:lang w:bidi="ar-SA"/>
        </w:rPr>
        <w:drawing>
          <wp:inline distT="0" distB="0" distL="0" distR="0" wp14:anchorId="4A6975B7" wp14:editId="55053EC3">
            <wp:extent cx="6635750" cy="2929890"/>
            <wp:effectExtent l="0" t="0" r="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png"/>
                    <pic:cNvPicPr/>
                  </pic:nvPicPr>
                  <pic:blipFill>
                    <a:blip r:embed="rId29">
                      <a:extLst>
                        <a:ext uri="{28A0092B-C50C-407E-A947-70E740481C1C}">
                          <a14:useLocalDpi xmlns:a14="http://schemas.microsoft.com/office/drawing/2010/main" val="0"/>
                        </a:ext>
                      </a:extLst>
                    </a:blip>
                    <a:stretch>
                      <a:fillRect/>
                    </a:stretch>
                  </pic:blipFill>
                  <pic:spPr>
                    <a:xfrm>
                      <a:off x="0" y="0"/>
                      <a:ext cx="6635750" cy="2929890"/>
                    </a:xfrm>
                    <a:prstGeom prst="rect">
                      <a:avLst/>
                    </a:prstGeom>
                  </pic:spPr>
                </pic:pic>
              </a:graphicData>
            </a:graphic>
          </wp:inline>
        </w:drawing>
      </w:r>
    </w:p>
    <w:p w14:paraId="3E312033" w14:textId="77777777" w:rsidR="000D6E9B" w:rsidRPr="000D6E9B" w:rsidRDefault="000D6E9B" w:rsidP="000D6E9B">
      <w:pPr>
        <w:jc w:val="both"/>
        <w:rPr>
          <w:rFonts w:asciiTheme="minorHAnsi" w:hAnsiTheme="minorHAnsi" w:cstheme="minorHAnsi"/>
          <w:b/>
        </w:rPr>
      </w:pPr>
    </w:p>
    <w:p w14:paraId="29FACE2A" w14:textId="7DAD13CC" w:rsidR="007540ED" w:rsidRPr="00792A3B" w:rsidRDefault="000D6E9B" w:rsidP="00B85CBF">
      <w:pPr>
        <w:spacing w:after="120"/>
        <w:jc w:val="both"/>
        <w:rPr>
          <w:rFonts w:asciiTheme="minorHAnsi" w:hAnsiTheme="minorHAnsi" w:cstheme="minorHAnsi"/>
          <w:b/>
          <w:sz w:val="21"/>
          <w:szCs w:val="21"/>
        </w:rPr>
      </w:pPr>
      <w:r w:rsidRPr="00792A3B">
        <w:rPr>
          <w:rFonts w:asciiTheme="minorHAnsi" w:hAnsiTheme="minorHAnsi" w:cstheme="minorHAnsi"/>
          <w:b/>
          <w:sz w:val="21"/>
          <w:szCs w:val="21"/>
        </w:rPr>
        <w:t>A jak vypadá zmíněné snížení v praxi?</w:t>
      </w:r>
    </w:p>
    <w:p w14:paraId="44F88B03" w14:textId="4FE878D0" w:rsidR="000D6E9B" w:rsidRPr="00792A3B" w:rsidRDefault="000D6E9B" w:rsidP="00DC72C4">
      <w:pPr>
        <w:jc w:val="both"/>
        <w:rPr>
          <w:rFonts w:asciiTheme="minorHAnsi" w:eastAsia="Times New Roman" w:hAnsiTheme="minorHAnsi" w:cstheme="minorHAnsi"/>
          <w:i/>
          <w:color w:val="000000"/>
          <w:sz w:val="21"/>
          <w:szCs w:val="21"/>
        </w:rPr>
      </w:pPr>
      <w:r w:rsidRPr="00792A3B">
        <w:rPr>
          <w:rFonts w:asciiTheme="minorHAnsi" w:eastAsia="Times New Roman" w:hAnsiTheme="minorHAnsi" w:cstheme="minorHAnsi"/>
          <w:color w:val="000000"/>
          <w:sz w:val="21"/>
          <w:szCs w:val="21"/>
        </w:rPr>
        <w:t>Pro mnoho zájemců o hypotéku je naprosto zásadní, jakou čá</w:t>
      </w:r>
      <w:r w:rsidR="0063253B" w:rsidRPr="00792A3B">
        <w:rPr>
          <w:rFonts w:asciiTheme="minorHAnsi" w:eastAsia="Times New Roman" w:hAnsiTheme="minorHAnsi" w:cstheme="minorHAnsi"/>
          <w:color w:val="000000"/>
          <w:sz w:val="21"/>
          <w:szCs w:val="21"/>
        </w:rPr>
        <w:t>stku budou měsíčně bance za poskytnutý úvěr odvádět. S klesající úrokovou sazbou přibývá těch, kteří začali po letech vysokých úroků přemýšlet o vlastní</w:t>
      </w:r>
      <w:r w:rsidR="00E05E9B" w:rsidRPr="00792A3B">
        <w:rPr>
          <w:rFonts w:asciiTheme="minorHAnsi" w:eastAsia="Times New Roman" w:hAnsiTheme="minorHAnsi" w:cstheme="minorHAnsi"/>
          <w:color w:val="000000"/>
          <w:sz w:val="21"/>
          <w:szCs w:val="21"/>
        </w:rPr>
        <w:t xml:space="preserve"> nemovitosti. </w:t>
      </w:r>
      <w:r w:rsidR="00253ACF" w:rsidRPr="00792A3B">
        <w:rPr>
          <w:rFonts w:asciiTheme="minorHAnsi" w:eastAsia="Times New Roman" w:hAnsiTheme="minorHAnsi" w:cstheme="minorHAnsi"/>
          <w:color w:val="000000"/>
          <w:sz w:val="21"/>
          <w:szCs w:val="21"/>
        </w:rPr>
        <w:t>„</w:t>
      </w:r>
      <w:r w:rsidR="0063253B" w:rsidRPr="00792A3B">
        <w:rPr>
          <w:rFonts w:asciiTheme="minorHAnsi" w:eastAsia="Times New Roman" w:hAnsiTheme="minorHAnsi" w:cstheme="minorHAnsi"/>
          <w:i/>
          <w:color w:val="000000"/>
          <w:sz w:val="21"/>
          <w:szCs w:val="21"/>
        </w:rPr>
        <w:t>Hypotéky se stávají dostupnějšími, zájemci ale stojí před nelehkou otázkou</w:t>
      </w:r>
      <w:r w:rsidR="00E05E9B" w:rsidRPr="00792A3B">
        <w:rPr>
          <w:rFonts w:asciiTheme="minorHAnsi" w:eastAsia="Times New Roman" w:hAnsiTheme="minorHAnsi" w:cstheme="minorHAnsi"/>
          <w:i/>
          <w:color w:val="000000"/>
          <w:sz w:val="21"/>
          <w:szCs w:val="21"/>
        </w:rPr>
        <w:t>, zda počkat na další snižování sazeb nebo koupit vysněnou nemovitost nyní. Situace na hypotečním trhu totiž přilákala více investorů a ceny nemovitostí jdou pomalu</w:t>
      </w:r>
      <w:r w:rsidR="00253ACF" w:rsidRPr="00792A3B">
        <w:rPr>
          <w:rFonts w:asciiTheme="minorHAnsi" w:eastAsia="Times New Roman" w:hAnsiTheme="minorHAnsi" w:cstheme="minorHAnsi"/>
          <w:i/>
          <w:color w:val="000000"/>
          <w:sz w:val="21"/>
          <w:szCs w:val="21"/>
        </w:rPr>
        <w:t xml:space="preserve"> opět nahoru,“ komentuje Michaela Pudilová ze společnosti Broker Consulting.</w:t>
      </w:r>
    </w:p>
    <w:p w14:paraId="19FCD18B" w14:textId="77777777" w:rsidR="00A26B19" w:rsidRPr="00792A3B" w:rsidRDefault="00A26B19" w:rsidP="00DC72C4">
      <w:pPr>
        <w:jc w:val="both"/>
        <w:rPr>
          <w:rFonts w:asciiTheme="minorHAnsi" w:eastAsia="Times New Roman" w:hAnsiTheme="minorHAnsi" w:cstheme="minorHAnsi"/>
          <w:color w:val="000000"/>
          <w:sz w:val="21"/>
          <w:szCs w:val="21"/>
        </w:rPr>
      </w:pPr>
    </w:p>
    <w:p w14:paraId="26138F07" w14:textId="3E235E7A" w:rsidR="000D6E9B" w:rsidRPr="00792A3B" w:rsidRDefault="00A26B19" w:rsidP="005F44A0">
      <w:pPr>
        <w:jc w:val="both"/>
        <w:rPr>
          <w:rFonts w:asciiTheme="minorHAnsi" w:eastAsia="Times New Roman" w:hAnsiTheme="minorHAnsi" w:cstheme="minorHAnsi"/>
          <w:sz w:val="21"/>
          <w:szCs w:val="21"/>
        </w:rPr>
      </w:pPr>
      <w:r w:rsidRPr="00792A3B">
        <w:rPr>
          <w:rFonts w:asciiTheme="minorHAnsi" w:eastAsia="Times New Roman" w:hAnsiTheme="minorHAnsi" w:cstheme="minorHAnsi"/>
          <w:color w:val="000000"/>
          <w:sz w:val="21"/>
          <w:szCs w:val="21"/>
        </w:rPr>
        <w:t>Díky snižování sazeb však mohou klienti ušetřit poměrně velký finanční obnos.</w:t>
      </w:r>
      <w:r w:rsidR="00253ACF" w:rsidRPr="00792A3B">
        <w:rPr>
          <w:rFonts w:asciiTheme="minorHAnsi" w:eastAsia="Times New Roman" w:hAnsiTheme="minorHAnsi" w:cstheme="minorHAnsi"/>
          <w:color w:val="000000"/>
          <w:sz w:val="21"/>
          <w:szCs w:val="21"/>
        </w:rPr>
        <w:t xml:space="preserve"> Příkladem může být názorná situace</w:t>
      </w:r>
      <w:r w:rsidRPr="00792A3B">
        <w:rPr>
          <w:rFonts w:asciiTheme="minorHAnsi" w:eastAsia="Times New Roman" w:hAnsiTheme="minorHAnsi" w:cstheme="minorHAnsi"/>
          <w:color w:val="000000"/>
          <w:sz w:val="21"/>
          <w:szCs w:val="21"/>
        </w:rPr>
        <w:t>,</w:t>
      </w:r>
      <w:r w:rsidR="00253ACF" w:rsidRPr="00792A3B">
        <w:rPr>
          <w:rFonts w:asciiTheme="minorHAnsi" w:eastAsia="Times New Roman" w:hAnsiTheme="minorHAnsi" w:cstheme="minorHAnsi"/>
          <w:color w:val="000000"/>
          <w:sz w:val="21"/>
          <w:szCs w:val="21"/>
        </w:rPr>
        <w:t xml:space="preserve"> kdy si </w:t>
      </w:r>
      <w:r w:rsidR="00253ACF" w:rsidRPr="00792A3B">
        <w:rPr>
          <w:rFonts w:asciiTheme="minorHAnsi" w:eastAsia="Times New Roman" w:hAnsiTheme="minorHAnsi" w:cstheme="minorHAnsi"/>
          <w:b/>
          <w:color w:val="000000"/>
          <w:sz w:val="21"/>
          <w:szCs w:val="21"/>
        </w:rPr>
        <w:t>klient od banky</w:t>
      </w:r>
      <w:r w:rsidR="00253ACF" w:rsidRPr="00792A3B">
        <w:rPr>
          <w:rFonts w:asciiTheme="minorHAnsi" w:eastAsia="Times New Roman" w:hAnsiTheme="minorHAnsi" w:cstheme="minorHAnsi"/>
          <w:color w:val="000000"/>
          <w:sz w:val="21"/>
          <w:szCs w:val="21"/>
        </w:rPr>
        <w:t xml:space="preserve"> </w:t>
      </w:r>
      <w:r w:rsidR="00253ACF" w:rsidRPr="00792A3B">
        <w:rPr>
          <w:rFonts w:asciiTheme="minorHAnsi" w:eastAsia="Times New Roman" w:hAnsiTheme="minorHAnsi" w:cstheme="minorHAnsi"/>
          <w:b/>
          <w:color w:val="000000"/>
          <w:sz w:val="21"/>
          <w:szCs w:val="21"/>
        </w:rPr>
        <w:t>vypůjčí</w:t>
      </w:r>
      <w:r w:rsidRPr="00792A3B">
        <w:rPr>
          <w:rFonts w:asciiTheme="minorHAnsi" w:eastAsia="Times New Roman" w:hAnsiTheme="minorHAnsi" w:cstheme="minorHAnsi"/>
          <w:color w:val="000000"/>
          <w:sz w:val="21"/>
          <w:szCs w:val="21"/>
        </w:rPr>
        <w:t xml:space="preserve"> </w:t>
      </w:r>
      <w:r w:rsidRPr="00792A3B">
        <w:rPr>
          <w:rFonts w:asciiTheme="minorHAnsi" w:eastAsia="Times New Roman" w:hAnsiTheme="minorHAnsi" w:cstheme="minorHAnsi"/>
          <w:b/>
          <w:color w:val="000000"/>
          <w:sz w:val="21"/>
          <w:szCs w:val="21"/>
        </w:rPr>
        <w:t>5 miliónů korun se splatností 30 let</w:t>
      </w:r>
      <w:r w:rsidR="00253ACF" w:rsidRPr="00792A3B">
        <w:rPr>
          <w:rFonts w:asciiTheme="minorHAnsi" w:eastAsia="Times New Roman" w:hAnsiTheme="minorHAnsi" w:cstheme="minorHAnsi"/>
          <w:b/>
          <w:color w:val="000000"/>
          <w:sz w:val="21"/>
          <w:szCs w:val="21"/>
        </w:rPr>
        <w:t xml:space="preserve"> při</w:t>
      </w:r>
      <w:r w:rsidRPr="00792A3B">
        <w:rPr>
          <w:rFonts w:asciiTheme="minorHAnsi" w:eastAsia="Times New Roman" w:hAnsiTheme="minorHAnsi" w:cstheme="minorHAnsi"/>
          <w:b/>
          <w:color w:val="000000"/>
          <w:sz w:val="21"/>
          <w:szCs w:val="21"/>
        </w:rPr>
        <w:t xml:space="preserve"> úrokové sa</w:t>
      </w:r>
      <w:r w:rsidR="00253ACF" w:rsidRPr="00792A3B">
        <w:rPr>
          <w:rFonts w:asciiTheme="minorHAnsi" w:eastAsia="Times New Roman" w:hAnsiTheme="minorHAnsi" w:cstheme="minorHAnsi"/>
          <w:b/>
          <w:color w:val="000000"/>
          <w:sz w:val="21"/>
          <w:szCs w:val="21"/>
        </w:rPr>
        <w:t>zbě</w:t>
      </w:r>
      <w:r w:rsidRPr="00792A3B">
        <w:rPr>
          <w:rFonts w:asciiTheme="minorHAnsi" w:eastAsia="Times New Roman" w:hAnsiTheme="minorHAnsi" w:cstheme="minorHAnsi"/>
          <w:b/>
          <w:color w:val="000000"/>
          <w:sz w:val="21"/>
          <w:szCs w:val="21"/>
        </w:rPr>
        <w:t xml:space="preserve"> </w:t>
      </w:r>
      <w:r w:rsidR="00253ACF" w:rsidRPr="00792A3B">
        <w:rPr>
          <w:rFonts w:asciiTheme="minorHAnsi" w:eastAsia="Times New Roman" w:hAnsiTheme="minorHAnsi" w:cstheme="minorHAnsi"/>
          <w:b/>
          <w:color w:val="000000"/>
          <w:sz w:val="21"/>
          <w:szCs w:val="21"/>
        </w:rPr>
        <w:t>6%. V tomto případě bude měsíční splátka činit</w:t>
      </w:r>
      <w:r w:rsidRPr="00792A3B">
        <w:rPr>
          <w:rFonts w:asciiTheme="minorHAnsi" w:eastAsia="Times New Roman" w:hAnsiTheme="minorHAnsi" w:cstheme="minorHAnsi"/>
          <w:b/>
          <w:color w:val="000000"/>
          <w:sz w:val="21"/>
          <w:szCs w:val="21"/>
        </w:rPr>
        <w:t xml:space="preserve"> 29 978 korun. Pokud by byl ale úrok po celou dobu splácení úvěru o jedno procento nižší, tedy 5%, splátka bude činit 26.841 korun.</w:t>
      </w:r>
      <w:r w:rsidRPr="00792A3B">
        <w:rPr>
          <w:rFonts w:asciiTheme="minorHAnsi" w:eastAsia="Times New Roman" w:hAnsiTheme="minorHAnsi" w:cstheme="minorHAnsi"/>
          <w:color w:val="000000"/>
          <w:sz w:val="21"/>
          <w:szCs w:val="21"/>
        </w:rPr>
        <w:t xml:space="preserve"> Měsíčně tedy uspoří přes tři tisíce korun, za 30 let </w:t>
      </w:r>
      <w:r w:rsidR="00253ACF" w:rsidRPr="00792A3B">
        <w:rPr>
          <w:rFonts w:asciiTheme="minorHAnsi" w:eastAsia="Times New Roman" w:hAnsiTheme="minorHAnsi" w:cstheme="minorHAnsi"/>
          <w:color w:val="000000"/>
          <w:sz w:val="21"/>
          <w:szCs w:val="21"/>
        </w:rPr>
        <w:t>by v případě stejné úrokové sazby ušetřil přes jeden milion korun.</w:t>
      </w:r>
      <w:r w:rsidR="005F44A0" w:rsidRPr="00792A3B">
        <w:rPr>
          <w:rFonts w:asciiTheme="minorHAnsi" w:eastAsia="Times New Roman" w:hAnsiTheme="minorHAnsi" w:cstheme="minorHAnsi"/>
          <w:sz w:val="21"/>
          <w:szCs w:val="21"/>
        </w:rPr>
        <w:t xml:space="preserve"> </w:t>
      </w:r>
      <w:r w:rsidR="00DC72C4" w:rsidRPr="00792A3B">
        <w:rPr>
          <w:rFonts w:asciiTheme="minorHAnsi" w:eastAsia="Times New Roman" w:hAnsiTheme="minorHAnsi" w:cstheme="minorHAnsi"/>
          <w:i/>
          <w:color w:val="000000"/>
          <w:sz w:val="21"/>
          <w:szCs w:val="21"/>
        </w:rPr>
        <w:t>„</w:t>
      </w:r>
      <w:r w:rsidRPr="00792A3B">
        <w:rPr>
          <w:rFonts w:asciiTheme="minorHAnsi" w:eastAsia="Times New Roman" w:hAnsiTheme="minorHAnsi" w:cstheme="minorHAnsi"/>
          <w:i/>
          <w:color w:val="000000"/>
          <w:sz w:val="21"/>
          <w:szCs w:val="21"/>
        </w:rPr>
        <w:t>Pro mnoho klientů je takový rozdíl ve splátce velmi znatelný a znamená také rozdíl mezi tím, zda si o takový typ úvěru požádají a budou mít na jeho bezproblémové a pravidelné sp</w:t>
      </w:r>
      <w:r w:rsidR="00DC72C4" w:rsidRPr="00792A3B">
        <w:rPr>
          <w:rFonts w:asciiTheme="minorHAnsi" w:eastAsia="Times New Roman" w:hAnsiTheme="minorHAnsi" w:cstheme="minorHAnsi"/>
          <w:i/>
          <w:color w:val="000000"/>
          <w:sz w:val="21"/>
          <w:szCs w:val="21"/>
        </w:rPr>
        <w:t xml:space="preserve">lácení,“ </w:t>
      </w:r>
      <w:r w:rsidR="000B11A5" w:rsidRPr="00792A3B">
        <w:rPr>
          <w:rFonts w:asciiTheme="minorHAnsi" w:eastAsia="Times New Roman" w:hAnsiTheme="minorHAnsi" w:cstheme="minorHAnsi"/>
          <w:color w:val="000000"/>
          <w:sz w:val="21"/>
          <w:szCs w:val="21"/>
        </w:rPr>
        <w:t>uzavírá</w:t>
      </w:r>
      <w:r w:rsidR="00DC72C4" w:rsidRPr="00792A3B">
        <w:rPr>
          <w:rFonts w:asciiTheme="minorHAnsi" w:eastAsia="Times New Roman" w:hAnsiTheme="minorHAnsi" w:cstheme="minorHAnsi"/>
          <w:color w:val="000000"/>
          <w:sz w:val="21"/>
          <w:szCs w:val="21"/>
        </w:rPr>
        <w:t xml:space="preserve"> Michaela Pudilová.</w:t>
      </w:r>
    </w:p>
    <w:p w14:paraId="06153168" w14:textId="5E0EA5C9" w:rsidR="00236A37" w:rsidRPr="00792A3B" w:rsidRDefault="00C42CA5" w:rsidP="00B85CBF">
      <w:pPr>
        <w:pBdr>
          <w:top w:val="single" w:sz="4" w:space="1" w:color="auto"/>
        </w:pBdr>
        <w:spacing w:before="240" w:after="120"/>
        <w:rPr>
          <w:rFonts w:asciiTheme="minorHAnsi" w:hAnsiTheme="minorHAnsi" w:cstheme="minorHAnsi"/>
          <w:sz w:val="21"/>
          <w:szCs w:val="21"/>
        </w:rPr>
      </w:pPr>
      <w:r w:rsidRPr="00792A3B">
        <w:rPr>
          <w:rFonts w:asciiTheme="minorHAnsi" w:hAnsiTheme="minorHAnsi" w:cstheme="minorHAnsi"/>
          <w:sz w:val="21"/>
          <w:szCs w:val="21"/>
        </w:rPr>
        <w:lastRenderedPageBreak/>
        <w:t xml:space="preserve">Broker </w:t>
      </w:r>
      <w:r w:rsidR="00C36E55" w:rsidRPr="00792A3B">
        <w:rPr>
          <w:rFonts w:asciiTheme="minorHAnsi" w:hAnsiTheme="minorHAnsi" w:cstheme="minorHAnsi"/>
          <w:sz w:val="21"/>
          <w:szCs w:val="21"/>
        </w:rPr>
        <w:t>Con</w:t>
      </w:r>
      <w:r w:rsidRPr="00792A3B">
        <w:rPr>
          <w:rFonts w:asciiTheme="minorHAnsi" w:hAnsiTheme="minorHAnsi" w:cstheme="minorHAnsi"/>
          <w:sz w:val="21"/>
          <w:szCs w:val="21"/>
        </w:rPr>
        <w:t>sulting Index hypotečních úvěrů je analytický nástroj</w:t>
      </w:r>
      <w:r w:rsidR="00113603" w:rsidRPr="00792A3B">
        <w:rPr>
          <w:rFonts w:asciiTheme="minorHAnsi" w:hAnsiTheme="minorHAnsi" w:cstheme="minorHAnsi"/>
          <w:sz w:val="21"/>
          <w:szCs w:val="21"/>
        </w:rPr>
        <w:t xml:space="preserve"> znázorňující</w:t>
      </w:r>
      <w:r w:rsidRPr="00792A3B">
        <w:rPr>
          <w:rFonts w:asciiTheme="minorHAnsi" w:hAnsiTheme="minorHAnsi" w:cstheme="minorHAnsi"/>
          <w:sz w:val="21"/>
          <w:szCs w:val="21"/>
        </w:rPr>
        <w:t xml:space="preserve"> průměrnou úrokovou sazbu u hypotečních úvěrů, </w:t>
      </w:r>
      <w:r w:rsidR="00113603" w:rsidRPr="00792A3B">
        <w:rPr>
          <w:rFonts w:asciiTheme="minorHAnsi" w:hAnsiTheme="minorHAnsi" w:cstheme="minorHAnsi"/>
          <w:sz w:val="21"/>
          <w:szCs w:val="21"/>
        </w:rPr>
        <w:t>které</w:t>
      </w:r>
      <w:r w:rsidRPr="00792A3B">
        <w:rPr>
          <w:rFonts w:asciiTheme="minorHAnsi" w:hAnsiTheme="minorHAnsi" w:cstheme="minorHAnsi"/>
          <w:sz w:val="21"/>
          <w:szCs w:val="21"/>
        </w:rPr>
        <w:t xml:space="preserve"> zprostředkovali konzultanti Brok</w:t>
      </w:r>
      <w:r w:rsidR="00776A31" w:rsidRPr="00792A3B">
        <w:rPr>
          <w:rFonts w:asciiTheme="minorHAnsi" w:hAnsiTheme="minorHAnsi" w:cstheme="minorHAnsi"/>
          <w:sz w:val="21"/>
          <w:szCs w:val="21"/>
        </w:rPr>
        <w:t>er Consulting a pobočky Broker Point nebo Broker Point Premium</w:t>
      </w:r>
      <w:r w:rsidRPr="00792A3B">
        <w:rPr>
          <w:rFonts w:asciiTheme="minorHAnsi" w:hAnsiTheme="minorHAnsi" w:cstheme="minorHAnsi"/>
          <w:sz w:val="21"/>
          <w:szCs w:val="21"/>
        </w:rPr>
        <w:t xml:space="preserve"> u kteréhokoli poskytovatele hypotečních úvěrů. Jedná se o vážený aritmetický průměr, kdy hlavní vahou je objem úvěru. Tedy čím vyšší úvěr, tím jeho sazba </w:t>
      </w:r>
      <w:r w:rsidR="00113603" w:rsidRPr="00792A3B">
        <w:rPr>
          <w:rFonts w:asciiTheme="minorHAnsi" w:hAnsiTheme="minorHAnsi" w:cstheme="minorHAnsi"/>
          <w:sz w:val="21"/>
          <w:szCs w:val="21"/>
        </w:rPr>
        <w:t xml:space="preserve">vstupuje </w:t>
      </w:r>
      <w:r w:rsidRPr="00792A3B">
        <w:rPr>
          <w:rFonts w:asciiTheme="minorHAnsi" w:hAnsiTheme="minorHAnsi" w:cstheme="minorHAnsi"/>
          <w:sz w:val="21"/>
          <w:szCs w:val="21"/>
        </w:rPr>
        <w:t xml:space="preserve">do indexu větší vahou. </w:t>
      </w:r>
      <w:r w:rsidRPr="00792A3B">
        <w:rPr>
          <w:rFonts w:asciiTheme="minorHAnsi" w:hAnsiTheme="minorHAnsi" w:cstheme="minorHAnsi"/>
          <w:b/>
          <w:sz w:val="21"/>
          <w:szCs w:val="21"/>
        </w:rPr>
        <w:t xml:space="preserve">Výhodou metody výpočtu </w:t>
      </w:r>
      <w:r w:rsidR="00C7532A" w:rsidRPr="00792A3B">
        <w:rPr>
          <w:rFonts w:asciiTheme="minorHAnsi" w:hAnsiTheme="minorHAnsi" w:cstheme="minorHAnsi"/>
          <w:b/>
          <w:sz w:val="21"/>
          <w:szCs w:val="21"/>
        </w:rPr>
        <w:t xml:space="preserve">indexu </w:t>
      </w:r>
      <w:r w:rsidRPr="00792A3B">
        <w:rPr>
          <w:rFonts w:asciiTheme="minorHAnsi" w:hAnsiTheme="minorHAnsi" w:cstheme="minorHAnsi"/>
          <w:b/>
          <w:sz w:val="21"/>
          <w:szCs w:val="21"/>
        </w:rPr>
        <w:t>je skutečnost, že se do statistiky dostávají pouze skutečně schválené úvěry, a to bez výjimky všechny.</w:t>
      </w:r>
      <w:r w:rsidRPr="00792A3B">
        <w:rPr>
          <w:rFonts w:asciiTheme="minorHAnsi" w:hAnsiTheme="minorHAnsi" w:cstheme="minorHAnsi"/>
          <w:sz w:val="21"/>
          <w:szCs w:val="21"/>
        </w:rPr>
        <w:t xml:space="preserve"> Nemůže tak dojít ke zkreslení informací a index není závislý na dodávkách třetích stran. </w:t>
      </w:r>
    </w:p>
    <w:p w14:paraId="70EFA666" w14:textId="4A6CAE48" w:rsidR="002E6DB6" w:rsidRPr="00792A3B" w:rsidRDefault="00C42CA5" w:rsidP="007B1851">
      <w:pPr>
        <w:spacing w:after="120"/>
        <w:rPr>
          <w:rFonts w:asciiTheme="minorHAnsi" w:hAnsiTheme="minorHAnsi" w:cstheme="minorHAnsi"/>
          <w:sz w:val="21"/>
          <w:szCs w:val="21"/>
        </w:rPr>
      </w:pPr>
      <w:r w:rsidRPr="00792A3B">
        <w:rPr>
          <w:rFonts w:asciiTheme="minorHAnsi" w:hAnsiTheme="minorHAnsi" w:cstheme="minorHAnsi"/>
          <w:sz w:val="21"/>
          <w:szCs w:val="21"/>
        </w:rPr>
        <w:t>V principu se Broker Consulting Index hypotečních úvěrů počítá ze sazeb, které jsou v danou chvíli pro daného klienta nejnižší na trhu</w:t>
      </w:r>
      <w:r w:rsidR="00FA2D1E" w:rsidRPr="00792A3B">
        <w:rPr>
          <w:rFonts w:asciiTheme="minorHAnsi" w:hAnsiTheme="minorHAnsi" w:cstheme="minorHAnsi"/>
          <w:sz w:val="21"/>
          <w:szCs w:val="21"/>
        </w:rPr>
        <w:t>,</w:t>
      </w:r>
      <w:r w:rsidRPr="00792A3B">
        <w:rPr>
          <w:rFonts w:asciiTheme="minorHAnsi" w:hAnsiTheme="minorHAnsi" w:cstheme="minorHAnsi"/>
          <w:sz w:val="21"/>
          <w:szCs w:val="21"/>
        </w:rPr>
        <w:t xml:space="preserve"> </w:t>
      </w:r>
      <w:r w:rsidR="00FA2D1E" w:rsidRPr="00792A3B">
        <w:rPr>
          <w:rFonts w:asciiTheme="minorHAnsi" w:hAnsiTheme="minorHAnsi" w:cstheme="minorHAnsi"/>
          <w:sz w:val="21"/>
          <w:szCs w:val="21"/>
        </w:rPr>
        <w:t>a</w:t>
      </w:r>
      <w:r w:rsidRPr="00792A3B">
        <w:rPr>
          <w:rFonts w:asciiTheme="minorHAnsi" w:hAnsiTheme="minorHAnsi" w:cstheme="minorHAnsi"/>
          <w:sz w:val="21"/>
          <w:szCs w:val="21"/>
        </w:rPr>
        <w:t xml:space="preserve">nebo se nejnižší hranici přibližují, neboť klient si vybírá z mnoha možností, které mu trh v danou chvíli nabízí. A většinou si vybírá právě nejnižší sazbu úvěru, který i v jiných parametrech splňuje jejich podmínky. Broker Consulting ročně zprostředkuje úvěry v objemu přesahujícím 13 miliard korun. </w:t>
      </w:r>
    </w:p>
    <w:p w14:paraId="0584C559" w14:textId="7CB832AA" w:rsidR="00C21F84" w:rsidRPr="00792A3B" w:rsidRDefault="002E6DB6" w:rsidP="00C21F84">
      <w:pPr>
        <w:pBdr>
          <w:bottom w:val="single" w:sz="4" w:space="1" w:color="auto"/>
        </w:pBdr>
        <w:spacing w:after="120"/>
        <w:rPr>
          <w:rFonts w:asciiTheme="minorHAnsi" w:hAnsiTheme="minorHAnsi" w:cstheme="minorHAnsi"/>
          <w:sz w:val="21"/>
          <w:szCs w:val="21"/>
        </w:rPr>
      </w:pPr>
      <w:r w:rsidRPr="00792A3B">
        <w:rPr>
          <w:rFonts w:asciiTheme="minorHAnsi" w:hAnsiTheme="minorHAnsi" w:cstheme="minorHAnsi"/>
          <w:color w:val="000000"/>
          <w:sz w:val="21"/>
          <w:szCs w:val="21"/>
        </w:rPr>
        <w:t>Předstihový ukazatel Broker Consulting Indexu hypotečních úvěrů a jeho výpočet rea</w:t>
      </w:r>
      <w:r w:rsidR="008C75D3" w:rsidRPr="00792A3B">
        <w:rPr>
          <w:rFonts w:asciiTheme="minorHAnsi" w:hAnsiTheme="minorHAnsi" w:cstheme="minorHAnsi"/>
          <w:color w:val="000000"/>
          <w:sz w:val="21"/>
          <w:szCs w:val="21"/>
        </w:rPr>
        <w:t>guje na potřebu aktuálního výhledu výše sazeb, ve kterém se budou v daném měsíci poskytovat hypoteční úvěry zprostředkovávané od většiny bankovních institucí v tuzemsku. Ve výpočtu jde o aritmetick</w:t>
      </w:r>
      <w:r w:rsidR="00057F54" w:rsidRPr="00792A3B">
        <w:rPr>
          <w:rFonts w:asciiTheme="minorHAnsi" w:hAnsiTheme="minorHAnsi" w:cstheme="minorHAnsi"/>
          <w:color w:val="000000"/>
          <w:sz w:val="21"/>
          <w:szCs w:val="21"/>
        </w:rPr>
        <w:t>ý průměr nabízených úrokových sazeb</w:t>
      </w:r>
      <w:r w:rsidR="00807AD4" w:rsidRPr="00792A3B">
        <w:rPr>
          <w:rFonts w:asciiTheme="minorHAnsi" w:hAnsiTheme="minorHAnsi" w:cstheme="minorHAnsi"/>
          <w:color w:val="000000"/>
          <w:sz w:val="21"/>
          <w:szCs w:val="21"/>
        </w:rPr>
        <w:t xml:space="preserve"> v konkrétním </w:t>
      </w:r>
      <w:r w:rsidR="008C75D3" w:rsidRPr="00792A3B">
        <w:rPr>
          <w:rFonts w:asciiTheme="minorHAnsi" w:hAnsiTheme="minorHAnsi" w:cstheme="minorHAnsi"/>
          <w:color w:val="000000"/>
          <w:sz w:val="21"/>
          <w:szCs w:val="21"/>
        </w:rPr>
        <w:t>měsíci, ve kterém se zveřejňují hodnoty Broker Consulting Indexu hypotečních úvěrů.</w:t>
      </w:r>
      <w:r w:rsidR="00CC3D3D" w:rsidRPr="00792A3B">
        <w:rPr>
          <w:rFonts w:asciiTheme="minorHAnsi" w:hAnsiTheme="minorHAnsi" w:cstheme="minorHAnsi"/>
          <w:color w:val="000000"/>
          <w:sz w:val="21"/>
          <w:szCs w:val="21"/>
        </w:rPr>
        <w:t xml:space="preserve"> Vzhledem ke statisti</w:t>
      </w:r>
      <w:r w:rsidR="004919CC" w:rsidRPr="00792A3B">
        <w:rPr>
          <w:rFonts w:asciiTheme="minorHAnsi" w:hAnsiTheme="minorHAnsi" w:cstheme="minorHAnsi"/>
          <w:color w:val="000000"/>
          <w:sz w:val="21"/>
          <w:szCs w:val="21"/>
        </w:rPr>
        <w:t>ce preferovaných fixací byla při výpoč</w:t>
      </w:r>
      <w:r w:rsidR="00CC3D3D" w:rsidRPr="00792A3B">
        <w:rPr>
          <w:rFonts w:asciiTheme="minorHAnsi" w:hAnsiTheme="minorHAnsi" w:cstheme="minorHAnsi"/>
          <w:color w:val="000000"/>
          <w:sz w:val="21"/>
          <w:szCs w:val="21"/>
        </w:rPr>
        <w:t>t</w:t>
      </w:r>
      <w:r w:rsidR="004919CC" w:rsidRPr="00792A3B">
        <w:rPr>
          <w:rFonts w:asciiTheme="minorHAnsi" w:hAnsiTheme="minorHAnsi" w:cstheme="minorHAnsi"/>
          <w:color w:val="000000"/>
          <w:sz w:val="21"/>
          <w:szCs w:val="21"/>
        </w:rPr>
        <w:t>u zohledněna</w:t>
      </w:r>
      <w:r w:rsidR="00CC3D3D" w:rsidRPr="00792A3B">
        <w:rPr>
          <w:rFonts w:asciiTheme="minorHAnsi" w:hAnsiTheme="minorHAnsi" w:cstheme="minorHAnsi"/>
          <w:color w:val="000000"/>
          <w:sz w:val="21"/>
          <w:szCs w:val="21"/>
        </w:rPr>
        <w:t xml:space="preserve"> pětiletá fixace úrokových sazeb.</w:t>
      </w:r>
    </w:p>
    <w:p w14:paraId="5FCF3C96" w14:textId="79E57602" w:rsidR="00B01F39" w:rsidRPr="00C21F84" w:rsidRDefault="00C947C0" w:rsidP="007B1851">
      <w:pPr>
        <w:rPr>
          <w:rFonts w:asciiTheme="minorHAnsi" w:hAnsiTheme="minorHAnsi" w:cstheme="minorHAnsi"/>
          <w:i/>
          <w:color w:val="1D1D1B"/>
          <w:w w:val="105"/>
          <w:sz w:val="20"/>
          <w:szCs w:val="20"/>
        </w:rPr>
      </w:pPr>
      <w:r w:rsidRPr="00C21F84">
        <w:rPr>
          <w:rFonts w:asciiTheme="minorHAnsi" w:hAnsiTheme="minorHAnsi" w:cstheme="minorHAnsi"/>
          <w:b/>
          <w:sz w:val="20"/>
          <w:szCs w:val="20"/>
        </w:rPr>
        <w:t>P</w:t>
      </w:r>
      <w:r w:rsidR="00B37F41" w:rsidRPr="00C21F84">
        <w:rPr>
          <w:rFonts w:asciiTheme="minorHAnsi" w:hAnsiTheme="minorHAnsi" w:cstheme="minorHAnsi"/>
          <w:b/>
          <w:sz w:val="20"/>
          <w:szCs w:val="20"/>
        </w:rPr>
        <w:t>oznámka pro média:</w:t>
      </w:r>
      <w:r w:rsidR="00B37F41" w:rsidRPr="00C21F84">
        <w:rPr>
          <w:rFonts w:asciiTheme="minorHAnsi" w:hAnsiTheme="minorHAnsi" w:cstheme="minorHAnsi"/>
          <w:sz w:val="20"/>
          <w:szCs w:val="20"/>
        </w:rPr>
        <w:t xml:space="preserve"> </w:t>
      </w:r>
      <w:r w:rsidR="00B37F41" w:rsidRPr="00C21F84">
        <w:rPr>
          <w:rFonts w:asciiTheme="minorHAnsi" w:hAnsiTheme="minorHAnsi" w:cstheme="minorHAnsi"/>
          <w:color w:val="1D1D1B"/>
          <w:w w:val="105"/>
          <w:sz w:val="20"/>
          <w:szCs w:val="20"/>
        </w:rPr>
        <w:t>Broker</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Consulting</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w w:val="105"/>
          <w:sz w:val="20"/>
          <w:szCs w:val="20"/>
        </w:rPr>
        <w:t>Indexy</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je</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w w:val="105"/>
          <w:sz w:val="20"/>
          <w:szCs w:val="20"/>
        </w:rPr>
        <w:t>možné</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volně</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spacing w:val="2"/>
          <w:w w:val="105"/>
          <w:sz w:val="20"/>
          <w:szCs w:val="20"/>
        </w:rPr>
        <w:t>publikovat</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pouze</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w w:val="105"/>
          <w:sz w:val="20"/>
          <w:szCs w:val="20"/>
        </w:rPr>
        <w:t>s</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označením</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w w:val="105"/>
          <w:sz w:val="20"/>
          <w:szCs w:val="20"/>
        </w:rPr>
        <w:t>„Broker</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Consulting</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w w:val="105"/>
          <w:sz w:val="20"/>
          <w:szCs w:val="20"/>
        </w:rPr>
        <w:t>Index“</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spacing w:val="-3"/>
          <w:w w:val="105"/>
          <w:sz w:val="20"/>
          <w:szCs w:val="20"/>
        </w:rPr>
        <w:t>(</w:t>
      </w:r>
      <w:r w:rsidR="00B37F41" w:rsidRPr="00C21F84">
        <w:rPr>
          <w:rFonts w:asciiTheme="minorHAnsi" w:hAnsiTheme="minorHAnsi" w:cstheme="minorHAnsi"/>
          <w:i/>
          <w:color w:val="1D1D1B"/>
          <w:spacing w:val="-3"/>
          <w:w w:val="105"/>
          <w:sz w:val="20"/>
          <w:szCs w:val="20"/>
        </w:rPr>
        <w:t>např.</w:t>
      </w:r>
      <w:r w:rsidR="00B37F41" w:rsidRPr="00C21F84">
        <w:rPr>
          <w:rFonts w:asciiTheme="minorHAnsi" w:hAnsiTheme="minorHAnsi" w:cstheme="minorHAnsi"/>
          <w:i/>
          <w:color w:val="1D1D1B"/>
          <w:spacing w:val="-8"/>
          <w:w w:val="105"/>
          <w:sz w:val="20"/>
          <w:szCs w:val="20"/>
        </w:rPr>
        <w:t xml:space="preserve"> </w:t>
      </w:r>
      <w:r w:rsidR="00B37F41" w:rsidRPr="00C21F84">
        <w:rPr>
          <w:rFonts w:asciiTheme="minorHAnsi" w:hAnsiTheme="minorHAnsi" w:cstheme="minorHAnsi"/>
          <w:i/>
          <w:color w:val="1D1D1B"/>
          <w:w w:val="105"/>
          <w:sz w:val="20"/>
          <w:szCs w:val="20"/>
        </w:rPr>
        <w:t>Broker</w:t>
      </w:r>
      <w:r w:rsidR="00B37F41" w:rsidRPr="00C21F84">
        <w:rPr>
          <w:rFonts w:asciiTheme="minorHAnsi" w:hAnsiTheme="minorHAnsi" w:cstheme="minorHAnsi"/>
          <w:i/>
          <w:color w:val="1D1D1B"/>
          <w:spacing w:val="-9"/>
          <w:w w:val="105"/>
          <w:sz w:val="20"/>
          <w:szCs w:val="20"/>
        </w:rPr>
        <w:t xml:space="preserve"> </w:t>
      </w:r>
      <w:r w:rsidR="00B37F41" w:rsidRPr="00C21F84">
        <w:rPr>
          <w:rFonts w:asciiTheme="minorHAnsi" w:hAnsiTheme="minorHAnsi" w:cstheme="minorHAnsi"/>
          <w:i/>
          <w:color w:val="1D1D1B"/>
          <w:w w:val="105"/>
          <w:sz w:val="20"/>
          <w:szCs w:val="20"/>
        </w:rPr>
        <w:t>Consulting</w:t>
      </w:r>
      <w:r w:rsidR="00B37F41" w:rsidRPr="00C21F84">
        <w:rPr>
          <w:rFonts w:asciiTheme="minorHAnsi" w:hAnsiTheme="minorHAnsi" w:cstheme="minorHAnsi"/>
          <w:i/>
          <w:color w:val="1D1D1B"/>
          <w:spacing w:val="-8"/>
          <w:w w:val="105"/>
          <w:sz w:val="20"/>
          <w:szCs w:val="20"/>
        </w:rPr>
        <w:t xml:space="preserve"> </w:t>
      </w:r>
      <w:r w:rsidR="00B37F41" w:rsidRPr="00C21F84">
        <w:rPr>
          <w:rFonts w:asciiTheme="minorHAnsi" w:hAnsiTheme="minorHAnsi" w:cstheme="minorHAnsi"/>
          <w:i/>
          <w:color w:val="1D1D1B"/>
          <w:w w:val="105"/>
          <w:sz w:val="20"/>
          <w:szCs w:val="20"/>
        </w:rPr>
        <w:t>index hypot</w:t>
      </w:r>
      <w:r w:rsidR="00830CE8" w:rsidRPr="00C21F84">
        <w:rPr>
          <w:rFonts w:asciiTheme="minorHAnsi" w:hAnsiTheme="minorHAnsi" w:cstheme="minorHAnsi"/>
          <w:i/>
          <w:color w:val="1D1D1B"/>
          <w:w w:val="105"/>
          <w:sz w:val="20"/>
          <w:szCs w:val="20"/>
        </w:rPr>
        <w:t>e</w:t>
      </w:r>
      <w:r w:rsidR="00B37F41" w:rsidRPr="00C21F84">
        <w:rPr>
          <w:rFonts w:asciiTheme="minorHAnsi" w:hAnsiTheme="minorHAnsi" w:cstheme="minorHAnsi"/>
          <w:i/>
          <w:color w:val="1D1D1B"/>
          <w:w w:val="105"/>
          <w:sz w:val="20"/>
          <w:szCs w:val="20"/>
        </w:rPr>
        <w:t xml:space="preserve">čních úvěrů). Více informací najdete též na webu </w:t>
      </w:r>
      <w:r w:rsidR="00B37F41" w:rsidRPr="00C21F84">
        <w:rPr>
          <w:rStyle w:val="Hypertextovodkaz"/>
          <w:rFonts w:asciiTheme="minorHAnsi" w:hAnsiTheme="minorHAnsi" w:cstheme="minorHAnsi"/>
          <w:i/>
          <w:w w:val="105"/>
          <w:sz w:val="20"/>
          <w:szCs w:val="20"/>
        </w:rPr>
        <w:t>https://www.bcas.cz/onas/pro-media/</w:t>
      </w:r>
      <w:r w:rsidR="00B37F41" w:rsidRPr="00C21F84">
        <w:rPr>
          <w:rFonts w:asciiTheme="minorHAnsi" w:hAnsiTheme="minorHAnsi" w:cstheme="minorHAnsi"/>
          <w:i/>
          <w:color w:val="1D1D1B"/>
          <w:w w:val="105"/>
          <w:sz w:val="20"/>
          <w:szCs w:val="20"/>
        </w:rPr>
        <w:t xml:space="preserve">. </w:t>
      </w:r>
    </w:p>
    <w:p w14:paraId="0BBC87EC" w14:textId="77777777" w:rsidR="001C22FE" w:rsidRPr="00C21F84" w:rsidRDefault="001C22FE" w:rsidP="001C22FE">
      <w:pPr>
        <w:rPr>
          <w:rFonts w:asciiTheme="minorHAnsi" w:hAnsiTheme="minorHAnsi" w:cstheme="minorHAnsi"/>
          <w:b/>
          <w:color w:val="FF0000"/>
          <w:w w:val="105"/>
          <w:sz w:val="20"/>
          <w:szCs w:val="20"/>
        </w:rPr>
      </w:pPr>
    </w:p>
    <w:p w14:paraId="72ED1D97" w14:textId="126A9B30" w:rsidR="001C22FE" w:rsidRPr="00C21F84" w:rsidRDefault="001C22FE" w:rsidP="007B1851">
      <w:pPr>
        <w:rPr>
          <w:rFonts w:asciiTheme="minorHAnsi" w:hAnsiTheme="minorHAnsi" w:cstheme="minorHAnsi"/>
          <w:b/>
          <w:color w:val="1D1D1B"/>
          <w:w w:val="105"/>
          <w:sz w:val="20"/>
          <w:szCs w:val="20"/>
        </w:rPr>
      </w:pPr>
      <w:r w:rsidRPr="00C21F84">
        <w:rPr>
          <w:rFonts w:asciiTheme="minorHAnsi" w:hAnsiTheme="minorHAnsi" w:cstheme="minorHAnsi"/>
          <w:b/>
          <w:color w:val="FF0000"/>
          <w:w w:val="105"/>
          <w:sz w:val="20"/>
          <w:szCs w:val="20"/>
        </w:rPr>
        <w:t>Broker Consulting Indexy je nyní možné sledovat v interaktivní formě na webu</w:t>
      </w:r>
      <w:r w:rsidRPr="00C21F84">
        <w:rPr>
          <w:rFonts w:asciiTheme="minorHAnsi" w:hAnsiTheme="minorHAnsi" w:cstheme="minorHAnsi"/>
          <w:color w:val="1D1D1B"/>
          <w:w w:val="105"/>
          <w:sz w:val="20"/>
          <w:szCs w:val="20"/>
        </w:rPr>
        <w:t>. Zde lze zároveň exportovat zdrojová data ke grafům. Vice dostupné na odkaze</w:t>
      </w:r>
      <w:r w:rsidRPr="00C21F84">
        <w:rPr>
          <w:rFonts w:asciiTheme="minorHAnsi" w:hAnsiTheme="minorHAnsi" w:cstheme="minorHAnsi"/>
          <w:b/>
          <w:color w:val="1D1D1B"/>
          <w:w w:val="105"/>
          <w:sz w:val="20"/>
          <w:szCs w:val="20"/>
        </w:rPr>
        <w:t xml:space="preserve">: </w:t>
      </w:r>
      <w:hyperlink r:id="rId30" w:history="1">
        <w:r w:rsidRPr="00C21F84">
          <w:rPr>
            <w:rStyle w:val="Hypertextovodkaz"/>
            <w:rFonts w:asciiTheme="minorHAnsi" w:hAnsiTheme="minorHAnsi" w:cstheme="minorHAnsi"/>
            <w:b/>
            <w:w w:val="105"/>
            <w:sz w:val="20"/>
            <w:szCs w:val="20"/>
          </w:rPr>
          <w:t>https://www.bcas.cz/o-nas/broker-consulting-index-hypotecnich-uveru/</w:t>
        </w:r>
      </w:hyperlink>
      <w:r w:rsidRPr="00C21F84">
        <w:rPr>
          <w:rFonts w:asciiTheme="minorHAnsi" w:hAnsiTheme="minorHAnsi" w:cstheme="minorHAnsi"/>
          <w:b/>
          <w:color w:val="1D1D1B"/>
          <w:w w:val="105"/>
          <w:sz w:val="20"/>
          <w:szCs w:val="20"/>
        </w:rPr>
        <w:t xml:space="preserve">. </w:t>
      </w:r>
    </w:p>
    <w:p w14:paraId="7DE80F01" w14:textId="5F0A8380" w:rsidR="00CA1806" w:rsidRPr="00C21F84" w:rsidRDefault="00CA1806" w:rsidP="00B27178">
      <w:pPr>
        <w:jc w:val="both"/>
        <w:rPr>
          <w:rFonts w:asciiTheme="minorHAnsi" w:eastAsia="Calibri" w:hAnsiTheme="minorHAnsi" w:cstheme="minorHAnsi"/>
          <w:b/>
          <w:bCs/>
          <w:noProof/>
          <w:sz w:val="20"/>
          <w:szCs w:val="20"/>
        </w:rPr>
      </w:pPr>
    </w:p>
    <w:p w14:paraId="7C1907C0" w14:textId="1D2EC938" w:rsidR="00D60D98" w:rsidRPr="00C21F84" w:rsidRDefault="00D60D98" w:rsidP="0029038B">
      <w:pPr>
        <w:spacing w:after="120"/>
        <w:rPr>
          <w:rFonts w:asciiTheme="minorHAnsi" w:eastAsia="Calibri" w:hAnsiTheme="minorHAnsi" w:cstheme="minorHAnsi"/>
          <w:b/>
          <w:bCs/>
          <w:noProof/>
          <w:sz w:val="20"/>
          <w:szCs w:val="20"/>
        </w:rPr>
      </w:pPr>
      <w:r w:rsidRPr="00C21F84">
        <w:rPr>
          <w:rFonts w:asciiTheme="minorHAnsi" w:eastAsia="Calibri" w:hAnsiTheme="minorHAnsi" w:cstheme="minorHAnsi"/>
          <w:b/>
          <w:bCs/>
          <w:noProof/>
          <w:sz w:val="20"/>
          <w:szCs w:val="20"/>
        </w:rPr>
        <w:t>Kontakt pro média:</w:t>
      </w:r>
    </w:p>
    <w:p w14:paraId="459105C8" w14:textId="19390DF7" w:rsidR="00692610" w:rsidRPr="00C21F84" w:rsidRDefault="0029038B" w:rsidP="00C07D5F">
      <w:pPr>
        <w:rPr>
          <w:rFonts w:asciiTheme="minorHAnsi" w:eastAsia="Calibri" w:hAnsiTheme="minorHAnsi" w:cstheme="minorHAnsi"/>
          <w:bCs/>
          <w:noProof/>
          <w:sz w:val="20"/>
          <w:szCs w:val="20"/>
          <w:lang w:bidi="ar-SA"/>
        </w:rPr>
      </w:pPr>
      <w:r>
        <w:rPr>
          <w:rFonts w:asciiTheme="minorHAnsi" w:eastAsia="Calibri" w:hAnsiTheme="minorHAnsi" w:cstheme="minorHAnsi"/>
          <w:bCs/>
          <w:noProof/>
          <w:sz w:val="20"/>
          <w:szCs w:val="20"/>
        </w:rPr>
        <w:t>Lenka Kuželová</w:t>
      </w:r>
    </w:p>
    <w:p w14:paraId="1DBDA364" w14:textId="46DCE93E" w:rsidR="005F2383" w:rsidRPr="00C21F84" w:rsidRDefault="00692610" w:rsidP="00C07D5F">
      <w:pPr>
        <w:pStyle w:val="Bezmezer"/>
        <w:rPr>
          <w:rFonts w:eastAsia="Calibri" w:cstheme="minorHAnsi"/>
          <w:noProof/>
          <w:sz w:val="20"/>
          <w:szCs w:val="20"/>
        </w:rPr>
      </w:pPr>
      <w:r w:rsidRPr="00C21F84">
        <w:rPr>
          <w:rFonts w:eastAsia="Calibri" w:cstheme="minorHAnsi"/>
          <w:noProof/>
          <w:sz w:val="20"/>
          <w:szCs w:val="20"/>
        </w:rPr>
        <w:t xml:space="preserve">Specialistka PR </w:t>
      </w:r>
    </w:p>
    <w:p w14:paraId="2CCB0CE9" w14:textId="3221ACD0" w:rsidR="0029038B" w:rsidRDefault="0029038B" w:rsidP="0029038B">
      <w:pPr>
        <w:pStyle w:val="Bezmezer"/>
        <w:rPr>
          <w:rFonts w:eastAsia="F015TEELig" w:cstheme="minorHAnsi"/>
          <w:sz w:val="21"/>
          <w:szCs w:val="21"/>
        </w:rPr>
      </w:pPr>
      <w:r>
        <w:rPr>
          <w:rFonts w:eastAsia="F015TEELig" w:cstheme="minorHAnsi"/>
          <w:sz w:val="21"/>
          <w:szCs w:val="21"/>
        </w:rPr>
        <w:t>Mobil:</w:t>
      </w:r>
      <w:r w:rsidR="0085766D">
        <w:rPr>
          <w:rFonts w:eastAsia="F015TEELig" w:cstheme="minorHAnsi"/>
          <w:sz w:val="21"/>
          <w:szCs w:val="21"/>
        </w:rPr>
        <w:t xml:space="preserve"> +420 731 537 696</w:t>
      </w:r>
      <w:r w:rsidRPr="00AD79CC">
        <w:rPr>
          <w:rFonts w:eastAsia="F015TEELig" w:cstheme="minorHAnsi"/>
          <w:sz w:val="21"/>
          <w:szCs w:val="21"/>
        </w:rPr>
        <w:t xml:space="preserve">, </w:t>
      </w:r>
    </w:p>
    <w:p w14:paraId="46F484FA" w14:textId="2D9E4BB4" w:rsidR="0029038B" w:rsidRPr="00AD79CC" w:rsidRDefault="0029038B" w:rsidP="0029038B">
      <w:pPr>
        <w:pStyle w:val="Bezmezer"/>
        <w:rPr>
          <w:rFonts w:eastAsia="F015TEELig" w:cstheme="minorHAnsi"/>
          <w:sz w:val="21"/>
          <w:szCs w:val="21"/>
        </w:rPr>
      </w:pPr>
      <w:r w:rsidRPr="00AD79CC">
        <w:rPr>
          <w:rFonts w:eastAsia="F015TEELig" w:cstheme="minorHAnsi"/>
          <w:sz w:val="21"/>
          <w:szCs w:val="21"/>
        </w:rPr>
        <w:t>e-mail:</w:t>
      </w:r>
      <w:r w:rsidRPr="00AD79CC">
        <w:rPr>
          <w:rFonts w:eastAsia="Calibri" w:cstheme="minorHAnsi"/>
          <w:noProof/>
          <w:sz w:val="21"/>
          <w:szCs w:val="21"/>
        </w:rPr>
        <w:t xml:space="preserve"> </w:t>
      </w:r>
      <w:hyperlink r:id="rId31" w:history="1">
        <w:r w:rsidRPr="00DE288C">
          <w:rPr>
            <w:rStyle w:val="Hypertextovodkaz"/>
            <w:rFonts w:eastAsia="Calibri" w:cstheme="minorHAnsi"/>
            <w:noProof/>
            <w:sz w:val="21"/>
            <w:szCs w:val="21"/>
          </w:rPr>
          <w:t>lenka.kuzelova@bcas.cz</w:t>
        </w:r>
      </w:hyperlink>
      <w:r>
        <w:rPr>
          <w:rFonts w:eastAsia="Calibri" w:cstheme="minorHAnsi"/>
          <w:noProof/>
          <w:sz w:val="21"/>
          <w:szCs w:val="21"/>
        </w:rPr>
        <w:t xml:space="preserve"> </w:t>
      </w:r>
    </w:p>
    <w:p w14:paraId="025F1B2F" w14:textId="28790D00" w:rsidR="00D60D98" w:rsidRPr="00C21F84" w:rsidRDefault="00D60D98" w:rsidP="0029038B">
      <w:pPr>
        <w:pStyle w:val="Bezmezer"/>
        <w:rPr>
          <w:rFonts w:eastAsia="Calibri" w:cstheme="minorHAnsi"/>
          <w:noProof/>
          <w:sz w:val="20"/>
          <w:szCs w:val="20"/>
        </w:rPr>
      </w:pPr>
    </w:p>
    <w:sectPr w:rsidR="00D60D98" w:rsidRPr="00C21F84"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74F5C6" w14:textId="77777777" w:rsidR="00EF62DE" w:rsidRDefault="00EF62DE">
      <w:r>
        <w:separator/>
      </w:r>
    </w:p>
  </w:endnote>
  <w:endnote w:type="continuationSeparator" w:id="0">
    <w:p w14:paraId="52495724" w14:textId="77777777" w:rsidR="00EF62DE" w:rsidRDefault="00EF6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F015TEELig">
    <w:altName w:val="Times New Roman"/>
    <w:charset w:val="EE"/>
    <w:family w:val="auto"/>
    <w:pitch w:val="variable"/>
    <w:sig w:usb0="00000001" w:usb1="00002048" w:usb2="00000000" w:usb3="00000000" w:csb0="00000083" w:csb1="00000000"/>
  </w:font>
  <w:font w:name="Calibri">
    <w:panose1 w:val="020F0502020204030204"/>
    <w:charset w:val="EE"/>
    <w:family w:val="swiss"/>
    <w:pitch w:val="variable"/>
    <w:sig w:usb0="E4002EFF" w:usb1="C000247B" w:usb2="00000009" w:usb3="00000000" w:csb0="000001FF"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F844E" w14:textId="77777777" w:rsidR="00182E22" w:rsidRDefault="00182E2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EF62DE"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812DCE"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EF62DE"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812DCE"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EF62DE"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812DCE"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FC255" w14:textId="77777777" w:rsidR="00182E22" w:rsidRDefault="00182E22">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EAE542" w14:textId="77777777" w:rsidR="00EF62DE" w:rsidRDefault="00EF62DE">
      <w:r>
        <w:separator/>
      </w:r>
    </w:p>
  </w:footnote>
  <w:footnote w:type="continuationSeparator" w:id="0">
    <w:p w14:paraId="268B7EA5" w14:textId="77777777" w:rsidR="00EF62DE" w:rsidRDefault="00EF62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49F15" w14:textId="77777777" w:rsidR="00182E22" w:rsidRDefault="00182E22">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7443AD" w:rsidRDefault="00D80B6D" w:rsidP="00E95698">
    <w:pPr>
      <w:tabs>
        <w:tab w:val="left" w:pos="8633"/>
      </w:tabs>
      <w:spacing w:before="80"/>
      <w:ind w:firstLine="2880"/>
      <w:rPr>
        <w:rFonts w:asciiTheme="minorHAnsi" w:hAnsiTheme="minorHAnsi" w:cstheme="minorHAnsi"/>
        <w:sz w:val="52"/>
      </w:rPr>
    </w:pPr>
    <w:r w:rsidRPr="007443AD">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7443AD">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7443AD">
      <w:rPr>
        <w:rFonts w:asciiTheme="minorHAnsi" w:hAnsiTheme="minorHAnsi" w:cstheme="minorHAnsi"/>
        <w:color w:val="1D1D1B"/>
        <w:sz w:val="48"/>
      </w:rPr>
      <w:t xml:space="preserve">BROKER CONSULTING </w:t>
    </w:r>
    <w:r w:rsidRPr="007443AD">
      <w:rPr>
        <w:rFonts w:asciiTheme="minorHAnsi" w:hAnsiTheme="minorHAnsi" w:cstheme="minorHAnsi"/>
        <w:color w:val="CD1719"/>
        <w:sz w:val="52"/>
      </w:rPr>
      <w:t>INDEX</w:t>
    </w:r>
  </w:p>
  <w:p w14:paraId="2B920E62"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5E83C" w14:textId="77777777" w:rsidR="00182E22" w:rsidRDefault="00182E22">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43C085E5" w14:textId="62CDD8CE" w:rsidR="000F4B6C" w:rsidRDefault="00D40C89" w:rsidP="00D40C89">
    <w:pPr>
      <w:spacing w:before="85"/>
      <w:ind w:left="1440" w:firstLine="720"/>
      <w:rPr>
        <w:rFonts w:ascii="Arial" w:hAnsi="Arial" w:cs="Arial"/>
        <w:color w:val="E52713"/>
        <w:sz w:val="28"/>
        <w:szCs w:val="28"/>
      </w:rPr>
    </w:pPr>
    <w:r w:rsidRPr="00B65A3B">
      <w:rPr>
        <w:rFonts w:ascii="Arial" w:hAnsi="Arial" w:cs="Arial"/>
        <w:color w:val="E52713"/>
        <w:sz w:val="28"/>
        <w:szCs w:val="28"/>
      </w:rPr>
      <w:t xml:space="preserve">INDEX </w:t>
    </w:r>
    <w:r>
      <w:rPr>
        <w:rFonts w:ascii="Arial" w:hAnsi="Arial" w:cs="Arial"/>
        <w:color w:val="E52713"/>
        <w:sz w:val="28"/>
        <w:szCs w:val="28"/>
      </w:rPr>
      <w:t>HYPOTEČNÍCH ÚVĚRŮ &amp; FIXINDEX</w:t>
    </w:r>
  </w:p>
  <w:p w14:paraId="0E033147" w14:textId="77777777" w:rsidR="00D40C89" w:rsidRPr="00D40C89" w:rsidRDefault="00D40C89" w:rsidP="00D40C89">
    <w:pPr>
      <w:spacing w:before="85"/>
      <w:ind w:left="1440" w:firstLine="720"/>
      <w:rPr>
        <w:rFonts w:ascii="Arial" w:hAnsi="Arial" w:cs="Arial"/>
        <w:color w:val="E52713"/>
        <w:sz w:val="28"/>
        <w:szCs w:val="28"/>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7443AD" w:rsidRDefault="009F59EE" w:rsidP="009F59EE">
    <w:pPr>
      <w:pStyle w:val="Nadpis2"/>
      <w:ind w:left="1440" w:firstLine="720"/>
      <w:rPr>
        <w:rFonts w:asciiTheme="minorHAnsi" w:hAnsiTheme="minorHAnsi" w:cstheme="minorHAnsi"/>
      </w:rPr>
    </w:pPr>
    <w:r w:rsidRPr="007443AD">
      <w:rPr>
        <w:rFonts w:asciiTheme="minorHAnsi" w:hAnsiTheme="minorHAnsi" w:cstheme="minorHAnsi"/>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7443AD">
      <w:rPr>
        <w:rFonts w:asciiTheme="minorHAnsi" w:hAnsiTheme="minorHAnsi" w:cstheme="minorHAnsi"/>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7443AD">
      <w:rPr>
        <w:rFonts w:asciiTheme="minorHAnsi" w:hAnsiTheme="minorHAnsi" w:cstheme="minorHAnsi"/>
        <w:color w:val="1D1D1B"/>
      </w:rPr>
      <w:t>BROKER CONSULTING</w:t>
    </w:r>
  </w:p>
  <w:p w14:paraId="3FF270D6" w14:textId="6799F236" w:rsidR="00D40C89" w:rsidRPr="007443AD" w:rsidRDefault="009F59EE" w:rsidP="00D40C89">
    <w:pPr>
      <w:spacing w:before="85"/>
      <w:ind w:left="1440" w:firstLine="720"/>
      <w:rPr>
        <w:rFonts w:asciiTheme="minorHAnsi" w:hAnsiTheme="minorHAnsi" w:cstheme="minorHAnsi"/>
        <w:color w:val="E52713"/>
        <w:sz w:val="28"/>
        <w:szCs w:val="28"/>
      </w:rPr>
    </w:pPr>
    <w:r w:rsidRPr="007443AD">
      <w:rPr>
        <w:rFonts w:asciiTheme="minorHAnsi" w:hAnsiTheme="minorHAnsi" w:cstheme="minorHAnsi"/>
        <w:color w:val="E52713"/>
        <w:sz w:val="28"/>
        <w:szCs w:val="28"/>
      </w:rPr>
      <w:t xml:space="preserve">INDEX </w:t>
    </w:r>
    <w:r w:rsidR="002A1185" w:rsidRPr="007443AD">
      <w:rPr>
        <w:rFonts w:asciiTheme="minorHAnsi" w:hAnsiTheme="minorHAnsi" w:cstheme="minorHAnsi"/>
        <w:color w:val="E52713"/>
        <w:sz w:val="28"/>
        <w:szCs w:val="28"/>
      </w:rPr>
      <w:t>HYPOTEČNÍCH ÚVĚRŮ</w:t>
    </w:r>
    <w:r w:rsidR="00D40C89" w:rsidRPr="007443AD">
      <w:rPr>
        <w:rFonts w:asciiTheme="minorHAnsi" w:hAnsiTheme="minorHAnsi" w:cstheme="minorHAnsi"/>
        <w:color w:val="E52713"/>
        <w:sz w:val="28"/>
        <w:szCs w:val="28"/>
      </w:rPr>
      <w:t xml:space="preserve"> &amp; FIXINDEX</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44BEA"/>
    <w:multiLevelType w:val="hybridMultilevel"/>
    <w:tmpl w:val="1A8CC4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823025E"/>
    <w:multiLevelType w:val="hybridMultilevel"/>
    <w:tmpl w:val="ECCE2D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FE52180"/>
    <w:multiLevelType w:val="hybridMultilevel"/>
    <w:tmpl w:val="CA92D9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48631C5"/>
    <w:multiLevelType w:val="hybridMultilevel"/>
    <w:tmpl w:val="37368C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5" w15:restartNumberingAfterBreak="0">
    <w:nsid w:val="3A62021C"/>
    <w:multiLevelType w:val="hybridMultilevel"/>
    <w:tmpl w:val="40EC065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45325D01"/>
    <w:multiLevelType w:val="hybridMultilevel"/>
    <w:tmpl w:val="20B04784"/>
    <w:lvl w:ilvl="0" w:tplc="67E89344">
      <w:start w:val="6"/>
      <w:numFmt w:val="bullet"/>
      <w:lvlText w:val="-"/>
      <w:lvlJc w:val="left"/>
      <w:pPr>
        <w:ind w:left="720" w:hanging="360"/>
      </w:pPr>
      <w:rPr>
        <w:rFonts w:ascii="Arial" w:eastAsia="F015TEELig"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5D60C79"/>
    <w:multiLevelType w:val="hybridMultilevel"/>
    <w:tmpl w:val="E6EECF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914760E"/>
    <w:multiLevelType w:val="hybridMultilevel"/>
    <w:tmpl w:val="7B56EE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69E675A0"/>
    <w:multiLevelType w:val="hybridMultilevel"/>
    <w:tmpl w:val="B462C0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2B60605"/>
    <w:multiLevelType w:val="hybridMultilevel"/>
    <w:tmpl w:val="482ABF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5E63C89"/>
    <w:multiLevelType w:val="hybridMultilevel"/>
    <w:tmpl w:val="03AAFAE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2"/>
  </w:num>
  <w:num w:numId="4">
    <w:abstractNumId w:val="9"/>
  </w:num>
  <w:num w:numId="5">
    <w:abstractNumId w:val="10"/>
  </w:num>
  <w:num w:numId="6">
    <w:abstractNumId w:val="6"/>
  </w:num>
  <w:num w:numId="7">
    <w:abstractNumId w:val="12"/>
  </w:num>
  <w:num w:numId="8">
    <w:abstractNumId w:val="3"/>
  </w:num>
  <w:num w:numId="9">
    <w:abstractNumId w:val="8"/>
  </w:num>
  <w:num w:numId="10">
    <w:abstractNumId w:val="5"/>
  </w:num>
  <w:num w:numId="11">
    <w:abstractNumId w:val="11"/>
  </w:num>
  <w:num w:numId="12">
    <w:abstractNumId w:val="8"/>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306F"/>
    <w:rsid w:val="00004919"/>
    <w:rsid w:val="00005B61"/>
    <w:rsid w:val="00010EBF"/>
    <w:rsid w:val="00011DF6"/>
    <w:rsid w:val="00014FB5"/>
    <w:rsid w:val="0001597B"/>
    <w:rsid w:val="00020EC7"/>
    <w:rsid w:val="0002230E"/>
    <w:rsid w:val="000226F3"/>
    <w:rsid w:val="00026F23"/>
    <w:rsid w:val="000277AC"/>
    <w:rsid w:val="00027C83"/>
    <w:rsid w:val="0003028F"/>
    <w:rsid w:val="00030E97"/>
    <w:rsid w:val="00032D94"/>
    <w:rsid w:val="0003332D"/>
    <w:rsid w:val="00033FD7"/>
    <w:rsid w:val="000374D7"/>
    <w:rsid w:val="00037DAF"/>
    <w:rsid w:val="000400E4"/>
    <w:rsid w:val="000412FA"/>
    <w:rsid w:val="0004477D"/>
    <w:rsid w:val="0004487D"/>
    <w:rsid w:val="00044EC5"/>
    <w:rsid w:val="00045D86"/>
    <w:rsid w:val="00046AF6"/>
    <w:rsid w:val="0004776E"/>
    <w:rsid w:val="0005423A"/>
    <w:rsid w:val="00057F54"/>
    <w:rsid w:val="000611E3"/>
    <w:rsid w:val="00061BF6"/>
    <w:rsid w:val="00070652"/>
    <w:rsid w:val="00074B2B"/>
    <w:rsid w:val="000766E7"/>
    <w:rsid w:val="00080E7A"/>
    <w:rsid w:val="00081616"/>
    <w:rsid w:val="000823D3"/>
    <w:rsid w:val="00082D29"/>
    <w:rsid w:val="0008331F"/>
    <w:rsid w:val="000845CA"/>
    <w:rsid w:val="000851AC"/>
    <w:rsid w:val="000853D4"/>
    <w:rsid w:val="00087894"/>
    <w:rsid w:val="000878FB"/>
    <w:rsid w:val="0009257D"/>
    <w:rsid w:val="00092AEE"/>
    <w:rsid w:val="00092BB7"/>
    <w:rsid w:val="00092C6B"/>
    <w:rsid w:val="00094C16"/>
    <w:rsid w:val="00096425"/>
    <w:rsid w:val="0009776B"/>
    <w:rsid w:val="000A080B"/>
    <w:rsid w:val="000A3E94"/>
    <w:rsid w:val="000A6CF9"/>
    <w:rsid w:val="000B11A5"/>
    <w:rsid w:val="000B187C"/>
    <w:rsid w:val="000B6DD9"/>
    <w:rsid w:val="000C181E"/>
    <w:rsid w:val="000C2DA6"/>
    <w:rsid w:val="000C5541"/>
    <w:rsid w:val="000C6D26"/>
    <w:rsid w:val="000C7564"/>
    <w:rsid w:val="000D0013"/>
    <w:rsid w:val="000D0B6F"/>
    <w:rsid w:val="000D14E2"/>
    <w:rsid w:val="000D2CFC"/>
    <w:rsid w:val="000D4AFB"/>
    <w:rsid w:val="000D6DDC"/>
    <w:rsid w:val="000D6E9B"/>
    <w:rsid w:val="000D7158"/>
    <w:rsid w:val="000E01C2"/>
    <w:rsid w:val="000E0639"/>
    <w:rsid w:val="000E19B2"/>
    <w:rsid w:val="000E1C76"/>
    <w:rsid w:val="000E3D86"/>
    <w:rsid w:val="000E568C"/>
    <w:rsid w:val="000E5D32"/>
    <w:rsid w:val="000E6E14"/>
    <w:rsid w:val="000F4B6C"/>
    <w:rsid w:val="000F50BC"/>
    <w:rsid w:val="000F6249"/>
    <w:rsid w:val="000F6EBE"/>
    <w:rsid w:val="00101CEC"/>
    <w:rsid w:val="00103109"/>
    <w:rsid w:val="00105248"/>
    <w:rsid w:val="00106E26"/>
    <w:rsid w:val="001115A2"/>
    <w:rsid w:val="001117DE"/>
    <w:rsid w:val="00111C28"/>
    <w:rsid w:val="00113603"/>
    <w:rsid w:val="001153E3"/>
    <w:rsid w:val="00117AE4"/>
    <w:rsid w:val="00120113"/>
    <w:rsid w:val="001214E7"/>
    <w:rsid w:val="00122208"/>
    <w:rsid w:val="00122CEB"/>
    <w:rsid w:val="0012361F"/>
    <w:rsid w:val="00125B97"/>
    <w:rsid w:val="0012657A"/>
    <w:rsid w:val="00126BEC"/>
    <w:rsid w:val="00127234"/>
    <w:rsid w:val="0013044E"/>
    <w:rsid w:val="00131A69"/>
    <w:rsid w:val="001327CE"/>
    <w:rsid w:val="00132E53"/>
    <w:rsid w:val="00136D8D"/>
    <w:rsid w:val="00137003"/>
    <w:rsid w:val="0013717C"/>
    <w:rsid w:val="00140987"/>
    <w:rsid w:val="00145622"/>
    <w:rsid w:val="001516CA"/>
    <w:rsid w:val="001524FB"/>
    <w:rsid w:val="00154308"/>
    <w:rsid w:val="00154AC2"/>
    <w:rsid w:val="0015559F"/>
    <w:rsid w:val="00156082"/>
    <w:rsid w:val="00160686"/>
    <w:rsid w:val="00160E1C"/>
    <w:rsid w:val="00161352"/>
    <w:rsid w:val="00161830"/>
    <w:rsid w:val="001620E3"/>
    <w:rsid w:val="00162D8E"/>
    <w:rsid w:val="00164598"/>
    <w:rsid w:val="0016482C"/>
    <w:rsid w:val="0016556A"/>
    <w:rsid w:val="001675AF"/>
    <w:rsid w:val="0016771F"/>
    <w:rsid w:val="0017296F"/>
    <w:rsid w:val="001734B4"/>
    <w:rsid w:val="00174317"/>
    <w:rsid w:val="00175545"/>
    <w:rsid w:val="001767A5"/>
    <w:rsid w:val="00176E93"/>
    <w:rsid w:val="00177C18"/>
    <w:rsid w:val="00182A92"/>
    <w:rsid w:val="00182E22"/>
    <w:rsid w:val="00187310"/>
    <w:rsid w:val="00187A96"/>
    <w:rsid w:val="00192716"/>
    <w:rsid w:val="00194831"/>
    <w:rsid w:val="00194B5D"/>
    <w:rsid w:val="001A0A5C"/>
    <w:rsid w:val="001A10BF"/>
    <w:rsid w:val="001A1A56"/>
    <w:rsid w:val="001A2D08"/>
    <w:rsid w:val="001A54DD"/>
    <w:rsid w:val="001A5AC8"/>
    <w:rsid w:val="001A61A5"/>
    <w:rsid w:val="001A7D2F"/>
    <w:rsid w:val="001B1E41"/>
    <w:rsid w:val="001B2A07"/>
    <w:rsid w:val="001B2C03"/>
    <w:rsid w:val="001B3B31"/>
    <w:rsid w:val="001B4F4B"/>
    <w:rsid w:val="001B501B"/>
    <w:rsid w:val="001B58E7"/>
    <w:rsid w:val="001B6694"/>
    <w:rsid w:val="001B6D7A"/>
    <w:rsid w:val="001B7936"/>
    <w:rsid w:val="001C22FE"/>
    <w:rsid w:val="001D015A"/>
    <w:rsid w:val="001D30C7"/>
    <w:rsid w:val="001D33FA"/>
    <w:rsid w:val="001D36F0"/>
    <w:rsid w:val="001D3DFC"/>
    <w:rsid w:val="001D42DB"/>
    <w:rsid w:val="001D45F5"/>
    <w:rsid w:val="001D5EFC"/>
    <w:rsid w:val="001E02C2"/>
    <w:rsid w:val="001E0A89"/>
    <w:rsid w:val="001E13C0"/>
    <w:rsid w:val="001E1597"/>
    <w:rsid w:val="001E4209"/>
    <w:rsid w:val="001F1D14"/>
    <w:rsid w:val="001F2399"/>
    <w:rsid w:val="001F4D74"/>
    <w:rsid w:val="001F7194"/>
    <w:rsid w:val="001F71BA"/>
    <w:rsid w:val="001F7577"/>
    <w:rsid w:val="002019F3"/>
    <w:rsid w:val="0020207A"/>
    <w:rsid w:val="00202F22"/>
    <w:rsid w:val="00203BD4"/>
    <w:rsid w:val="002046F4"/>
    <w:rsid w:val="00206E92"/>
    <w:rsid w:val="00207D22"/>
    <w:rsid w:val="00212C2E"/>
    <w:rsid w:val="0021395D"/>
    <w:rsid w:val="002141AF"/>
    <w:rsid w:val="00216B81"/>
    <w:rsid w:val="00216F2E"/>
    <w:rsid w:val="00217E92"/>
    <w:rsid w:val="00220529"/>
    <w:rsid w:val="002220C9"/>
    <w:rsid w:val="00223FFD"/>
    <w:rsid w:val="00224AF1"/>
    <w:rsid w:val="00224E6E"/>
    <w:rsid w:val="00225CEC"/>
    <w:rsid w:val="00225D70"/>
    <w:rsid w:val="00232B0D"/>
    <w:rsid w:val="00233BF3"/>
    <w:rsid w:val="002368F3"/>
    <w:rsid w:val="00236A37"/>
    <w:rsid w:val="00241313"/>
    <w:rsid w:val="00241AA2"/>
    <w:rsid w:val="00241DC1"/>
    <w:rsid w:val="0024212A"/>
    <w:rsid w:val="00242669"/>
    <w:rsid w:val="00243384"/>
    <w:rsid w:val="002447CA"/>
    <w:rsid w:val="0025080B"/>
    <w:rsid w:val="0025183C"/>
    <w:rsid w:val="00251F32"/>
    <w:rsid w:val="0025264B"/>
    <w:rsid w:val="00252DB1"/>
    <w:rsid w:val="00253ACF"/>
    <w:rsid w:val="00253C9E"/>
    <w:rsid w:val="0025428A"/>
    <w:rsid w:val="002555D2"/>
    <w:rsid w:val="00257978"/>
    <w:rsid w:val="002619DC"/>
    <w:rsid w:val="00263E2B"/>
    <w:rsid w:val="002676E8"/>
    <w:rsid w:val="00267705"/>
    <w:rsid w:val="00270B59"/>
    <w:rsid w:val="00270DB3"/>
    <w:rsid w:val="002717C9"/>
    <w:rsid w:val="0027235F"/>
    <w:rsid w:val="0027691A"/>
    <w:rsid w:val="00277D20"/>
    <w:rsid w:val="00280730"/>
    <w:rsid w:val="0028081F"/>
    <w:rsid w:val="00281C61"/>
    <w:rsid w:val="00281DB8"/>
    <w:rsid w:val="00285767"/>
    <w:rsid w:val="0028607C"/>
    <w:rsid w:val="002863CE"/>
    <w:rsid w:val="0029038B"/>
    <w:rsid w:val="0029566F"/>
    <w:rsid w:val="002961B5"/>
    <w:rsid w:val="00296B24"/>
    <w:rsid w:val="002A1185"/>
    <w:rsid w:val="002A208F"/>
    <w:rsid w:val="002A498A"/>
    <w:rsid w:val="002A61B7"/>
    <w:rsid w:val="002B01AF"/>
    <w:rsid w:val="002B094E"/>
    <w:rsid w:val="002B1E20"/>
    <w:rsid w:val="002B2A94"/>
    <w:rsid w:val="002B3C6D"/>
    <w:rsid w:val="002B4265"/>
    <w:rsid w:val="002B4919"/>
    <w:rsid w:val="002B4B98"/>
    <w:rsid w:val="002B6F4E"/>
    <w:rsid w:val="002B7650"/>
    <w:rsid w:val="002C06E2"/>
    <w:rsid w:val="002C0E94"/>
    <w:rsid w:val="002C26EB"/>
    <w:rsid w:val="002C6C42"/>
    <w:rsid w:val="002C7D70"/>
    <w:rsid w:val="002D179B"/>
    <w:rsid w:val="002D23B9"/>
    <w:rsid w:val="002D3534"/>
    <w:rsid w:val="002D49F7"/>
    <w:rsid w:val="002D64A2"/>
    <w:rsid w:val="002E0400"/>
    <w:rsid w:val="002E1A01"/>
    <w:rsid w:val="002E1A0D"/>
    <w:rsid w:val="002E6173"/>
    <w:rsid w:val="002E6DB6"/>
    <w:rsid w:val="002F002B"/>
    <w:rsid w:val="002F06AC"/>
    <w:rsid w:val="002F09BA"/>
    <w:rsid w:val="002F46B0"/>
    <w:rsid w:val="002F485A"/>
    <w:rsid w:val="002F5550"/>
    <w:rsid w:val="002F62C4"/>
    <w:rsid w:val="002F7818"/>
    <w:rsid w:val="002F7EC2"/>
    <w:rsid w:val="003006A5"/>
    <w:rsid w:val="003015E0"/>
    <w:rsid w:val="0030207B"/>
    <w:rsid w:val="00303778"/>
    <w:rsid w:val="00303A6E"/>
    <w:rsid w:val="003046FE"/>
    <w:rsid w:val="0030751A"/>
    <w:rsid w:val="00307CF8"/>
    <w:rsid w:val="00307E95"/>
    <w:rsid w:val="00307FEB"/>
    <w:rsid w:val="003128F8"/>
    <w:rsid w:val="00313D42"/>
    <w:rsid w:val="00322E5E"/>
    <w:rsid w:val="00323B17"/>
    <w:rsid w:val="003243A6"/>
    <w:rsid w:val="003247B0"/>
    <w:rsid w:val="0032734F"/>
    <w:rsid w:val="00330918"/>
    <w:rsid w:val="003310D8"/>
    <w:rsid w:val="0033296E"/>
    <w:rsid w:val="003337A9"/>
    <w:rsid w:val="0033431C"/>
    <w:rsid w:val="0033488F"/>
    <w:rsid w:val="00340E70"/>
    <w:rsid w:val="00342F85"/>
    <w:rsid w:val="00347557"/>
    <w:rsid w:val="00352435"/>
    <w:rsid w:val="003529EF"/>
    <w:rsid w:val="00355366"/>
    <w:rsid w:val="003555BB"/>
    <w:rsid w:val="003629B6"/>
    <w:rsid w:val="00362BFF"/>
    <w:rsid w:val="003640C8"/>
    <w:rsid w:val="00364C11"/>
    <w:rsid w:val="00371225"/>
    <w:rsid w:val="003721AD"/>
    <w:rsid w:val="00376086"/>
    <w:rsid w:val="003761D9"/>
    <w:rsid w:val="00380608"/>
    <w:rsid w:val="00380E0A"/>
    <w:rsid w:val="00382546"/>
    <w:rsid w:val="00382EAD"/>
    <w:rsid w:val="00383DC5"/>
    <w:rsid w:val="00385EED"/>
    <w:rsid w:val="00386A43"/>
    <w:rsid w:val="00390B58"/>
    <w:rsid w:val="00394851"/>
    <w:rsid w:val="00395F41"/>
    <w:rsid w:val="003967DF"/>
    <w:rsid w:val="003A156E"/>
    <w:rsid w:val="003A291C"/>
    <w:rsid w:val="003A3DE2"/>
    <w:rsid w:val="003A4860"/>
    <w:rsid w:val="003A4D47"/>
    <w:rsid w:val="003A6435"/>
    <w:rsid w:val="003A7D32"/>
    <w:rsid w:val="003B0E4F"/>
    <w:rsid w:val="003B1966"/>
    <w:rsid w:val="003B221E"/>
    <w:rsid w:val="003B5B25"/>
    <w:rsid w:val="003B60CA"/>
    <w:rsid w:val="003B7BDD"/>
    <w:rsid w:val="003C0CBE"/>
    <w:rsid w:val="003C1344"/>
    <w:rsid w:val="003C3421"/>
    <w:rsid w:val="003C5D0A"/>
    <w:rsid w:val="003D1987"/>
    <w:rsid w:val="003D3431"/>
    <w:rsid w:val="003D3AE8"/>
    <w:rsid w:val="003D69A7"/>
    <w:rsid w:val="003E1308"/>
    <w:rsid w:val="003F07E8"/>
    <w:rsid w:val="003F472F"/>
    <w:rsid w:val="003F79EC"/>
    <w:rsid w:val="00400129"/>
    <w:rsid w:val="004005D9"/>
    <w:rsid w:val="00400A5A"/>
    <w:rsid w:val="00407AE9"/>
    <w:rsid w:val="004120C7"/>
    <w:rsid w:val="0041257F"/>
    <w:rsid w:val="0042193A"/>
    <w:rsid w:val="004267DE"/>
    <w:rsid w:val="00430ABD"/>
    <w:rsid w:val="00431631"/>
    <w:rsid w:val="00432FD5"/>
    <w:rsid w:val="00434C5D"/>
    <w:rsid w:val="004350F6"/>
    <w:rsid w:val="00435115"/>
    <w:rsid w:val="00441028"/>
    <w:rsid w:val="00444432"/>
    <w:rsid w:val="00445D0A"/>
    <w:rsid w:val="00450DBC"/>
    <w:rsid w:val="00451896"/>
    <w:rsid w:val="00451B7B"/>
    <w:rsid w:val="0045292A"/>
    <w:rsid w:val="004540ED"/>
    <w:rsid w:val="00454843"/>
    <w:rsid w:val="004564BC"/>
    <w:rsid w:val="004565C7"/>
    <w:rsid w:val="00460176"/>
    <w:rsid w:val="004627B9"/>
    <w:rsid w:val="00465E53"/>
    <w:rsid w:val="00466329"/>
    <w:rsid w:val="00473219"/>
    <w:rsid w:val="00477DCC"/>
    <w:rsid w:val="00477FFA"/>
    <w:rsid w:val="004813B2"/>
    <w:rsid w:val="00481D66"/>
    <w:rsid w:val="00483579"/>
    <w:rsid w:val="004835F4"/>
    <w:rsid w:val="00487B6B"/>
    <w:rsid w:val="004919CC"/>
    <w:rsid w:val="004928CB"/>
    <w:rsid w:val="00492941"/>
    <w:rsid w:val="00495AFF"/>
    <w:rsid w:val="00495E14"/>
    <w:rsid w:val="00496183"/>
    <w:rsid w:val="004A08FC"/>
    <w:rsid w:val="004A3439"/>
    <w:rsid w:val="004B1364"/>
    <w:rsid w:val="004B2C5B"/>
    <w:rsid w:val="004B5104"/>
    <w:rsid w:val="004B5797"/>
    <w:rsid w:val="004B5B94"/>
    <w:rsid w:val="004B6304"/>
    <w:rsid w:val="004B64B3"/>
    <w:rsid w:val="004B6AF3"/>
    <w:rsid w:val="004C0179"/>
    <w:rsid w:val="004C0CEF"/>
    <w:rsid w:val="004C0D41"/>
    <w:rsid w:val="004C3F71"/>
    <w:rsid w:val="004C61F5"/>
    <w:rsid w:val="004D14C1"/>
    <w:rsid w:val="004D2C46"/>
    <w:rsid w:val="004D3578"/>
    <w:rsid w:val="004D4D9F"/>
    <w:rsid w:val="004D6BA6"/>
    <w:rsid w:val="004E2983"/>
    <w:rsid w:val="004E3BA4"/>
    <w:rsid w:val="004E4E81"/>
    <w:rsid w:val="004E4E9F"/>
    <w:rsid w:val="004E67DB"/>
    <w:rsid w:val="004F1934"/>
    <w:rsid w:val="004F1E84"/>
    <w:rsid w:val="00500925"/>
    <w:rsid w:val="005042D1"/>
    <w:rsid w:val="00506098"/>
    <w:rsid w:val="00506161"/>
    <w:rsid w:val="0050659B"/>
    <w:rsid w:val="00506889"/>
    <w:rsid w:val="00510050"/>
    <w:rsid w:val="00512D6B"/>
    <w:rsid w:val="00512FF6"/>
    <w:rsid w:val="005153F7"/>
    <w:rsid w:val="0052216B"/>
    <w:rsid w:val="005224C1"/>
    <w:rsid w:val="0052338B"/>
    <w:rsid w:val="00523D4C"/>
    <w:rsid w:val="005275F9"/>
    <w:rsid w:val="00530F68"/>
    <w:rsid w:val="0053153F"/>
    <w:rsid w:val="00532F2D"/>
    <w:rsid w:val="005339D0"/>
    <w:rsid w:val="00534E75"/>
    <w:rsid w:val="00536954"/>
    <w:rsid w:val="005379BC"/>
    <w:rsid w:val="00540606"/>
    <w:rsid w:val="00541870"/>
    <w:rsid w:val="0054297E"/>
    <w:rsid w:val="005436EC"/>
    <w:rsid w:val="005447C5"/>
    <w:rsid w:val="00544A37"/>
    <w:rsid w:val="005455B0"/>
    <w:rsid w:val="0055263D"/>
    <w:rsid w:val="00552E2B"/>
    <w:rsid w:val="0055303C"/>
    <w:rsid w:val="00553369"/>
    <w:rsid w:val="00554574"/>
    <w:rsid w:val="0055553F"/>
    <w:rsid w:val="0056150F"/>
    <w:rsid w:val="005678E0"/>
    <w:rsid w:val="005729F4"/>
    <w:rsid w:val="00576F58"/>
    <w:rsid w:val="00576F5E"/>
    <w:rsid w:val="005773B2"/>
    <w:rsid w:val="00577D19"/>
    <w:rsid w:val="0058062A"/>
    <w:rsid w:val="005834AE"/>
    <w:rsid w:val="0058666A"/>
    <w:rsid w:val="00586BEF"/>
    <w:rsid w:val="005875EC"/>
    <w:rsid w:val="00590434"/>
    <w:rsid w:val="00594050"/>
    <w:rsid w:val="0059432A"/>
    <w:rsid w:val="0059452A"/>
    <w:rsid w:val="005956E9"/>
    <w:rsid w:val="005A0ABD"/>
    <w:rsid w:val="005A2637"/>
    <w:rsid w:val="005A37E5"/>
    <w:rsid w:val="005A4497"/>
    <w:rsid w:val="005A5BBA"/>
    <w:rsid w:val="005A5F08"/>
    <w:rsid w:val="005A60B4"/>
    <w:rsid w:val="005A7A64"/>
    <w:rsid w:val="005B0719"/>
    <w:rsid w:val="005B0E8E"/>
    <w:rsid w:val="005B2E22"/>
    <w:rsid w:val="005B31D7"/>
    <w:rsid w:val="005B4E77"/>
    <w:rsid w:val="005B5427"/>
    <w:rsid w:val="005B5CA8"/>
    <w:rsid w:val="005B680B"/>
    <w:rsid w:val="005B6889"/>
    <w:rsid w:val="005B68FA"/>
    <w:rsid w:val="005B7492"/>
    <w:rsid w:val="005B7E46"/>
    <w:rsid w:val="005C0D63"/>
    <w:rsid w:val="005C41F6"/>
    <w:rsid w:val="005C48C1"/>
    <w:rsid w:val="005C7059"/>
    <w:rsid w:val="005D189A"/>
    <w:rsid w:val="005D4DA7"/>
    <w:rsid w:val="005D6963"/>
    <w:rsid w:val="005E3212"/>
    <w:rsid w:val="005E45D8"/>
    <w:rsid w:val="005E4855"/>
    <w:rsid w:val="005E7AEF"/>
    <w:rsid w:val="005F18D4"/>
    <w:rsid w:val="005F2383"/>
    <w:rsid w:val="005F44A0"/>
    <w:rsid w:val="005F57A1"/>
    <w:rsid w:val="005F65A1"/>
    <w:rsid w:val="005F7741"/>
    <w:rsid w:val="00600788"/>
    <w:rsid w:val="00600BA3"/>
    <w:rsid w:val="00605C5D"/>
    <w:rsid w:val="006106F0"/>
    <w:rsid w:val="006110E7"/>
    <w:rsid w:val="00612DC2"/>
    <w:rsid w:val="006135FD"/>
    <w:rsid w:val="00613A8D"/>
    <w:rsid w:val="006212F9"/>
    <w:rsid w:val="00622494"/>
    <w:rsid w:val="00624A82"/>
    <w:rsid w:val="0062747C"/>
    <w:rsid w:val="0062751F"/>
    <w:rsid w:val="00630DEE"/>
    <w:rsid w:val="0063253B"/>
    <w:rsid w:val="00633136"/>
    <w:rsid w:val="00636E70"/>
    <w:rsid w:val="0064020E"/>
    <w:rsid w:val="0064160C"/>
    <w:rsid w:val="0064209A"/>
    <w:rsid w:val="006429DE"/>
    <w:rsid w:val="00645BA9"/>
    <w:rsid w:val="00646B73"/>
    <w:rsid w:val="006501CB"/>
    <w:rsid w:val="00650A3C"/>
    <w:rsid w:val="00651415"/>
    <w:rsid w:val="00651B66"/>
    <w:rsid w:val="00651B79"/>
    <w:rsid w:val="00652695"/>
    <w:rsid w:val="006529D7"/>
    <w:rsid w:val="00652DCE"/>
    <w:rsid w:val="006545F8"/>
    <w:rsid w:val="00654F8C"/>
    <w:rsid w:val="00656312"/>
    <w:rsid w:val="0066135D"/>
    <w:rsid w:val="00661A5F"/>
    <w:rsid w:val="00663C36"/>
    <w:rsid w:val="00667012"/>
    <w:rsid w:val="00673DDB"/>
    <w:rsid w:val="00675F3B"/>
    <w:rsid w:val="006768F0"/>
    <w:rsid w:val="00676C10"/>
    <w:rsid w:val="00677078"/>
    <w:rsid w:val="006775B7"/>
    <w:rsid w:val="00677C07"/>
    <w:rsid w:val="006831FB"/>
    <w:rsid w:val="00684F62"/>
    <w:rsid w:val="0068617E"/>
    <w:rsid w:val="00686E01"/>
    <w:rsid w:val="00687107"/>
    <w:rsid w:val="00692610"/>
    <w:rsid w:val="006939E4"/>
    <w:rsid w:val="00693A07"/>
    <w:rsid w:val="00695DE8"/>
    <w:rsid w:val="006978DE"/>
    <w:rsid w:val="00697A40"/>
    <w:rsid w:val="00697F28"/>
    <w:rsid w:val="006A0BD0"/>
    <w:rsid w:val="006A150C"/>
    <w:rsid w:val="006A2F6C"/>
    <w:rsid w:val="006A3BE2"/>
    <w:rsid w:val="006A6601"/>
    <w:rsid w:val="006B2EA9"/>
    <w:rsid w:val="006B3A13"/>
    <w:rsid w:val="006B3CB5"/>
    <w:rsid w:val="006C0A70"/>
    <w:rsid w:val="006C2008"/>
    <w:rsid w:val="006C2696"/>
    <w:rsid w:val="006C4076"/>
    <w:rsid w:val="006C4193"/>
    <w:rsid w:val="006C61E8"/>
    <w:rsid w:val="006D01AF"/>
    <w:rsid w:val="006D1884"/>
    <w:rsid w:val="006D65EC"/>
    <w:rsid w:val="006E074A"/>
    <w:rsid w:val="006E1C67"/>
    <w:rsid w:val="006E26DC"/>
    <w:rsid w:val="006E52B8"/>
    <w:rsid w:val="006E675F"/>
    <w:rsid w:val="006E68CA"/>
    <w:rsid w:val="006F32FB"/>
    <w:rsid w:val="00700FD6"/>
    <w:rsid w:val="00705D83"/>
    <w:rsid w:val="0071201C"/>
    <w:rsid w:val="00712177"/>
    <w:rsid w:val="00713CD7"/>
    <w:rsid w:val="00714847"/>
    <w:rsid w:val="0072112F"/>
    <w:rsid w:val="007253C3"/>
    <w:rsid w:val="00730047"/>
    <w:rsid w:val="0073009C"/>
    <w:rsid w:val="007316BB"/>
    <w:rsid w:val="00731B6F"/>
    <w:rsid w:val="00731E05"/>
    <w:rsid w:val="00736FB9"/>
    <w:rsid w:val="00737562"/>
    <w:rsid w:val="007424FC"/>
    <w:rsid w:val="007443AD"/>
    <w:rsid w:val="007540ED"/>
    <w:rsid w:val="00756671"/>
    <w:rsid w:val="00762254"/>
    <w:rsid w:val="0076333E"/>
    <w:rsid w:val="00764BFF"/>
    <w:rsid w:val="00767284"/>
    <w:rsid w:val="00771B91"/>
    <w:rsid w:val="007737E3"/>
    <w:rsid w:val="007748DA"/>
    <w:rsid w:val="0077685A"/>
    <w:rsid w:val="00776A31"/>
    <w:rsid w:val="0078013F"/>
    <w:rsid w:val="007824F4"/>
    <w:rsid w:val="0078345F"/>
    <w:rsid w:val="00783AB1"/>
    <w:rsid w:val="00784109"/>
    <w:rsid w:val="00785FC5"/>
    <w:rsid w:val="0078631B"/>
    <w:rsid w:val="00786A1E"/>
    <w:rsid w:val="0078760B"/>
    <w:rsid w:val="00791A2B"/>
    <w:rsid w:val="00792A3B"/>
    <w:rsid w:val="00792EE9"/>
    <w:rsid w:val="00794BD8"/>
    <w:rsid w:val="00795445"/>
    <w:rsid w:val="0079572A"/>
    <w:rsid w:val="00795D79"/>
    <w:rsid w:val="0079732B"/>
    <w:rsid w:val="007A1121"/>
    <w:rsid w:val="007A1122"/>
    <w:rsid w:val="007A15A6"/>
    <w:rsid w:val="007A2531"/>
    <w:rsid w:val="007A278E"/>
    <w:rsid w:val="007B11F2"/>
    <w:rsid w:val="007B1851"/>
    <w:rsid w:val="007B232E"/>
    <w:rsid w:val="007B358E"/>
    <w:rsid w:val="007B3C38"/>
    <w:rsid w:val="007B5E2F"/>
    <w:rsid w:val="007C37DF"/>
    <w:rsid w:val="007C6288"/>
    <w:rsid w:val="007C6507"/>
    <w:rsid w:val="007D05D4"/>
    <w:rsid w:val="007D06A5"/>
    <w:rsid w:val="007D085C"/>
    <w:rsid w:val="007D1100"/>
    <w:rsid w:val="007D2280"/>
    <w:rsid w:val="007D3EF7"/>
    <w:rsid w:val="007D6B5F"/>
    <w:rsid w:val="007E1111"/>
    <w:rsid w:val="007E1865"/>
    <w:rsid w:val="007E5614"/>
    <w:rsid w:val="007F0754"/>
    <w:rsid w:val="007F3198"/>
    <w:rsid w:val="007F36AF"/>
    <w:rsid w:val="007F515C"/>
    <w:rsid w:val="007F5D81"/>
    <w:rsid w:val="008009B8"/>
    <w:rsid w:val="00800CEA"/>
    <w:rsid w:val="00807AD4"/>
    <w:rsid w:val="008104E0"/>
    <w:rsid w:val="00812DCE"/>
    <w:rsid w:val="0081387C"/>
    <w:rsid w:val="00817512"/>
    <w:rsid w:val="00822194"/>
    <w:rsid w:val="00822D26"/>
    <w:rsid w:val="008245C1"/>
    <w:rsid w:val="008269F5"/>
    <w:rsid w:val="00830105"/>
    <w:rsid w:val="0083053E"/>
    <w:rsid w:val="00830CE8"/>
    <w:rsid w:val="008317F6"/>
    <w:rsid w:val="00831B5E"/>
    <w:rsid w:val="00831F36"/>
    <w:rsid w:val="0083256C"/>
    <w:rsid w:val="0083338E"/>
    <w:rsid w:val="00833A44"/>
    <w:rsid w:val="0083519D"/>
    <w:rsid w:val="00843016"/>
    <w:rsid w:val="00844420"/>
    <w:rsid w:val="00845A34"/>
    <w:rsid w:val="00846E1E"/>
    <w:rsid w:val="00850445"/>
    <w:rsid w:val="008546D7"/>
    <w:rsid w:val="0085594F"/>
    <w:rsid w:val="0085766D"/>
    <w:rsid w:val="008630EC"/>
    <w:rsid w:val="00866791"/>
    <w:rsid w:val="00870EAA"/>
    <w:rsid w:val="00874FE0"/>
    <w:rsid w:val="008769D5"/>
    <w:rsid w:val="00882EE9"/>
    <w:rsid w:val="00883131"/>
    <w:rsid w:val="008834B2"/>
    <w:rsid w:val="00883A3E"/>
    <w:rsid w:val="008848CF"/>
    <w:rsid w:val="00885B2F"/>
    <w:rsid w:val="008866ED"/>
    <w:rsid w:val="008868A5"/>
    <w:rsid w:val="0089080A"/>
    <w:rsid w:val="00890A80"/>
    <w:rsid w:val="008926E5"/>
    <w:rsid w:val="008926F3"/>
    <w:rsid w:val="00892DB3"/>
    <w:rsid w:val="00893533"/>
    <w:rsid w:val="00894FAD"/>
    <w:rsid w:val="008957C5"/>
    <w:rsid w:val="00896014"/>
    <w:rsid w:val="0089614B"/>
    <w:rsid w:val="00896556"/>
    <w:rsid w:val="00896BE6"/>
    <w:rsid w:val="00896FD6"/>
    <w:rsid w:val="00897BD9"/>
    <w:rsid w:val="008A04D3"/>
    <w:rsid w:val="008A0C76"/>
    <w:rsid w:val="008A618B"/>
    <w:rsid w:val="008A663F"/>
    <w:rsid w:val="008B05F2"/>
    <w:rsid w:val="008B0636"/>
    <w:rsid w:val="008B1531"/>
    <w:rsid w:val="008B2EE5"/>
    <w:rsid w:val="008B3C82"/>
    <w:rsid w:val="008B41E0"/>
    <w:rsid w:val="008B5C5C"/>
    <w:rsid w:val="008B64C9"/>
    <w:rsid w:val="008C1795"/>
    <w:rsid w:val="008C4597"/>
    <w:rsid w:val="008C4B0D"/>
    <w:rsid w:val="008C7511"/>
    <w:rsid w:val="008C75D3"/>
    <w:rsid w:val="008C79A2"/>
    <w:rsid w:val="008D01F6"/>
    <w:rsid w:val="008D1E94"/>
    <w:rsid w:val="008D373A"/>
    <w:rsid w:val="008D484C"/>
    <w:rsid w:val="008D68A5"/>
    <w:rsid w:val="008E19F3"/>
    <w:rsid w:val="008E3B44"/>
    <w:rsid w:val="008E58ED"/>
    <w:rsid w:val="008E6712"/>
    <w:rsid w:val="008F0A7A"/>
    <w:rsid w:val="008F2226"/>
    <w:rsid w:val="008F25C5"/>
    <w:rsid w:val="008F4980"/>
    <w:rsid w:val="008F6707"/>
    <w:rsid w:val="008F6AAF"/>
    <w:rsid w:val="008F715C"/>
    <w:rsid w:val="008F7A61"/>
    <w:rsid w:val="00900951"/>
    <w:rsid w:val="00901813"/>
    <w:rsid w:val="00903020"/>
    <w:rsid w:val="00906176"/>
    <w:rsid w:val="0090637E"/>
    <w:rsid w:val="00906E67"/>
    <w:rsid w:val="00914002"/>
    <w:rsid w:val="00915ADA"/>
    <w:rsid w:val="009161BE"/>
    <w:rsid w:val="00917F21"/>
    <w:rsid w:val="009213AE"/>
    <w:rsid w:val="009222C9"/>
    <w:rsid w:val="00922BC9"/>
    <w:rsid w:val="00926825"/>
    <w:rsid w:val="009268FC"/>
    <w:rsid w:val="00926A98"/>
    <w:rsid w:val="00932625"/>
    <w:rsid w:val="00932ACD"/>
    <w:rsid w:val="009340FD"/>
    <w:rsid w:val="00934141"/>
    <w:rsid w:val="009344C2"/>
    <w:rsid w:val="009345C9"/>
    <w:rsid w:val="0093538A"/>
    <w:rsid w:val="00941295"/>
    <w:rsid w:val="009434D0"/>
    <w:rsid w:val="0094705C"/>
    <w:rsid w:val="009514FE"/>
    <w:rsid w:val="00952F66"/>
    <w:rsid w:val="00957B41"/>
    <w:rsid w:val="00961519"/>
    <w:rsid w:val="00962FD2"/>
    <w:rsid w:val="009644A2"/>
    <w:rsid w:val="00967162"/>
    <w:rsid w:val="00971DE7"/>
    <w:rsid w:val="00973C62"/>
    <w:rsid w:val="0097419E"/>
    <w:rsid w:val="00974A97"/>
    <w:rsid w:val="0097696C"/>
    <w:rsid w:val="00977B41"/>
    <w:rsid w:val="009808FE"/>
    <w:rsid w:val="00982987"/>
    <w:rsid w:val="00985386"/>
    <w:rsid w:val="00990318"/>
    <w:rsid w:val="0099489F"/>
    <w:rsid w:val="00994B64"/>
    <w:rsid w:val="009955B3"/>
    <w:rsid w:val="00996D72"/>
    <w:rsid w:val="009A4D99"/>
    <w:rsid w:val="009A53B7"/>
    <w:rsid w:val="009A544A"/>
    <w:rsid w:val="009A69B1"/>
    <w:rsid w:val="009A6CDB"/>
    <w:rsid w:val="009B0A81"/>
    <w:rsid w:val="009B0CA9"/>
    <w:rsid w:val="009B301F"/>
    <w:rsid w:val="009B52C2"/>
    <w:rsid w:val="009C0ECA"/>
    <w:rsid w:val="009C283B"/>
    <w:rsid w:val="009C2B04"/>
    <w:rsid w:val="009C3544"/>
    <w:rsid w:val="009C45BA"/>
    <w:rsid w:val="009D2D28"/>
    <w:rsid w:val="009D7AFB"/>
    <w:rsid w:val="009E055E"/>
    <w:rsid w:val="009E0C76"/>
    <w:rsid w:val="009E22C3"/>
    <w:rsid w:val="009E2833"/>
    <w:rsid w:val="009E317D"/>
    <w:rsid w:val="009E3B52"/>
    <w:rsid w:val="009E3D89"/>
    <w:rsid w:val="009E5B43"/>
    <w:rsid w:val="009E6B59"/>
    <w:rsid w:val="009F097B"/>
    <w:rsid w:val="009F0DD5"/>
    <w:rsid w:val="009F2CB2"/>
    <w:rsid w:val="009F2CEE"/>
    <w:rsid w:val="009F3A56"/>
    <w:rsid w:val="009F59EE"/>
    <w:rsid w:val="009F5CD5"/>
    <w:rsid w:val="009F66D0"/>
    <w:rsid w:val="00A02D45"/>
    <w:rsid w:val="00A0581C"/>
    <w:rsid w:val="00A069E2"/>
    <w:rsid w:val="00A073C7"/>
    <w:rsid w:val="00A07431"/>
    <w:rsid w:val="00A07A9F"/>
    <w:rsid w:val="00A11B93"/>
    <w:rsid w:val="00A11C90"/>
    <w:rsid w:val="00A12821"/>
    <w:rsid w:val="00A12DE6"/>
    <w:rsid w:val="00A14FC9"/>
    <w:rsid w:val="00A2066F"/>
    <w:rsid w:val="00A23C45"/>
    <w:rsid w:val="00A25B10"/>
    <w:rsid w:val="00A26B19"/>
    <w:rsid w:val="00A33653"/>
    <w:rsid w:val="00A36D79"/>
    <w:rsid w:val="00A37A20"/>
    <w:rsid w:val="00A37AD0"/>
    <w:rsid w:val="00A4508B"/>
    <w:rsid w:val="00A4618A"/>
    <w:rsid w:val="00A53205"/>
    <w:rsid w:val="00A5429B"/>
    <w:rsid w:val="00A553A9"/>
    <w:rsid w:val="00A61F80"/>
    <w:rsid w:val="00A62566"/>
    <w:rsid w:val="00A62CCA"/>
    <w:rsid w:val="00A641DB"/>
    <w:rsid w:val="00A65B9D"/>
    <w:rsid w:val="00A70932"/>
    <w:rsid w:val="00A719A5"/>
    <w:rsid w:val="00A72A74"/>
    <w:rsid w:val="00A72F83"/>
    <w:rsid w:val="00A7372B"/>
    <w:rsid w:val="00A74A1E"/>
    <w:rsid w:val="00A7509B"/>
    <w:rsid w:val="00A7796E"/>
    <w:rsid w:val="00A77F44"/>
    <w:rsid w:val="00A803EF"/>
    <w:rsid w:val="00A86656"/>
    <w:rsid w:val="00A87B14"/>
    <w:rsid w:val="00A93638"/>
    <w:rsid w:val="00A95DA9"/>
    <w:rsid w:val="00A97D07"/>
    <w:rsid w:val="00AA0737"/>
    <w:rsid w:val="00AA218A"/>
    <w:rsid w:val="00AA48E7"/>
    <w:rsid w:val="00AB3D30"/>
    <w:rsid w:val="00AB4794"/>
    <w:rsid w:val="00AB4842"/>
    <w:rsid w:val="00AB7BAF"/>
    <w:rsid w:val="00AB7CCF"/>
    <w:rsid w:val="00AC614D"/>
    <w:rsid w:val="00AC7F1C"/>
    <w:rsid w:val="00AD0F3F"/>
    <w:rsid w:val="00AD4EA3"/>
    <w:rsid w:val="00AE05ED"/>
    <w:rsid w:val="00AE44CB"/>
    <w:rsid w:val="00AE55D4"/>
    <w:rsid w:val="00AE72D7"/>
    <w:rsid w:val="00AF05BB"/>
    <w:rsid w:val="00AF1038"/>
    <w:rsid w:val="00AF113B"/>
    <w:rsid w:val="00AF2633"/>
    <w:rsid w:val="00AF74AF"/>
    <w:rsid w:val="00B01F39"/>
    <w:rsid w:val="00B05862"/>
    <w:rsid w:val="00B07D3B"/>
    <w:rsid w:val="00B11974"/>
    <w:rsid w:val="00B1264B"/>
    <w:rsid w:val="00B12CF8"/>
    <w:rsid w:val="00B15519"/>
    <w:rsid w:val="00B15922"/>
    <w:rsid w:val="00B2198E"/>
    <w:rsid w:val="00B244B9"/>
    <w:rsid w:val="00B24985"/>
    <w:rsid w:val="00B27178"/>
    <w:rsid w:val="00B277DA"/>
    <w:rsid w:val="00B30A9E"/>
    <w:rsid w:val="00B3265A"/>
    <w:rsid w:val="00B32817"/>
    <w:rsid w:val="00B33E8E"/>
    <w:rsid w:val="00B346ED"/>
    <w:rsid w:val="00B36901"/>
    <w:rsid w:val="00B37F41"/>
    <w:rsid w:val="00B4245F"/>
    <w:rsid w:val="00B43ABC"/>
    <w:rsid w:val="00B470FB"/>
    <w:rsid w:val="00B479EB"/>
    <w:rsid w:val="00B507D2"/>
    <w:rsid w:val="00B51125"/>
    <w:rsid w:val="00B52CDF"/>
    <w:rsid w:val="00B65A3B"/>
    <w:rsid w:val="00B66DE0"/>
    <w:rsid w:val="00B72652"/>
    <w:rsid w:val="00B8133C"/>
    <w:rsid w:val="00B815A3"/>
    <w:rsid w:val="00B85C55"/>
    <w:rsid w:val="00B85CBF"/>
    <w:rsid w:val="00B90B23"/>
    <w:rsid w:val="00B91CEE"/>
    <w:rsid w:val="00B94777"/>
    <w:rsid w:val="00B95BB2"/>
    <w:rsid w:val="00B95EBA"/>
    <w:rsid w:val="00B96E03"/>
    <w:rsid w:val="00B97985"/>
    <w:rsid w:val="00BA0BC1"/>
    <w:rsid w:val="00BA1D82"/>
    <w:rsid w:val="00BA1FA3"/>
    <w:rsid w:val="00BA23D8"/>
    <w:rsid w:val="00BA27DA"/>
    <w:rsid w:val="00BA4230"/>
    <w:rsid w:val="00BA45FD"/>
    <w:rsid w:val="00BA5B9C"/>
    <w:rsid w:val="00BA7722"/>
    <w:rsid w:val="00BB4512"/>
    <w:rsid w:val="00BB4D49"/>
    <w:rsid w:val="00BB51F4"/>
    <w:rsid w:val="00BB58F0"/>
    <w:rsid w:val="00BB6439"/>
    <w:rsid w:val="00BB675F"/>
    <w:rsid w:val="00BC133F"/>
    <w:rsid w:val="00BC1D75"/>
    <w:rsid w:val="00BC1D83"/>
    <w:rsid w:val="00BD05E4"/>
    <w:rsid w:val="00BD0936"/>
    <w:rsid w:val="00BD11E2"/>
    <w:rsid w:val="00BD17B0"/>
    <w:rsid w:val="00BD3267"/>
    <w:rsid w:val="00BD3715"/>
    <w:rsid w:val="00BD4630"/>
    <w:rsid w:val="00BD4EBD"/>
    <w:rsid w:val="00BD5A47"/>
    <w:rsid w:val="00BD6E76"/>
    <w:rsid w:val="00BD702E"/>
    <w:rsid w:val="00BE07F9"/>
    <w:rsid w:val="00BE6717"/>
    <w:rsid w:val="00BF1811"/>
    <w:rsid w:val="00BF36AE"/>
    <w:rsid w:val="00BF4092"/>
    <w:rsid w:val="00BF44F1"/>
    <w:rsid w:val="00BF4CD9"/>
    <w:rsid w:val="00C00EEF"/>
    <w:rsid w:val="00C02E39"/>
    <w:rsid w:val="00C0301A"/>
    <w:rsid w:val="00C04F1A"/>
    <w:rsid w:val="00C05CCC"/>
    <w:rsid w:val="00C07088"/>
    <w:rsid w:val="00C07D5F"/>
    <w:rsid w:val="00C07F35"/>
    <w:rsid w:val="00C15993"/>
    <w:rsid w:val="00C17C49"/>
    <w:rsid w:val="00C21F84"/>
    <w:rsid w:val="00C22B1C"/>
    <w:rsid w:val="00C23E32"/>
    <w:rsid w:val="00C24B73"/>
    <w:rsid w:val="00C2555B"/>
    <w:rsid w:val="00C26D3E"/>
    <w:rsid w:val="00C30EA3"/>
    <w:rsid w:val="00C31E67"/>
    <w:rsid w:val="00C325BB"/>
    <w:rsid w:val="00C33A4A"/>
    <w:rsid w:val="00C36E55"/>
    <w:rsid w:val="00C4086A"/>
    <w:rsid w:val="00C42CA5"/>
    <w:rsid w:val="00C42FAF"/>
    <w:rsid w:val="00C456DD"/>
    <w:rsid w:val="00C47E7D"/>
    <w:rsid w:val="00C52DA0"/>
    <w:rsid w:val="00C53031"/>
    <w:rsid w:val="00C568D7"/>
    <w:rsid w:val="00C56AD1"/>
    <w:rsid w:val="00C60BBC"/>
    <w:rsid w:val="00C6365D"/>
    <w:rsid w:val="00C6644B"/>
    <w:rsid w:val="00C668FF"/>
    <w:rsid w:val="00C67861"/>
    <w:rsid w:val="00C7532A"/>
    <w:rsid w:val="00C7663D"/>
    <w:rsid w:val="00C779DC"/>
    <w:rsid w:val="00C80ADA"/>
    <w:rsid w:val="00C81DF4"/>
    <w:rsid w:val="00C83132"/>
    <w:rsid w:val="00C864DC"/>
    <w:rsid w:val="00C908E5"/>
    <w:rsid w:val="00C9156E"/>
    <w:rsid w:val="00C947C0"/>
    <w:rsid w:val="00C947CE"/>
    <w:rsid w:val="00C95072"/>
    <w:rsid w:val="00C95F04"/>
    <w:rsid w:val="00C97E6F"/>
    <w:rsid w:val="00CA079E"/>
    <w:rsid w:val="00CA135D"/>
    <w:rsid w:val="00CA1722"/>
    <w:rsid w:val="00CA1806"/>
    <w:rsid w:val="00CA22D8"/>
    <w:rsid w:val="00CA5872"/>
    <w:rsid w:val="00CA78F9"/>
    <w:rsid w:val="00CA7CAF"/>
    <w:rsid w:val="00CB0499"/>
    <w:rsid w:val="00CB06F8"/>
    <w:rsid w:val="00CB08B5"/>
    <w:rsid w:val="00CB18B1"/>
    <w:rsid w:val="00CB2736"/>
    <w:rsid w:val="00CB38CA"/>
    <w:rsid w:val="00CB5712"/>
    <w:rsid w:val="00CB6969"/>
    <w:rsid w:val="00CB6F2B"/>
    <w:rsid w:val="00CB7254"/>
    <w:rsid w:val="00CC0CB0"/>
    <w:rsid w:val="00CC1067"/>
    <w:rsid w:val="00CC3D3D"/>
    <w:rsid w:val="00CC3DF9"/>
    <w:rsid w:val="00CC65C5"/>
    <w:rsid w:val="00CC73AB"/>
    <w:rsid w:val="00CD12BC"/>
    <w:rsid w:val="00CD3324"/>
    <w:rsid w:val="00CD46EA"/>
    <w:rsid w:val="00CD4A18"/>
    <w:rsid w:val="00CD575C"/>
    <w:rsid w:val="00CD6257"/>
    <w:rsid w:val="00CD6E1E"/>
    <w:rsid w:val="00CD7A9C"/>
    <w:rsid w:val="00CE0770"/>
    <w:rsid w:val="00CE0BEA"/>
    <w:rsid w:val="00CE37D5"/>
    <w:rsid w:val="00CE5086"/>
    <w:rsid w:val="00CE6C6E"/>
    <w:rsid w:val="00CE76FD"/>
    <w:rsid w:val="00CE7991"/>
    <w:rsid w:val="00CF177F"/>
    <w:rsid w:val="00CF2033"/>
    <w:rsid w:val="00CF5DF2"/>
    <w:rsid w:val="00CF6C98"/>
    <w:rsid w:val="00D0061B"/>
    <w:rsid w:val="00D012CF"/>
    <w:rsid w:val="00D016C3"/>
    <w:rsid w:val="00D01832"/>
    <w:rsid w:val="00D01DC0"/>
    <w:rsid w:val="00D02C28"/>
    <w:rsid w:val="00D02E81"/>
    <w:rsid w:val="00D0526B"/>
    <w:rsid w:val="00D07AA2"/>
    <w:rsid w:val="00D1081A"/>
    <w:rsid w:val="00D15569"/>
    <w:rsid w:val="00D15619"/>
    <w:rsid w:val="00D15A44"/>
    <w:rsid w:val="00D160DE"/>
    <w:rsid w:val="00D21C96"/>
    <w:rsid w:val="00D30074"/>
    <w:rsid w:val="00D30854"/>
    <w:rsid w:val="00D31127"/>
    <w:rsid w:val="00D320FC"/>
    <w:rsid w:val="00D333B4"/>
    <w:rsid w:val="00D3359F"/>
    <w:rsid w:val="00D35FF4"/>
    <w:rsid w:val="00D40C89"/>
    <w:rsid w:val="00D41337"/>
    <w:rsid w:val="00D422E9"/>
    <w:rsid w:val="00D47B55"/>
    <w:rsid w:val="00D47B8A"/>
    <w:rsid w:val="00D50703"/>
    <w:rsid w:val="00D531E4"/>
    <w:rsid w:val="00D53C47"/>
    <w:rsid w:val="00D53E59"/>
    <w:rsid w:val="00D60057"/>
    <w:rsid w:val="00D60444"/>
    <w:rsid w:val="00D605B1"/>
    <w:rsid w:val="00D60D98"/>
    <w:rsid w:val="00D6181D"/>
    <w:rsid w:val="00D61D5F"/>
    <w:rsid w:val="00D61FAA"/>
    <w:rsid w:val="00D62038"/>
    <w:rsid w:val="00D628D2"/>
    <w:rsid w:val="00D62FEC"/>
    <w:rsid w:val="00D639EE"/>
    <w:rsid w:val="00D65C4E"/>
    <w:rsid w:val="00D67EA6"/>
    <w:rsid w:val="00D71C06"/>
    <w:rsid w:val="00D71EA0"/>
    <w:rsid w:val="00D72157"/>
    <w:rsid w:val="00D721F1"/>
    <w:rsid w:val="00D73F33"/>
    <w:rsid w:val="00D74A93"/>
    <w:rsid w:val="00D76337"/>
    <w:rsid w:val="00D77A56"/>
    <w:rsid w:val="00D80B6D"/>
    <w:rsid w:val="00D80C55"/>
    <w:rsid w:val="00D80F78"/>
    <w:rsid w:val="00D8120C"/>
    <w:rsid w:val="00D84488"/>
    <w:rsid w:val="00D844C8"/>
    <w:rsid w:val="00D84B7D"/>
    <w:rsid w:val="00D84F78"/>
    <w:rsid w:val="00D8513A"/>
    <w:rsid w:val="00D85BBB"/>
    <w:rsid w:val="00D85FB4"/>
    <w:rsid w:val="00D879CA"/>
    <w:rsid w:val="00D906BE"/>
    <w:rsid w:val="00D943AD"/>
    <w:rsid w:val="00D94687"/>
    <w:rsid w:val="00D9690A"/>
    <w:rsid w:val="00DA2C91"/>
    <w:rsid w:val="00DA5316"/>
    <w:rsid w:val="00DA7B87"/>
    <w:rsid w:val="00DB0343"/>
    <w:rsid w:val="00DB342A"/>
    <w:rsid w:val="00DB3E19"/>
    <w:rsid w:val="00DB63D9"/>
    <w:rsid w:val="00DB7121"/>
    <w:rsid w:val="00DB7E77"/>
    <w:rsid w:val="00DC0BD6"/>
    <w:rsid w:val="00DC0F17"/>
    <w:rsid w:val="00DC30D0"/>
    <w:rsid w:val="00DC37CE"/>
    <w:rsid w:val="00DC422E"/>
    <w:rsid w:val="00DC72C4"/>
    <w:rsid w:val="00DD1F5E"/>
    <w:rsid w:val="00DD2DD1"/>
    <w:rsid w:val="00DD4803"/>
    <w:rsid w:val="00DD639C"/>
    <w:rsid w:val="00DD67DA"/>
    <w:rsid w:val="00DD7940"/>
    <w:rsid w:val="00DE1840"/>
    <w:rsid w:val="00DE1B89"/>
    <w:rsid w:val="00DE476A"/>
    <w:rsid w:val="00DE5007"/>
    <w:rsid w:val="00DE59C6"/>
    <w:rsid w:val="00DF2E5A"/>
    <w:rsid w:val="00DF3A69"/>
    <w:rsid w:val="00DF4305"/>
    <w:rsid w:val="00DF4D81"/>
    <w:rsid w:val="00DF658B"/>
    <w:rsid w:val="00E00DC6"/>
    <w:rsid w:val="00E04B02"/>
    <w:rsid w:val="00E058A3"/>
    <w:rsid w:val="00E05E9B"/>
    <w:rsid w:val="00E10ABF"/>
    <w:rsid w:val="00E130CB"/>
    <w:rsid w:val="00E151F3"/>
    <w:rsid w:val="00E1723B"/>
    <w:rsid w:val="00E17539"/>
    <w:rsid w:val="00E23A7D"/>
    <w:rsid w:val="00E244E6"/>
    <w:rsid w:val="00E27028"/>
    <w:rsid w:val="00E32995"/>
    <w:rsid w:val="00E32C50"/>
    <w:rsid w:val="00E3404F"/>
    <w:rsid w:val="00E41A6D"/>
    <w:rsid w:val="00E41E9C"/>
    <w:rsid w:val="00E423C3"/>
    <w:rsid w:val="00E4323F"/>
    <w:rsid w:val="00E4469C"/>
    <w:rsid w:val="00E450AB"/>
    <w:rsid w:val="00E47059"/>
    <w:rsid w:val="00E5280E"/>
    <w:rsid w:val="00E52CEE"/>
    <w:rsid w:val="00E53A7F"/>
    <w:rsid w:val="00E54A8E"/>
    <w:rsid w:val="00E563FC"/>
    <w:rsid w:val="00E569BC"/>
    <w:rsid w:val="00E57F9B"/>
    <w:rsid w:val="00E60634"/>
    <w:rsid w:val="00E607C0"/>
    <w:rsid w:val="00E61348"/>
    <w:rsid w:val="00E6319B"/>
    <w:rsid w:val="00E6550B"/>
    <w:rsid w:val="00E65551"/>
    <w:rsid w:val="00E6726D"/>
    <w:rsid w:val="00E70FBC"/>
    <w:rsid w:val="00E74000"/>
    <w:rsid w:val="00E7623C"/>
    <w:rsid w:val="00E80764"/>
    <w:rsid w:val="00E80FCB"/>
    <w:rsid w:val="00E81433"/>
    <w:rsid w:val="00E81C95"/>
    <w:rsid w:val="00E845C0"/>
    <w:rsid w:val="00E852A3"/>
    <w:rsid w:val="00E86628"/>
    <w:rsid w:val="00E914B7"/>
    <w:rsid w:val="00E92775"/>
    <w:rsid w:val="00E93103"/>
    <w:rsid w:val="00EA0295"/>
    <w:rsid w:val="00EA0C1C"/>
    <w:rsid w:val="00EA477A"/>
    <w:rsid w:val="00EA5CA0"/>
    <w:rsid w:val="00EA5D92"/>
    <w:rsid w:val="00EB083E"/>
    <w:rsid w:val="00EB307B"/>
    <w:rsid w:val="00EB5354"/>
    <w:rsid w:val="00EB7780"/>
    <w:rsid w:val="00EC2DC7"/>
    <w:rsid w:val="00EC3779"/>
    <w:rsid w:val="00EC65E8"/>
    <w:rsid w:val="00EC71DE"/>
    <w:rsid w:val="00EC7F0E"/>
    <w:rsid w:val="00ED2D1F"/>
    <w:rsid w:val="00ED58E9"/>
    <w:rsid w:val="00ED700E"/>
    <w:rsid w:val="00ED79D6"/>
    <w:rsid w:val="00EE1831"/>
    <w:rsid w:val="00EE3DAD"/>
    <w:rsid w:val="00EF2F7C"/>
    <w:rsid w:val="00EF3FC0"/>
    <w:rsid w:val="00EF61B5"/>
    <w:rsid w:val="00EF62DE"/>
    <w:rsid w:val="00F009B3"/>
    <w:rsid w:val="00F00A40"/>
    <w:rsid w:val="00F00A6E"/>
    <w:rsid w:val="00F05773"/>
    <w:rsid w:val="00F0773E"/>
    <w:rsid w:val="00F115D1"/>
    <w:rsid w:val="00F12CED"/>
    <w:rsid w:val="00F12DCE"/>
    <w:rsid w:val="00F13496"/>
    <w:rsid w:val="00F13B2F"/>
    <w:rsid w:val="00F14346"/>
    <w:rsid w:val="00F14982"/>
    <w:rsid w:val="00F22A26"/>
    <w:rsid w:val="00F23C0F"/>
    <w:rsid w:val="00F2598D"/>
    <w:rsid w:val="00F26166"/>
    <w:rsid w:val="00F26D3E"/>
    <w:rsid w:val="00F32739"/>
    <w:rsid w:val="00F32845"/>
    <w:rsid w:val="00F336A2"/>
    <w:rsid w:val="00F36BA0"/>
    <w:rsid w:val="00F411C5"/>
    <w:rsid w:val="00F44AEB"/>
    <w:rsid w:val="00F45620"/>
    <w:rsid w:val="00F5304D"/>
    <w:rsid w:val="00F532E2"/>
    <w:rsid w:val="00F5470D"/>
    <w:rsid w:val="00F555FB"/>
    <w:rsid w:val="00F5638B"/>
    <w:rsid w:val="00F56493"/>
    <w:rsid w:val="00F60301"/>
    <w:rsid w:val="00F628BC"/>
    <w:rsid w:val="00F628FC"/>
    <w:rsid w:val="00F7033F"/>
    <w:rsid w:val="00F70DD4"/>
    <w:rsid w:val="00F7277F"/>
    <w:rsid w:val="00F72E32"/>
    <w:rsid w:val="00F73B85"/>
    <w:rsid w:val="00F747EC"/>
    <w:rsid w:val="00F76218"/>
    <w:rsid w:val="00F829B7"/>
    <w:rsid w:val="00F82DF0"/>
    <w:rsid w:val="00F84A4F"/>
    <w:rsid w:val="00F84ACE"/>
    <w:rsid w:val="00F8617B"/>
    <w:rsid w:val="00F863D7"/>
    <w:rsid w:val="00F9173C"/>
    <w:rsid w:val="00F94474"/>
    <w:rsid w:val="00F975AD"/>
    <w:rsid w:val="00FA05C2"/>
    <w:rsid w:val="00FA2D1E"/>
    <w:rsid w:val="00FA35EB"/>
    <w:rsid w:val="00FA6EE9"/>
    <w:rsid w:val="00FB18D0"/>
    <w:rsid w:val="00FB2241"/>
    <w:rsid w:val="00FB2315"/>
    <w:rsid w:val="00FB2ED6"/>
    <w:rsid w:val="00FB412B"/>
    <w:rsid w:val="00FB42E5"/>
    <w:rsid w:val="00FB58C3"/>
    <w:rsid w:val="00FB59EE"/>
    <w:rsid w:val="00FB6B8F"/>
    <w:rsid w:val="00FC2522"/>
    <w:rsid w:val="00FC3C77"/>
    <w:rsid w:val="00FC5B56"/>
    <w:rsid w:val="00FD181C"/>
    <w:rsid w:val="00FD4B12"/>
    <w:rsid w:val="00FD5009"/>
    <w:rsid w:val="00FD55C9"/>
    <w:rsid w:val="00FD62DC"/>
    <w:rsid w:val="00FD65D3"/>
    <w:rsid w:val="00FD6A70"/>
    <w:rsid w:val="00FE1D87"/>
    <w:rsid w:val="00FE1EC8"/>
    <w:rsid w:val="00FE3560"/>
    <w:rsid w:val="00FE3E09"/>
    <w:rsid w:val="00FE4FBF"/>
    <w:rsid w:val="00FF1E5A"/>
    <w:rsid w:val="00FF6AA1"/>
    <w:rsid w:val="00FF6F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E563FC"/>
    <w:rPr>
      <w:i/>
      <w:iCs/>
    </w:rPr>
  </w:style>
  <w:style w:type="character" w:styleId="Siln">
    <w:name w:val="Strong"/>
    <w:basedOn w:val="Standardnpsmoodstavce"/>
    <w:uiPriority w:val="22"/>
    <w:qFormat/>
    <w:rsid w:val="00A553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8548">
      <w:bodyDiv w:val="1"/>
      <w:marLeft w:val="0"/>
      <w:marRight w:val="0"/>
      <w:marTop w:val="0"/>
      <w:marBottom w:val="0"/>
      <w:divBdr>
        <w:top w:val="none" w:sz="0" w:space="0" w:color="auto"/>
        <w:left w:val="none" w:sz="0" w:space="0" w:color="auto"/>
        <w:bottom w:val="none" w:sz="0" w:space="0" w:color="auto"/>
        <w:right w:val="none" w:sz="0" w:space="0" w:color="auto"/>
      </w:divBdr>
    </w:div>
    <w:div w:id="26149915">
      <w:bodyDiv w:val="1"/>
      <w:marLeft w:val="0"/>
      <w:marRight w:val="0"/>
      <w:marTop w:val="0"/>
      <w:marBottom w:val="0"/>
      <w:divBdr>
        <w:top w:val="none" w:sz="0" w:space="0" w:color="auto"/>
        <w:left w:val="none" w:sz="0" w:space="0" w:color="auto"/>
        <w:bottom w:val="none" w:sz="0" w:space="0" w:color="auto"/>
        <w:right w:val="none" w:sz="0" w:space="0" w:color="auto"/>
      </w:divBdr>
    </w:div>
    <w:div w:id="61872337">
      <w:bodyDiv w:val="1"/>
      <w:marLeft w:val="0"/>
      <w:marRight w:val="0"/>
      <w:marTop w:val="0"/>
      <w:marBottom w:val="0"/>
      <w:divBdr>
        <w:top w:val="none" w:sz="0" w:space="0" w:color="auto"/>
        <w:left w:val="none" w:sz="0" w:space="0" w:color="auto"/>
        <w:bottom w:val="none" w:sz="0" w:space="0" w:color="auto"/>
        <w:right w:val="none" w:sz="0" w:space="0" w:color="auto"/>
      </w:divBdr>
    </w:div>
    <w:div w:id="84084129">
      <w:bodyDiv w:val="1"/>
      <w:marLeft w:val="0"/>
      <w:marRight w:val="0"/>
      <w:marTop w:val="0"/>
      <w:marBottom w:val="0"/>
      <w:divBdr>
        <w:top w:val="none" w:sz="0" w:space="0" w:color="auto"/>
        <w:left w:val="none" w:sz="0" w:space="0" w:color="auto"/>
        <w:bottom w:val="none" w:sz="0" w:space="0" w:color="auto"/>
        <w:right w:val="none" w:sz="0" w:space="0" w:color="auto"/>
      </w:divBdr>
    </w:div>
    <w:div w:id="116265840">
      <w:bodyDiv w:val="1"/>
      <w:marLeft w:val="0"/>
      <w:marRight w:val="0"/>
      <w:marTop w:val="0"/>
      <w:marBottom w:val="0"/>
      <w:divBdr>
        <w:top w:val="none" w:sz="0" w:space="0" w:color="auto"/>
        <w:left w:val="none" w:sz="0" w:space="0" w:color="auto"/>
        <w:bottom w:val="none" w:sz="0" w:space="0" w:color="auto"/>
        <w:right w:val="none" w:sz="0" w:space="0" w:color="auto"/>
      </w:divBdr>
    </w:div>
    <w:div w:id="136192622">
      <w:bodyDiv w:val="1"/>
      <w:marLeft w:val="0"/>
      <w:marRight w:val="0"/>
      <w:marTop w:val="0"/>
      <w:marBottom w:val="0"/>
      <w:divBdr>
        <w:top w:val="none" w:sz="0" w:space="0" w:color="auto"/>
        <w:left w:val="none" w:sz="0" w:space="0" w:color="auto"/>
        <w:bottom w:val="none" w:sz="0" w:space="0" w:color="auto"/>
        <w:right w:val="none" w:sz="0" w:space="0" w:color="auto"/>
      </w:divBdr>
    </w:div>
    <w:div w:id="172575859">
      <w:bodyDiv w:val="1"/>
      <w:marLeft w:val="0"/>
      <w:marRight w:val="0"/>
      <w:marTop w:val="0"/>
      <w:marBottom w:val="0"/>
      <w:divBdr>
        <w:top w:val="none" w:sz="0" w:space="0" w:color="auto"/>
        <w:left w:val="none" w:sz="0" w:space="0" w:color="auto"/>
        <w:bottom w:val="none" w:sz="0" w:space="0" w:color="auto"/>
        <w:right w:val="none" w:sz="0" w:space="0" w:color="auto"/>
      </w:divBdr>
    </w:div>
    <w:div w:id="225344068">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494489309">
      <w:bodyDiv w:val="1"/>
      <w:marLeft w:val="0"/>
      <w:marRight w:val="0"/>
      <w:marTop w:val="0"/>
      <w:marBottom w:val="0"/>
      <w:divBdr>
        <w:top w:val="none" w:sz="0" w:space="0" w:color="auto"/>
        <w:left w:val="none" w:sz="0" w:space="0" w:color="auto"/>
        <w:bottom w:val="none" w:sz="0" w:space="0" w:color="auto"/>
        <w:right w:val="none" w:sz="0" w:space="0" w:color="auto"/>
      </w:divBdr>
    </w:div>
    <w:div w:id="524488455">
      <w:bodyDiv w:val="1"/>
      <w:marLeft w:val="0"/>
      <w:marRight w:val="0"/>
      <w:marTop w:val="0"/>
      <w:marBottom w:val="0"/>
      <w:divBdr>
        <w:top w:val="none" w:sz="0" w:space="0" w:color="auto"/>
        <w:left w:val="none" w:sz="0" w:space="0" w:color="auto"/>
        <w:bottom w:val="none" w:sz="0" w:space="0" w:color="auto"/>
        <w:right w:val="none" w:sz="0" w:space="0" w:color="auto"/>
      </w:divBdr>
    </w:div>
    <w:div w:id="539055257">
      <w:bodyDiv w:val="1"/>
      <w:marLeft w:val="0"/>
      <w:marRight w:val="0"/>
      <w:marTop w:val="0"/>
      <w:marBottom w:val="0"/>
      <w:divBdr>
        <w:top w:val="none" w:sz="0" w:space="0" w:color="auto"/>
        <w:left w:val="none" w:sz="0" w:space="0" w:color="auto"/>
        <w:bottom w:val="none" w:sz="0" w:space="0" w:color="auto"/>
        <w:right w:val="none" w:sz="0" w:space="0" w:color="auto"/>
      </w:divBdr>
    </w:div>
    <w:div w:id="580876104">
      <w:bodyDiv w:val="1"/>
      <w:marLeft w:val="0"/>
      <w:marRight w:val="0"/>
      <w:marTop w:val="0"/>
      <w:marBottom w:val="0"/>
      <w:divBdr>
        <w:top w:val="none" w:sz="0" w:space="0" w:color="auto"/>
        <w:left w:val="none" w:sz="0" w:space="0" w:color="auto"/>
        <w:bottom w:val="none" w:sz="0" w:space="0" w:color="auto"/>
        <w:right w:val="none" w:sz="0" w:space="0" w:color="auto"/>
      </w:divBdr>
    </w:div>
    <w:div w:id="584384584">
      <w:bodyDiv w:val="1"/>
      <w:marLeft w:val="0"/>
      <w:marRight w:val="0"/>
      <w:marTop w:val="0"/>
      <w:marBottom w:val="0"/>
      <w:divBdr>
        <w:top w:val="none" w:sz="0" w:space="0" w:color="auto"/>
        <w:left w:val="none" w:sz="0" w:space="0" w:color="auto"/>
        <w:bottom w:val="none" w:sz="0" w:space="0" w:color="auto"/>
        <w:right w:val="none" w:sz="0" w:space="0" w:color="auto"/>
      </w:divBdr>
    </w:div>
    <w:div w:id="588000337">
      <w:bodyDiv w:val="1"/>
      <w:marLeft w:val="0"/>
      <w:marRight w:val="0"/>
      <w:marTop w:val="0"/>
      <w:marBottom w:val="0"/>
      <w:divBdr>
        <w:top w:val="none" w:sz="0" w:space="0" w:color="auto"/>
        <w:left w:val="none" w:sz="0" w:space="0" w:color="auto"/>
        <w:bottom w:val="none" w:sz="0" w:space="0" w:color="auto"/>
        <w:right w:val="none" w:sz="0" w:space="0" w:color="auto"/>
      </w:divBdr>
    </w:div>
    <w:div w:id="641467723">
      <w:bodyDiv w:val="1"/>
      <w:marLeft w:val="0"/>
      <w:marRight w:val="0"/>
      <w:marTop w:val="0"/>
      <w:marBottom w:val="0"/>
      <w:divBdr>
        <w:top w:val="none" w:sz="0" w:space="0" w:color="auto"/>
        <w:left w:val="none" w:sz="0" w:space="0" w:color="auto"/>
        <w:bottom w:val="none" w:sz="0" w:space="0" w:color="auto"/>
        <w:right w:val="none" w:sz="0" w:space="0" w:color="auto"/>
      </w:divBdr>
    </w:div>
    <w:div w:id="645667381">
      <w:bodyDiv w:val="1"/>
      <w:marLeft w:val="0"/>
      <w:marRight w:val="0"/>
      <w:marTop w:val="0"/>
      <w:marBottom w:val="0"/>
      <w:divBdr>
        <w:top w:val="none" w:sz="0" w:space="0" w:color="auto"/>
        <w:left w:val="none" w:sz="0" w:space="0" w:color="auto"/>
        <w:bottom w:val="none" w:sz="0" w:space="0" w:color="auto"/>
        <w:right w:val="none" w:sz="0" w:space="0" w:color="auto"/>
      </w:divBdr>
    </w:div>
    <w:div w:id="664868236">
      <w:bodyDiv w:val="1"/>
      <w:marLeft w:val="0"/>
      <w:marRight w:val="0"/>
      <w:marTop w:val="0"/>
      <w:marBottom w:val="0"/>
      <w:divBdr>
        <w:top w:val="none" w:sz="0" w:space="0" w:color="auto"/>
        <w:left w:val="none" w:sz="0" w:space="0" w:color="auto"/>
        <w:bottom w:val="none" w:sz="0" w:space="0" w:color="auto"/>
        <w:right w:val="none" w:sz="0" w:space="0" w:color="auto"/>
      </w:divBdr>
    </w:div>
    <w:div w:id="675570253">
      <w:bodyDiv w:val="1"/>
      <w:marLeft w:val="0"/>
      <w:marRight w:val="0"/>
      <w:marTop w:val="0"/>
      <w:marBottom w:val="0"/>
      <w:divBdr>
        <w:top w:val="none" w:sz="0" w:space="0" w:color="auto"/>
        <w:left w:val="none" w:sz="0" w:space="0" w:color="auto"/>
        <w:bottom w:val="none" w:sz="0" w:space="0" w:color="auto"/>
        <w:right w:val="none" w:sz="0" w:space="0" w:color="auto"/>
      </w:divBdr>
    </w:div>
    <w:div w:id="703022082">
      <w:bodyDiv w:val="1"/>
      <w:marLeft w:val="0"/>
      <w:marRight w:val="0"/>
      <w:marTop w:val="0"/>
      <w:marBottom w:val="0"/>
      <w:divBdr>
        <w:top w:val="none" w:sz="0" w:space="0" w:color="auto"/>
        <w:left w:val="none" w:sz="0" w:space="0" w:color="auto"/>
        <w:bottom w:val="none" w:sz="0" w:space="0" w:color="auto"/>
        <w:right w:val="none" w:sz="0" w:space="0" w:color="auto"/>
      </w:divBdr>
    </w:div>
    <w:div w:id="742989099">
      <w:bodyDiv w:val="1"/>
      <w:marLeft w:val="0"/>
      <w:marRight w:val="0"/>
      <w:marTop w:val="0"/>
      <w:marBottom w:val="0"/>
      <w:divBdr>
        <w:top w:val="none" w:sz="0" w:space="0" w:color="auto"/>
        <w:left w:val="none" w:sz="0" w:space="0" w:color="auto"/>
        <w:bottom w:val="none" w:sz="0" w:space="0" w:color="auto"/>
        <w:right w:val="none" w:sz="0" w:space="0" w:color="auto"/>
      </w:divBdr>
    </w:div>
    <w:div w:id="753823787">
      <w:bodyDiv w:val="1"/>
      <w:marLeft w:val="0"/>
      <w:marRight w:val="0"/>
      <w:marTop w:val="0"/>
      <w:marBottom w:val="0"/>
      <w:divBdr>
        <w:top w:val="none" w:sz="0" w:space="0" w:color="auto"/>
        <w:left w:val="none" w:sz="0" w:space="0" w:color="auto"/>
        <w:bottom w:val="none" w:sz="0" w:space="0" w:color="auto"/>
        <w:right w:val="none" w:sz="0" w:space="0" w:color="auto"/>
      </w:divBdr>
    </w:div>
    <w:div w:id="858007546">
      <w:bodyDiv w:val="1"/>
      <w:marLeft w:val="0"/>
      <w:marRight w:val="0"/>
      <w:marTop w:val="0"/>
      <w:marBottom w:val="0"/>
      <w:divBdr>
        <w:top w:val="none" w:sz="0" w:space="0" w:color="auto"/>
        <w:left w:val="none" w:sz="0" w:space="0" w:color="auto"/>
        <w:bottom w:val="none" w:sz="0" w:space="0" w:color="auto"/>
        <w:right w:val="none" w:sz="0" w:space="0" w:color="auto"/>
      </w:divBdr>
    </w:div>
    <w:div w:id="867060497">
      <w:bodyDiv w:val="1"/>
      <w:marLeft w:val="0"/>
      <w:marRight w:val="0"/>
      <w:marTop w:val="0"/>
      <w:marBottom w:val="0"/>
      <w:divBdr>
        <w:top w:val="none" w:sz="0" w:space="0" w:color="auto"/>
        <w:left w:val="none" w:sz="0" w:space="0" w:color="auto"/>
        <w:bottom w:val="none" w:sz="0" w:space="0" w:color="auto"/>
        <w:right w:val="none" w:sz="0" w:space="0" w:color="auto"/>
      </w:divBdr>
    </w:div>
    <w:div w:id="899173101">
      <w:bodyDiv w:val="1"/>
      <w:marLeft w:val="0"/>
      <w:marRight w:val="0"/>
      <w:marTop w:val="0"/>
      <w:marBottom w:val="0"/>
      <w:divBdr>
        <w:top w:val="none" w:sz="0" w:space="0" w:color="auto"/>
        <w:left w:val="none" w:sz="0" w:space="0" w:color="auto"/>
        <w:bottom w:val="none" w:sz="0" w:space="0" w:color="auto"/>
        <w:right w:val="none" w:sz="0" w:space="0" w:color="auto"/>
      </w:divBdr>
    </w:div>
    <w:div w:id="914245166">
      <w:bodyDiv w:val="1"/>
      <w:marLeft w:val="0"/>
      <w:marRight w:val="0"/>
      <w:marTop w:val="0"/>
      <w:marBottom w:val="0"/>
      <w:divBdr>
        <w:top w:val="none" w:sz="0" w:space="0" w:color="auto"/>
        <w:left w:val="none" w:sz="0" w:space="0" w:color="auto"/>
        <w:bottom w:val="none" w:sz="0" w:space="0" w:color="auto"/>
        <w:right w:val="none" w:sz="0" w:space="0" w:color="auto"/>
      </w:divBdr>
    </w:div>
    <w:div w:id="925654466">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031762177">
      <w:bodyDiv w:val="1"/>
      <w:marLeft w:val="0"/>
      <w:marRight w:val="0"/>
      <w:marTop w:val="0"/>
      <w:marBottom w:val="0"/>
      <w:divBdr>
        <w:top w:val="none" w:sz="0" w:space="0" w:color="auto"/>
        <w:left w:val="none" w:sz="0" w:space="0" w:color="auto"/>
        <w:bottom w:val="none" w:sz="0" w:space="0" w:color="auto"/>
        <w:right w:val="none" w:sz="0" w:space="0" w:color="auto"/>
      </w:divBdr>
    </w:div>
    <w:div w:id="1056513043">
      <w:bodyDiv w:val="1"/>
      <w:marLeft w:val="0"/>
      <w:marRight w:val="0"/>
      <w:marTop w:val="0"/>
      <w:marBottom w:val="0"/>
      <w:divBdr>
        <w:top w:val="none" w:sz="0" w:space="0" w:color="auto"/>
        <w:left w:val="none" w:sz="0" w:space="0" w:color="auto"/>
        <w:bottom w:val="none" w:sz="0" w:space="0" w:color="auto"/>
        <w:right w:val="none" w:sz="0" w:space="0" w:color="auto"/>
      </w:divBdr>
    </w:div>
    <w:div w:id="1074353678">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02065241">
      <w:bodyDiv w:val="1"/>
      <w:marLeft w:val="0"/>
      <w:marRight w:val="0"/>
      <w:marTop w:val="0"/>
      <w:marBottom w:val="0"/>
      <w:divBdr>
        <w:top w:val="none" w:sz="0" w:space="0" w:color="auto"/>
        <w:left w:val="none" w:sz="0" w:space="0" w:color="auto"/>
        <w:bottom w:val="none" w:sz="0" w:space="0" w:color="auto"/>
        <w:right w:val="none" w:sz="0" w:space="0" w:color="auto"/>
      </w:divBdr>
    </w:div>
    <w:div w:id="1129516099">
      <w:bodyDiv w:val="1"/>
      <w:marLeft w:val="0"/>
      <w:marRight w:val="0"/>
      <w:marTop w:val="0"/>
      <w:marBottom w:val="0"/>
      <w:divBdr>
        <w:top w:val="none" w:sz="0" w:space="0" w:color="auto"/>
        <w:left w:val="none" w:sz="0" w:space="0" w:color="auto"/>
        <w:bottom w:val="none" w:sz="0" w:space="0" w:color="auto"/>
        <w:right w:val="none" w:sz="0" w:space="0" w:color="auto"/>
      </w:divBdr>
    </w:div>
    <w:div w:id="1180124350">
      <w:bodyDiv w:val="1"/>
      <w:marLeft w:val="0"/>
      <w:marRight w:val="0"/>
      <w:marTop w:val="0"/>
      <w:marBottom w:val="0"/>
      <w:divBdr>
        <w:top w:val="none" w:sz="0" w:space="0" w:color="auto"/>
        <w:left w:val="none" w:sz="0" w:space="0" w:color="auto"/>
        <w:bottom w:val="none" w:sz="0" w:space="0" w:color="auto"/>
        <w:right w:val="none" w:sz="0" w:space="0" w:color="auto"/>
      </w:divBdr>
    </w:div>
    <w:div w:id="1202398645">
      <w:bodyDiv w:val="1"/>
      <w:marLeft w:val="0"/>
      <w:marRight w:val="0"/>
      <w:marTop w:val="0"/>
      <w:marBottom w:val="0"/>
      <w:divBdr>
        <w:top w:val="none" w:sz="0" w:space="0" w:color="auto"/>
        <w:left w:val="none" w:sz="0" w:space="0" w:color="auto"/>
        <w:bottom w:val="none" w:sz="0" w:space="0" w:color="auto"/>
        <w:right w:val="none" w:sz="0" w:space="0" w:color="auto"/>
      </w:divBdr>
    </w:div>
    <w:div w:id="1203983725">
      <w:bodyDiv w:val="1"/>
      <w:marLeft w:val="0"/>
      <w:marRight w:val="0"/>
      <w:marTop w:val="0"/>
      <w:marBottom w:val="0"/>
      <w:divBdr>
        <w:top w:val="none" w:sz="0" w:space="0" w:color="auto"/>
        <w:left w:val="none" w:sz="0" w:space="0" w:color="auto"/>
        <w:bottom w:val="none" w:sz="0" w:space="0" w:color="auto"/>
        <w:right w:val="none" w:sz="0" w:space="0" w:color="auto"/>
      </w:divBdr>
    </w:div>
    <w:div w:id="1208882320">
      <w:bodyDiv w:val="1"/>
      <w:marLeft w:val="0"/>
      <w:marRight w:val="0"/>
      <w:marTop w:val="0"/>
      <w:marBottom w:val="0"/>
      <w:divBdr>
        <w:top w:val="none" w:sz="0" w:space="0" w:color="auto"/>
        <w:left w:val="none" w:sz="0" w:space="0" w:color="auto"/>
        <w:bottom w:val="none" w:sz="0" w:space="0" w:color="auto"/>
        <w:right w:val="none" w:sz="0" w:space="0" w:color="auto"/>
      </w:divBdr>
    </w:div>
    <w:div w:id="1216889717">
      <w:bodyDiv w:val="1"/>
      <w:marLeft w:val="0"/>
      <w:marRight w:val="0"/>
      <w:marTop w:val="0"/>
      <w:marBottom w:val="0"/>
      <w:divBdr>
        <w:top w:val="none" w:sz="0" w:space="0" w:color="auto"/>
        <w:left w:val="none" w:sz="0" w:space="0" w:color="auto"/>
        <w:bottom w:val="none" w:sz="0" w:space="0" w:color="auto"/>
        <w:right w:val="none" w:sz="0" w:space="0" w:color="auto"/>
      </w:divBdr>
    </w:div>
    <w:div w:id="1240212790">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85886793">
      <w:bodyDiv w:val="1"/>
      <w:marLeft w:val="0"/>
      <w:marRight w:val="0"/>
      <w:marTop w:val="0"/>
      <w:marBottom w:val="0"/>
      <w:divBdr>
        <w:top w:val="none" w:sz="0" w:space="0" w:color="auto"/>
        <w:left w:val="none" w:sz="0" w:space="0" w:color="auto"/>
        <w:bottom w:val="none" w:sz="0" w:space="0" w:color="auto"/>
        <w:right w:val="none" w:sz="0" w:space="0" w:color="auto"/>
      </w:divBdr>
    </w:div>
    <w:div w:id="1339623275">
      <w:bodyDiv w:val="1"/>
      <w:marLeft w:val="0"/>
      <w:marRight w:val="0"/>
      <w:marTop w:val="0"/>
      <w:marBottom w:val="0"/>
      <w:divBdr>
        <w:top w:val="none" w:sz="0" w:space="0" w:color="auto"/>
        <w:left w:val="none" w:sz="0" w:space="0" w:color="auto"/>
        <w:bottom w:val="none" w:sz="0" w:space="0" w:color="auto"/>
        <w:right w:val="none" w:sz="0" w:space="0" w:color="auto"/>
      </w:divBdr>
    </w:div>
    <w:div w:id="1370837486">
      <w:bodyDiv w:val="1"/>
      <w:marLeft w:val="0"/>
      <w:marRight w:val="0"/>
      <w:marTop w:val="0"/>
      <w:marBottom w:val="0"/>
      <w:divBdr>
        <w:top w:val="none" w:sz="0" w:space="0" w:color="auto"/>
        <w:left w:val="none" w:sz="0" w:space="0" w:color="auto"/>
        <w:bottom w:val="none" w:sz="0" w:space="0" w:color="auto"/>
        <w:right w:val="none" w:sz="0" w:space="0" w:color="auto"/>
      </w:divBdr>
    </w:div>
    <w:div w:id="1394231548">
      <w:bodyDiv w:val="1"/>
      <w:marLeft w:val="0"/>
      <w:marRight w:val="0"/>
      <w:marTop w:val="0"/>
      <w:marBottom w:val="0"/>
      <w:divBdr>
        <w:top w:val="none" w:sz="0" w:space="0" w:color="auto"/>
        <w:left w:val="none" w:sz="0" w:space="0" w:color="auto"/>
        <w:bottom w:val="none" w:sz="0" w:space="0" w:color="auto"/>
        <w:right w:val="none" w:sz="0" w:space="0" w:color="auto"/>
      </w:divBdr>
    </w:div>
    <w:div w:id="1414161234">
      <w:bodyDiv w:val="1"/>
      <w:marLeft w:val="0"/>
      <w:marRight w:val="0"/>
      <w:marTop w:val="0"/>
      <w:marBottom w:val="0"/>
      <w:divBdr>
        <w:top w:val="none" w:sz="0" w:space="0" w:color="auto"/>
        <w:left w:val="none" w:sz="0" w:space="0" w:color="auto"/>
        <w:bottom w:val="none" w:sz="0" w:space="0" w:color="auto"/>
        <w:right w:val="none" w:sz="0" w:space="0" w:color="auto"/>
      </w:divBdr>
    </w:div>
    <w:div w:id="1438479073">
      <w:bodyDiv w:val="1"/>
      <w:marLeft w:val="0"/>
      <w:marRight w:val="0"/>
      <w:marTop w:val="0"/>
      <w:marBottom w:val="0"/>
      <w:divBdr>
        <w:top w:val="none" w:sz="0" w:space="0" w:color="auto"/>
        <w:left w:val="none" w:sz="0" w:space="0" w:color="auto"/>
        <w:bottom w:val="none" w:sz="0" w:space="0" w:color="auto"/>
        <w:right w:val="none" w:sz="0" w:space="0" w:color="auto"/>
      </w:divBdr>
    </w:div>
    <w:div w:id="1470200845">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30217791">
      <w:bodyDiv w:val="1"/>
      <w:marLeft w:val="0"/>
      <w:marRight w:val="0"/>
      <w:marTop w:val="0"/>
      <w:marBottom w:val="0"/>
      <w:divBdr>
        <w:top w:val="none" w:sz="0" w:space="0" w:color="auto"/>
        <w:left w:val="none" w:sz="0" w:space="0" w:color="auto"/>
        <w:bottom w:val="none" w:sz="0" w:space="0" w:color="auto"/>
        <w:right w:val="none" w:sz="0" w:space="0" w:color="auto"/>
      </w:divBdr>
    </w:div>
    <w:div w:id="1609041497">
      <w:bodyDiv w:val="1"/>
      <w:marLeft w:val="0"/>
      <w:marRight w:val="0"/>
      <w:marTop w:val="0"/>
      <w:marBottom w:val="0"/>
      <w:divBdr>
        <w:top w:val="none" w:sz="0" w:space="0" w:color="auto"/>
        <w:left w:val="none" w:sz="0" w:space="0" w:color="auto"/>
        <w:bottom w:val="none" w:sz="0" w:space="0" w:color="auto"/>
        <w:right w:val="none" w:sz="0" w:space="0" w:color="auto"/>
      </w:divBdr>
    </w:div>
    <w:div w:id="1644502417">
      <w:bodyDiv w:val="1"/>
      <w:marLeft w:val="0"/>
      <w:marRight w:val="0"/>
      <w:marTop w:val="0"/>
      <w:marBottom w:val="0"/>
      <w:divBdr>
        <w:top w:val="none" w:sz="0" w:space="0" w:color="auto"/>
        <w:left w:val="none" w:sz="0" w:space="0" w:color="auto"/>
        <w:bottom w:val="none" w:sz="0" w:space="0" w:color="auto"/>
        <w:right w:val="none" w:sz="0" w:space="0" w:color="auto"/>
      </w:divBdr>
    </w:div>
    <w:div w:id="1695886480">
      <w:bodyDiv w:val="1"/>
      <w:marLeft w:val="0"/>
      <w:marRight w:val="0"/>
      <w:marTop w:val="0"/>
      <w:marBottom w:val="0"/>
      <w:divBdr>
        <w:top w:val="none" w:sz="0" w:space="0" w:color="auto"/>
        <w:left w:val="none" w:sz="0" w:space="0" w:color="auto"/>
        <w:bottom w:val="none" w:sz="0" w:space="0" w:color="auto"/>
        <w:right w:val="none" w:sz="0" w:space="0" w:color="auto"/>
      </w:divBdr>
    </w:div>
    <w:div w:id="1712606406">
      <w:bodyDiv w:val="1"/>
      <w:marLeft w:val="0"/>
      <w:marRight w:val="0"/>
      <w:marTop w:val="0"/>
      <w:marBottom w:val="0"/>
      <w:divBdr>
        <w:top w:val="none" w:sz="0" w:space="0" w:color="auto"/>
        <w:left w:val="none" w:sz="0" w:space="0" w:color="auto"/>
        <w:bottom w:val="none" w:sz="0" w:space="0" w:color="auto"/>
        <w:right w:val="none" w:sz="0" w:space="0" w:color="auto"/>
      </w:divBdr>
    </w:div>
    <w:div w:id="1726222585">
      <w:bodyDiv w:val="1"/>
      <w:marLeft w:val="0"/>
      <w:marRight w:val="0"/>
      <w:marTop w:val="0"/>
      <w:marBottom w:val="0"/>
      <w:divBdr>
        <w:top w:val="none" w:sz="0" w:space="0" w:color="auto"/>
        <w:left w:val="none" w:sz="0" w:space="0" w:color="auto"/>
        <w:bottom w:val="none" w:sz="0" w:space="0" w:color="auto"/>
        <w:right w:val="none" w:sz="0" w:space="0" w:color="auto"/>
      </w:divBdr>
    </w:div>
    <w:div w:id="1733112470">
      <w:bodyDiv w:val="1"/>
      <w:marLeft w:val="0"/>
      <w:marRight w:val="0"/>
      <w:marTop w:val="0"/>
      <w:marBottom w:val="0"/>
      <w:divBdr>
        <w:top w:val="none" w:sz="0" w:space="0" w:color="auto"/>
        <w:left w:val="none" w:sz="0" w:space="0" w:color="auto"/>
        <w:bottom w:val="none" w:sz="0" w:space="0" w:color="auto"/>
        <w:right w:val="none" w:sz="0" w:space="0" w:color="auto"/>
      </w:divBdr>
    </w:div>
    <w:div w:id="1737900709">
      <w:bodyDiv w:val="1"/>
      <w:marLeft w:val="0"/>
      <w:marRight w:val="0"/>
      <w:marTop w:val="0"/>
      <w:marBottom w:val="0"/>
      <w:divBdr>
        <w:top w:val="none" w:sz="0" w:space="0" w:color="auto"/>
        <w:left w:val="none" w:sz="0" w:space="0" w:color="auto"/>
        <w:bottom w:val="none" w:sz="0" w:space="0" w:color="auto"/>
        <w:right w:val="none" w:sz="0" w:space="0" w:color="auto"/>
      </w:divBdr>
    </w:div>
    <w:div w:id="1761415458">
      <w:bodyDiv w:val="1"/>
      <w:marLeft w:val="0"/>
      <w:marRight w:val="0"/>
      <w:marTop w:val="0"/>
      <w:marBottom w:val="0"/>
      <w:divBdr>
        <w:top w:val="none" w:sz="0" w:space="0" w:color="auto"/>
        <w:left w:val="none" w:sz="0" w:space="0" w:color="auto"/>
        <w:bottom w:val="none" w:sz="0" w:space="0" w:color="auto"/>
        <w:right w:val="none" w:sz="0" w:space="0" w:color="auto"/>
      </w:divBdr>
    </w:div>
    <w:div w:id="1840151224">
      <w:bodyDiv w:val="1"/>
      <w:marLeft w:val="0"/>
      <w:marRight w:val="0"/>
      <w:marTop w:val="0"/>
      <w:marBottom w:val="0"/>
      <w:divBdr>
        <w:top w:val="none" w:sz="0" w:space="0" w:color="auto"/>
        <w:left w:val="none" w:sz="0" w:space="0" w:color="auto"/>
        <w:bottom w:val="none" w:sz="0" w:space="0" w:color="auto"/>
        <w:right w:val="none" w:sz="0" w:space="0" w:color="auto"/>
      </w:divBdr>
    </w:div>
    <w:div w:id="1865820393">
      <w:bodyDiv w:val="1"/>
      <w:marLeft w:val="0"/>
      <w:marRight w:val="0"/>
      <w:marTop w:val="0"/>
      <w:marBottom w:val="0"/>
      <w:divBdr>
        <w:top w:val="none" w:sz="0" w:space="0" w:color="auto"/>
        <w:left w:val="none" w:sz="0" w:space="0" w:color="auto"/>
        <w:bottom w:val="none" w:sz="0" w:space="0" w:color="auto"/>
        <w:right w:val="none" w:sz="0" w:space="0" w:color="auto"/>
      </w:divBdr>
    </w:div>
    <w:div w:id="1899173014">
      <w:bodyDiv w:val="1"/>
      <w:marLeft w:val="0"/>
      <w:marRight w:val="0"/>
      <w:marTop w:val="0"/>
      <w:marBottom w:val="0"/>
      <w:divBdr>
        <w:top w:val="none" w:sz="0" w:space="0" w:color="auto"/>
        <w:left w:val="none" w:sz="0" w:space="0" w:color="auto"/>
        <w:bottom w:val="none" w:sz="0" w:space="0" w:color="auto"/>
        <w:right w:val="none" w:sz="0" w:space="0" w:color="auto"/>
      </w:divBdr>
    </w:div>
    <w:div w:id="1929188920">
      <w:bodyDiv w:val="1"/>
      <w:marLeft w:val="0"/>
      <w:marRight w:val="0"/>
      <w:marTop w:val="0"/>
      <w:marBottom w:val="0"/>
      <w:divBdr>
        <w:top w:val="none" w:sz="0" w:space="0" w:color="auto"/>
        <w:left w:val="none" w:sz="0" w:space="0" w:color="auto"/>
        <w:bottom w:val="none" w:sz="0" w:space="0" w:color="auto"/>
        <w:right w:val="none" w:sz="0" w:space="0" w:color="auto"/>
      </w:divBdr>
    </w:div>
    <w:div w:id="2009283326">
      <w:bodyDiv w:val="1"/>
      <w:marLeft w:val="0"/>
      <w:marRight w:val="0"/>
      <w:marTop w:val="0"/>
      <w:marBottom w:val="0"/>
      <w:divBdr>
        <w:top w:val="none" w:sz="0" w:space="0" w:color="auto"/>
        <w:left w:val="none" w:sz="0" w:space="0" w:color="auto"/>
        <w:bottom w:val="none" w:sz="0" w:space="0" w:color="auto"/>
        <w:right w:val="none" w:sz="0" w:space="0" w:color="auto"/>
      </w:divBdr>
    </w:div>
    <w:div w:id="2080667806">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Broker.Consulting/" TargetMode="External"/><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footer" Target="footer2.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hyperlink" Target="http://okpointy.cz" TargetMode="External"/><Relationship Id="rId19" Type="http://schemas.openxmlformats.org/officeDocument/2006/relationships/footer" Target="footer1.xml"/><Relationship Id="rId31" Type="http://schemas.openxmlformats.org/officeDocument/2006/relationships/hyperlink" Target="mailto:lenka.kuzelova@bcas.cz" TargetMode="Externa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hyperlink" Target="https://www.bcas.cz/o-nas/broker-consulting-index-hypotecnich-uveru/" TargetMode="Externa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40FDA-6145-406D-B2DC-AAC826062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1037</Words>
  <Characters>6121</Characters>
  <Application>Microsoft Office Word</Application>
  <DocSecurity>0</DocSecurity>
  <Lines>51</Lines>
  <Paragraphs>14</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2</cp:revision>
  <cp:lastPrinted>2023-03-06T11:31:00Z</cp:lastPrinted>
  <dcterms:created xsi:type="dcterms:W3CDTF">2024-05-02T10:01:00Z</dcterms:created>
  <dcterms:modified xsi:type="dcterms:W3CDTF">2024-05-02T10:01:00Z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