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highlight w:val="yellow"/>
        </w:rPr>
        <w:id w:val="120037484"/>
        <w:docPartObj>
          <w:docPartGallery w:val="Cover Pages"/>
          <w:docPartUnique/>
        </w:docPartObj>
      </w:sdtPr>
      <w:sdtEndPr>
        <w:rPr>
          <w:rFonts w:asciiTheme="minorHAnsi" w:hAnsiTheme="minorHAnsi" w:cstheme="minorHAnsi"/>
          <w:b/>
          <w:sz w:val="20"/>
          <w:szCs w:val="20"/>
        </w:rPr>
      </w:sdtEndPr>
      <w:sdtContent>
        <w:p w14:paraId="718E6546" w14:textId="3DEA865B" w:rsidR="00D80B6D" w:rsidRPr="00FC2522" w:rsidRDefault="00D80B6D">
          <w:pPr>
            <w:rPr>
              <w:highlight w:val="yellow"/>
            </w:rPr>
          </w:pPr>
        </w:p>
        <w:p w14:paraId="7ED014A1" w14:textId="77777777" w:rsidR="00D80B6D" w:rsidRPr="00FC2522" w:rsidRDefault="00D80B6D" w:rsidP="00D80B6D">
          <w:pPr>
            <w:pStyle w:val="Nadpis3"/>
            <w:spacing w:before="10"/>
            <w:rPr>
              <w:rFonts w:ascii="Arial" w:hAnsi="Arial" w:cs="Arial"/>
              <w:color w:val="1D1D1B"/>
              <w:highlight w:val="yellow"/>
            </w:rPr>
          </w:pPr>
        </w:p>
        <w:p w14:paraId="0FB45B67" w14:textId="77777777" w:rsidR="00D80B6D" w:rsidRPr="00BC331D" w:rsidRDefault="00D80B6D" w:rsidP="00D80B6D">
          <w:pPr>
            <w:spacing w:before="230"/>
            <w:ind w:left="165"/>
            <w:jc w:val="center"/>
            <w:rPr>
              <w:rFonts w:asciiTheme="minorHAnsi" w:hAnsiTheme="minorHAnsi" w:cstheme="minorHAnsi"/>
              <w:color w:val="CD1719"/>
              <w:sz w:val="24"/>
            </w:rPr>
          </w:pPr>
          <w:r w:rsidRPr="00BC331D">
            <w:rPr>
              <w:rFonts w:asciiTheme="minorHAnsi" w:hAnsiTheme="minorHAnsi" w:cstheme="minorHAnsi"/>
              <w:color w:val="1D1D1B"/>
              <w:sz w:val="24"/>
            </w:rPr>
            <w:t xml:space="preserve">INDEX HYPOTEČNÍCH ÚVĚRŮ </w:t>
          </w:r>
          <w:r w:rsidRPr="00BC331D">
            <w:rPr>
              <w:rFonts w:asciiTheme="minorHAnsi" w:hAnsiTheme="minorHAnsi" w:cstheme="minorHAnsi"/>
              <w:color w:val="CD1719"/>
              <w:sz w:val="24"/>
            </w:rPr>
            <w:t xml:space="preserve">| </w:t>
          </w:r>
          <w:r w:rsidRPr="00BC331D">
            <w:rPr>
              <w:rFonts w:asciiTheme="minorHAnsi" w:hAnsiTheme="minorHAnsi" w:cstheme="minorHAnsi"/>
              <w:color w:val="1D1D1B"/>
              <w:sz w:val="24"/>
            </w:rPr>
            <w:t xml:space="preserve">FIXINDEX </w:t>
          </w:r>
        </w:p>
        <w:p w14:paraId="6D3B5ACD" w14:textId="14F47C98" w:rsidR="00BC331D" w:rsidRPr="00BC331D" w:rsidRDefault="00BC331D" w:rsidP="00D80B6D">
          <w:pPr>
            <w:spacing w:before="230"/>
            <w:ind w:left="165"/>
            <w:jc w:val="center"/>
            <w:rPr>
              <w:rFonts w:asciiTheme="minorHAnsi" w:hAnsiTheme="minorHAnsi" w:cstheme="minorHAnsi"/>
              <w:color w:val="1D1D1B"/>
              <w:sz w:val="24"/>
            </w:rPr>
          </w:pPr>
          <w:r w:rsidRPr="00BC331D">
            <w:rPr>
              <w:rFonts w:asciiTheme="minorHAnsi" w:hAnsiTheme="minorHAnsi" w:cstheme="minorHAnsi"/>
              <w:color w:val="1D1D1B"/>
              <w:sz w:val="24"/>
            </w:rPr>
            <w:t>REALINDEX</w:t>
          </w:r>
        </w:p>
        <w:p w14:paraId="32900BCE" w14:textId="16FEEC9E" w:rsidR="00D80B6D" w:rsidRPr="00BC331D" w:rsidRDefault="00A252BA" w:rsidP="00D80B6D">
          <w:pPr>
            <w:spacing w:before="230"/>
            <w:ind w:left="165"/>
            <w:jc w:val="center"/>
            <w:rPr>
              <w:rFonts w:asciiTheme="minorHAnsi" w:hAnsiTheme="minorHAnsi" w:cstheme="minorHAnsi"/>
              <w:color w:val="1D1D1B"/>
              <w:sz w:val="24"/>
            </w:rPr>
          </w:pPr>
          <w:r w:rsidRPr="00BC331D">
            <w:rPr>
              <w:rFonts w:asciiTheme="minorHAnsi" w:hAnsiTheme="minorHAnsi" w:cstheme="minorHAnsi"/>
              <w:color w:val="1D1D1B"/>
              <w:sz w:val="24"/>
            </w:rPr>
            <w:t>POV</w:t>
          </w:r>
          <w:r w:rsidR="00D80B6D" w:rsidRPr="00BC331D">
            <w:rPr>
              <w:rFonts w:asciiTheme="minorHAnsi" w:hAnsiTheme="minorHAnsi" w:cstheme="minorHAnsi"/>
              <w:color w:val="1D1D1B"/>
              <w:sz w:val="24"/>
            </w:rPr>
            <w:t xml:space="preserve">INDEX </w:t>
          </w:r>
        </w:p>
        <w:p w14:paraId="35B1FBE8" w14:textId="77777777" w:rsidR="00BC331D" w:rsidRPr="00BC331D" w:rsidRDefault="00BC331D" w:rsidP="00BC331D">
          <w:pPr>
            <w:spacing w:before="240" w:line="288" w:lineRule="exact"/>
            <w:ind w:left="162"/>
            <w:jc w:val="center"/>
            <w:rPr>
              <w:rFonts w:asciiTheme="minorHAnsi" w:hAnsiTheme="minorHAnsi" w:cstheme="minorHAnsi"/>
              <w:color w:val="1D1D1B"/>
              <w:sz w:val="24"/>
            </w:rPr>
          </w:pPr>
          <w:r w:rsidRPr="00BC331D">
            <w:rPr>
              <w:rFonts w:asciiTheme="minorHAnsi" w:hAnsiTheme="minorHAnsi" w:cstheme="minorHAnsi"/>
              <w:color w:val="1D1D1B"/>
              <w:sz w:val="24"/>
            </w:rPr>
            <w:t>INDEX PODÍLOVÝCH FONDŮ</w:t>
          </w:r>
        </w:p>
        <w:p w14:paraId="5B21B8A6" w14:textId="616329FC" w:rsidR="00D80B6D" w:rsidRPr="00BC331D" w:rsidRDefault="00D80B6D" w:rsidP="00BC331D">
          <w:pPr>
            <w:spacing w:before="230"/>
            <w:jc w:val="center"/>
            <w:rPr>
              <w:rFonts w:asciiTheme="minorHAnsi" w:hAnsiTheme="minorHAnsi" w:cstheme="minorHAnsi"/>
              <w:b/>
              <w:color w:val="CD1719"/>
              <w:sz w:val="24"/>
            </w:rPr>
          </w:pPr>
          <w:r w:rsidRPr="00BC331D">
            <w:rPr>
              <w:rFonts w:asciiTheme="minorHAnsi" w:hAnsiTheme="minorHAnsi" w:cstheme="minorHAnsi"/>
              <w:b/>
              <w:color w:val="1D1D1B"/>
              <w:sz w:val="24"/>
            </w:rPr>
            <w:t>INDEX SPOTŘEBITELSKÝCH ÚVĚRŮ</w:t>
          </w:r>
        </w:p>
        <w:p w14:paraId="1FCC0C9E" w14:textId="77777777" w:rsidR="00D80B6D" w:rsidRPr="00FC2522" w:rsidRDefault="00D80B6D" w:rsidP="00D80B6D">
          <w:pPr>
            <w:pStyle w:val="Zkladntext"/>
            <w:spacing w:before="240"/>
            <w:rPr>
              <w:sz w:val="20"/>
              <w:highlight w:val="yellow"/>
            </w:rPr>
          </w:pPr>
        </w:p>
        <w:p w14:paraId="720CCDBB" w14:textId="77777777" w:rsidR="00D80B6D" w:rsidRPr="00FC2522" w:rsidRDefault="00D80B6D" w:rsidP="00D80B6D">
          <w:pPr>
            <w:pStyle w:val="Zkladntext"/>
            <w:spacing w:before="240"/>
            <w:rPr>
              <w:sz w:val="20"/>
              <w:highlight w:val="yellow"/>
            </w:rPr>
          </w:pPr>
        </w:p>
        <w:p w14:paraId="703D71F2" w14:textId="77777777" w:rsidR="00D80B6D" w:rsidRPr="00FC2522" w:rsidRDefault="00D80B6D" w:rsidP="00D80B6D">
          <w:pPr>
            <w:pStyle w:val="Zkladntext"/>
            <w:rPr>
              <w:sz w:val="20"/>
              <w:highlight w:val="yellow"/>
            </w:rPr>
          </w:pPr>
        </w:p>
        <w:p w14:paraId="00494A3A" w14:textId="77777777" w:rsidR="00D80B6D" w:rsidRPr="00FC2522" w:rsidRDefault="00D80B6D" w:rsidP="00D80B6D">
          <w:pPr>
            <w:pStyle w:val="Zkladntext"/>
            <w:rPr>
              <w:sz w:val="20"/>
              <w:highlight w:val="yellow"/>
            </w:rPr>
          </w:pPr>
          <w:r w:rsidRPr="00FC2522">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FC2522" w:rsidRDefault="00D80B6D" w:rsidP="00D80B6D">
          <w:pPr>
            <w:pStyle w:val="Zkladntext"/>
            <w:rPr>
              <w:sz w:val="20"/>
              <w:highlight w:val="yellow"/>
            </w:rPr>
          </w:pPr>
        </w:p>
        <w:p w14:paraId="2A5F355C" w14:textId="77777777" w:rsidR="00D80B6D" w:rsidRPr="00FC2522" w:rsidRDefault="00D80B6D" w:rsidP="00D80B6D">
          <w:pPr>
            <w:pStyle w:val="Zkladntext"/>
            <w:rPr>
              <w:sz w:val="20"/>
              <w:highlight w:val="yellow"/>
            </w:rPr>
          </w:pPr>
        </w:p>
        <w:p w14:paraId="218EE6CB" w14:textId="77777777" w:rsidR="00D80B6D" w:rsidRPr="00FC2522" w:rsidRDefault="00D80B6D" w:rsidP="00D80B6D">
          <w:pPr>
            <w:pStyle w:val="Zkladntext"/>
            <w:rPr>
              <w:sz w:val="20"/>
              <w:highlight w:val="yellow"/>
            </w:rPr>
          </w:pPr>
        </w:p>
        <w:p w14:paraId="0238B3AB" w14:textId="77777777" w:rsidR="00D80B6D" w:rsidRPr="00FC2522" w:rsidRDefault="00D80B6D" w:rsidP="00D80B6D">
          <w:pPr>
            <w:pStyle w:val="Zkladntext"/>
            <w:rPr>
              <w:sz w:val="20"/>
              <w:highlight w:val="yellow"/>
            </w:rPr>
          </w:pPr>
        </w:p>
        <w:p w14:paraId="54516A42" w14:textId="77777777" w:rsidR="00D80B6D" w:rsidRPr="00FC2522" w:rsidRDefault="00D80B6D" w:rsidP="00D80B6D">
          <w:pPr>
            <w:pStyle w:val="Zkladntext"/>
            <w:rPr>
              <w:sz w:val="20"/>
              <w:highlight w:val="yellow"/>
            </w:rPr>
          </w:pPr>
        </w:p>
        <w:p w14:paraId="5266363A" w14:textId="77777777" w:rsidR="00D80B6D" w:rsidRPr="00FC2522" w:rsidRDefault="00D80B6D" w:rsidP="00D80B6D">
          <w:pPr>
            <w:pStyle w:val="Zkladntext"/>
            <w:rPr>
              <w:sz w:val="20"/>
              <w:highlight w:val="yellow"/>
            </w:rPr>
          </w:pPr>
        </w:p>
        <w:p w14:paraId="363B2E28" w14:textId="77777777" w:rsidR="00D80B6D" w:rsidRPr="00FC2522" w:rsidRDefault="00D80B6D" w:rsidP="00D80B6D">
          <w:pPr>
            <w:pStyle w:val="Zkladntext"/>
            <w:rPr>
              <w:sz w:val="20"/>
              <w:highlight w:val="yellow"/>
            </w:rPr>
          </w:pPr>
        </w:p>
        <w:p w14:paraId="17667B44" w14:textId="77777777" w:rsidR="00D80B6D" w:rsidRPr="00FC2522" w:rsidRDefault="00D80B6D" w:rsidP="00D80B6D">
          <w:pPr>
            <w:pStyle w:val="Zkladntext"/>
            <w:jc w:val="both"/>
            <w:rPr>
              <w:rFonts w:ascii="Arial" w:hAnsi="Arial" w:cs="Arial"/>
              <w:color w:val="FFFFFF" w:themeColor="background1"/>
              <w:sz w:val="20"/>
              <w:highlight w:val="yellow"/>
            </w:rPr>
          </w:pPr>
        </w:p>
        <w:p w14:paraId="5193A529" w14:textId="77777777" w:rsidR="00D80B6D" w:rsidRPr="00FC2522" w:rsidRDefault="00D80B6D" w:rsidP="00D80B6D">
          <w:pPr>
            <w:pStyle w:val="Zkladntext"/>
            <w:jc w:val="both"/>
            <w:rPr>
              <w:rFonts w:ascii="Arial" w:hAnsi="Arial" w:cs="Arial"/>
              <w:b/>
              <w:sz w:val="20"/>
              <w:highlight w:val="yellow"/>
            </w:rPr>
          </w:pPr>
        </w:p>
        <w:p w14:paraId="2833FE59" w14:textId="77777777" w:rsidR="00D80B6D" w:rsidRPr="00FC2522" w:rsidRDefault="00D80B6D" w:rsidP="00D80B6D">
          <w:pPr>
            <w:pStyle w:val="Zkladntext"/>
            <w:jc w:val="both"/>
            <w:rPr>
              <w:rFonts w:ascii="Arial" w:hAnsi="Arial" w:cs="Arial"/>
              <w:b/>
              <w:sz w:val="20"/>
              <w:highlight w:val="yellow"/>
            </w:rPr>
          </w:pPr>
        </w:p>
        <w:p w14:paraId="6DB157BF" w14:textId="77777777" w:rsidR="00D80B6D" w:rsidRPr="00FC2522" w:rsidRDefault="00D80B6D" w:rsidP="00D80B6D">
          <w:pPr>
            <w:pStyle w:val="Zkladntext"/>
            <w:jc w:val="both"/>
            <w:rPr>
              <w:rFonts w:ascii="Arial" w:hAnsi="Arial" w:cs="Arial"/>
              <w:b/>
              <w:sz w:val="20"/>
              <w:highlight w:val="yellow"/>
            </w:rPr>
          </w:pPr>
        </w:p>
        <w:p w14:paraId="47803C2A" w14:textId="77777777" w:rsidR="00D80B6D" w:rsidRPr="00FC2522" w:rsidRDefault="00D80B6D" w:rsidP="00D80B6D">
          <w:pPr>
            <w:pStyle w:val="Zkladntext"/>
            <w:jc w:val="both"/>
            <w:rPr>
              <w:rFonts w:ascii="Arial" w:hAnsi="Arial" w:cs="Arial"/>
              <w:b/>
              <w:sz w:val="20"/>
              <w:highlight w:val="yellow"/>
            </w:rPr>
          </w:pPr>
        </w:p>
        <w:p w14:paraId="1D90E1D0" w14:textId="77777777" w:rsidR="00D80B6D" w:rsidRPr="00FC2522" w:rsidRDefault="00D80B6D" w:rsidP="00D80B6D">
          <w:pPr>
            <w:pStyle w:val="Zkladntext"/>
            <w:jc w:val="both"/>
            <w:rPr>
              <w:rFonts w:ascii="Arial" w:hAnsi="Arial" w:cs="Arial"/>
              <w:b/>
              <w:sz w:val="20"/>
              <w:highlight w:val="yellow"/>
            </w:rPr>
          </w:pPr>
        </w:p>
        <w:p w14:paraId="5A33B823" w14:textId="77777777" w:rsidR="00D80B6D" w:rsidRPr="00FC2522" w:rsidRDefault="00D80B6D" w:rsidP="00D80B6D">
          <w:pPr>
            <w:pStyle w:val="Zkladntext"/>
            <w:jc w:val="both"/>
            <w:rPr>
              <w:rFonts w:ascii="Arial" w:hAnsi="Arial" w:cs="Arial"/>
              <w:b/>
              <w:sz w:val="20"/>
              <w:highlight w:val="yellow"/>
            </w:rPr>
          </w:pPr>
        </w:p>
        <w:p w14:paraId="0D2BECD0" w14:textId="77777777" w:rsidR="00D80B6D" w:rsidRPr="00FC2522" w:rsidRDefault="00D80B6D" w:rsidP="00D80B6D">
          <w:pPr>
            <w:pStyle w:val="Zkladntext"/>
            <w:jc w:val="both"/>
            <w:rPr>
              <w:rFonts w:ascii="Arial" w:hAnsi="Arial" w:cs="Arial"/>
              <w:b/>
              <w:sz w:val="20"/>
              <w:highlight w:val="yellow"/>
            </w:rPr>
          </w:pPr>
        </w:p>
        <w:p w14:paraId="69288FB9" w14:textId="77777777" w:rsidR="00D80B6D" w:rsidRPr="00FC2522" w:rsidRDefault="00D80B6D" w:rsidP="00D80B6D">
          <w:pPr>
            <w:pStyle w:val="Zkladntext"/>
            <w:jc w:val="both"/>
            <w:rPr>
              <w:rFonts w:ascii="Arial" w:hAnsi="Arial" w:cs="Arial"/>
              <w:b/>
              <w:sz w:val="20"/>
              <w:highlight w:val="yellow"/>
            </w:rPr>
          </w:pPr>
        </w:p>
        <w:p w14:paraId="541E93D5" w14:textId="77777777" w:rsidR="00D80B6D" w:rsidRPr="00FC2522" w:rsidRDefault="00D80B6D" w:rsidP="00D80B6D">
          <w:pPr>
            <w:pStyle w:val="Zkladntext"/>
            <w:jc w:val="both"/>
            <w:rPr>
              <w:rFonts w:ascii="Arial" w:hAnsi="Arial" w:cs="Arial"/>
              <w:b/>
              <w:sz w:val="20"/>
              <w:highlight w:val="yellow"/>
            </w:rPr>
          </w:pPr>
        </w:p>
        <w:p w14:paraId="341A343C" w14:textId="77777777" w:rsidR="00D80B6D" w:rsidRPr="00FC2522" w:rsidRDefault="00D80B6D" w:rsidP="00D80B6D">
          <w:pPr>
            <w:pStyle w:val="Zkladntext"/>
            <w:jc w:val="both"/>
            <w:rPr>
              <w:rFonts w:ascii="Arial" w:hAnsi="Arial" w:cs="Arial"/>
              <w:b/>
              <w:sz w:val="20"/>
              <w:highlight w:val="yellow"/>
            </w:rPr>
          </w:pPr>
        </w:p>
        <w:p w14:paraId="6C52C42D" w14:textId="77777777" w:rsidR="00D80B6D" w:rsidRPr="00FC2522" w:rsidRDefault="00D80B6D" w:rsidP="00D80B6D">
          <w:pPr>
            <w:pStyle w:val="Zkladntext"/>
            <w:jc w:val="both"/>
            <w:rPr>
              <w:rFonts w:ascii="Arial" w:hAnsi="Arial" w:cs="Arial"/>
              <w:b/>
              <w:sz w:val="20"/>
              <w:highlight w:val="yellow"/>
            </w:rPr>
          </w:pPr>
        </w:p>
        <w:p w14:paraId="3E3CDF25" w14:textId="77777777" w:rsidR="00D80B6D" w:rsidRPr="00FC2522" w:rsidRDefault="00D80B6D" w:rsidP="00D80B6D">
          <w:pPr>
            <w:pStyle w:val="Zkladntext"/>
            <w:jc w:val="both"/>
            <w:rPr>
              <w:rFonts w:ascii="Arial" w:hAnsi="Arial" w:cs="Arial"/>
              <w:b/>
              <w:sz w:val="20"/>
              <w:highlight w:val="yellow"/>
            </w:rPr>
          </w:pPr>
        </w:p>
        <w:p w14:paraId="40495E64" w14:textId="77777777" w:rsidR="00D80B6D" w:rsidRPr="00FC2522" w:rsidRDefault="00D80B6D" w:rsidP="00D80B6D">
          <w:pPr>
            <w:pStyle w:val="Zkladntext"/>
            <w:jc w:val="both"/>
            <w:rPr>
              <w:rFonts w:ascii="Arial" w:hAnsi="Arial" w:cs="Arial"/>
              <w:b/>
              <w:sz w:val="20"/>
              <w:highlight w:val="yellow"/>
            </w:rPr>
          </w:pPr>
        </w:p>
        <w:p w14:paraId="59B6F4E6" w14:textId="77777777" w:rsidR="00D80B6D" w:rsidRPr="00FC2522" w:rsidRDefault="00D80B6D" w:rsidP="00D80B6D">
          <w:pPr>
            <w:pStyle w:val="Zkladntext"/>
            <w:jc w:val="both"/>
            <w:rPr>
              <w:rFonts w:ascii="Arial" w:hAnsi="Arial" w:cs="Arial"/>
              <w:b/>
              <w:sz w:val="20"/>
              <w:highlight w:val="yellow"/>
            </w:rPr>
          </w:pPr>
        </w:p>
        <w:p w14:paraId="5ADDFBD6" w14:textId="77777777" w:rsidR="00D80B6D" w:rsidRPr="00FC2522" w:rsidRDefault="00D80B6D" w:rsidP="00D80B6D">
          <w:pPr>
            <w:pStyle w:val="Zkladntext"/>
            <w:jc w:val="both"/>
            <w:rPr>
              <w:rFonts w:ascii="Arial" w:hAnsi="Arial" w:cs="Arial"/>
              <w:b/>
              <w:sz w:val="20"/>
              <w:highlight w:val="yellow"/>
            </w:rPr>
          </w:pPr>
        </w:p>
        <w:p w14:paraId="1CB27DF8" w14:textId="77777777" w:rsidR="007B358E" w:rsidRPr="00FC2522" w:rsidRDefault="007B358E" w:rsidP="00D80B6D">
          <w:pPr>
            <w:pStyle w:val="Zkladntext"/>
            <w:jc w:val="both"/>
            <w:rPr>
              <w:rFonts w:ascii="Arial" w:hAnsi="Arial" w:cs="Arial"/>
              <w:b/>
              <w:sz w:val="20"/>
              <w:highlight w:val="yellow"/>
            </w:rPr>
          </w:pPr>
        </w:p>
        <w:p w14:paraId="3A61C564" w14:textId="77777777" w:rsidR="0068617E" w:rsidRPr="00FC2522" w:rsidRDefault="0068617E" w:rsidP="00D80B6D">
          <w:pPr>
            <w:pStyle w:val="Zkladntext"/>
            <w:jc w:val="both"/>
            <w:rPr>
              <w:rFonts w:ascii="Arial" w:hAnsi="Arial" w:cs="Arial"/>
              <w:b/>
              <w:sz w:val="20"/>
              <w:highlight w:val="yellow"/>
            </w:rPr>
          </w:pPr>
        </w:p>
        <w:p w14:paraId="1414E639" w14:textId="77777777" w:rsidR="0068617E" w:rsidRPr="00BC331D" w:rsidRDefault="0068617E" w:rsidP="00D80B6D">
          <w:pPr>
            <w:pStyle w:val="Zkladntext"/>
            <w:jc w:val="both"/>
            <w:rPr>
              <w:rFonts w:asciiTheme="minorHAnsi" w:hAnsiTheme="minorHAnsi" w:cstheme="minorHAnsi"/>
              <w:b/>
              <w:sz w:val="20"/>
              <w:highlight w:val="yellow"/>
            </w:rPr>
          </w:pPr>
        </w:p>
        <w:p w14:paraId="11132A3F" w14:textId="53DE594E" w:rsidR="00D80B6D" w:rsidRPr="00BC331D" w:rsidRDefault="00D80B6D" w:rsidP="00D80B6D">
          <w:pPr>
            <w:pStyle w:val="Zkladntext"/>
            <w:jc w:val="both"/>
            <w:rPr>
              <w:rFonts w:asciiTheme="minorHAnsi" w:hAnsiTheme="minorHAnsi" w:cstheme="minorHAnsi"/>
              <w:b/>
              <w:sz w:val="20"/>
            </w:rPr>
          </w:pPr>
          <w:r w:rsidRPr="00BC331D">
            <w:rPr>
              <w:rFonts w:asciiTheme="minorHAnsi" w:hAnsiTheme="minorHAnsi" w:cstheme="minorHAnsi"/>
              <w:b/>
              <w:sz w:val="20"/>
            </w:rPr>
            <w:t>O společnosti Broker Consulting</w:t>
          </w:r>
        </w:p>
        <w:p w14:paraId="27485CC6" w14:textId="77777777" w:rsidR="00D80B6D" w:rsidRPr="00BC331D" w:rsidRDefault="00D80B6D" w:rsidP="00D80B6D">
          <w:pPr>
            <w:jc w:val="both"/>
            <w:rPr>
              <w:rFonts w:asciiTheme="minorHAnsi" w:hAnsiTheme="minorHAnsi" w:cstheme="minorHAnsi"/>
              <w:sz w:val="20"/>
            </w:rPr>
          </w:pPr>
        </w:p>
        <w:p w14:paraId="36418F0F" w14:textId="77777777" w:rsidR="007F5903" w:rsidRDefault="007F5903" w:rsidP="007F5903">
          <w:pPr>
            <w:jc w:val="both"/>
            <w:rPr>
              <w:rStyle w:val="dn"/>
              <w:rFonts w:asciiTheme="minorHAnsi" w:hAnsiTheme="minorHAnsi" w:cstheme="minorHAnsi"/>
              <w:sz w:val="20"/>
              <w:szCs w:val="20"/>
            </w:rPr>
          </w:pPr>
          <w:r>
            <w:rPr>
              <w:rFonts w:asciiTheme="minorHAnsi" w:hAnsiTheme="minorHAnsi" w:cstheme="minorHAnsi"/>
              <w:sz w:val="20"/>
              <w:szCs w:val="20"/>
            </w:rPr>
            <w:t xml:space="preserve">Broker Consulting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 ve více než 150 kancelářích a na několika desítkách poboček Broker Point Premium.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Broker Point Premium, jehož přináší společnost Broker Consulting, která za vedení franšízy a její podporu získala ocenění </w:t>
          </w:r>
          <w:proofErr w:type="spellStart"/>
          <w:r>
            <w:rPr>
              <w:rFonts w:asciiTheme="minorHAnsi" w:hAnsiTheme="minorHAnsi" w:cstheme="minorHAnsi"/>
              <w:b/>
              <w:color w:val="FF0000"/>
              <w:sz w:val="20"/>
              <w:szCs w:val="20"/>
            </w:rPr>
            <w:t>Franchisor</w:t>
          </w:r>
          <w:proofErr w:type="spellEnd"/>
          <w:r>
            <w:rPr>
              <w:rFonts w:asciiTheme="minorHAnsi" w:hAnsiTheme="minorHAnsi" w:cstheme="minorHAnsi"/>
              <w:b/>
              <w:color w:val="FF0000"/>
              <w:sz w:val="20"/>
              <w:szCs w:val="20"/>
            </w:rPr>
            <w:t xml:space="preserve"> roku 2022</w:t>
          </w:r>
          <w:r>
            <w:rPr>
              <w:rFonts w:asciiTheme="minorHAnsi" w:hAnsiTheme="minorHAnsi" w:cstheme="minorHAnsi"/>
              <w:color w:val="FF0000"/>
              <w:sz w:val="20"/>
              <w:szCs w:val="20"/>
            </w:rPr>
            <w:t xml:space="preserve"> </w:t>
          </w:r>
          <w:r>
            <w:rPr>
              <w:rFonts w:asciiTheme="minorHAnsi" w:hAnsiTheme="minorHAnsi" w:cstheme="minorHAnsi"/>
              <w:sz w:val="20"/>
              <w:szCs w:val="20"/>
            </w:rPr>
            <w:t xml:space="preserve">od České asociace </w:t>
          </w:r>
          <w:proofErr w:type="spellStart"/>
          <w:r>
            <w:rPr>
              <w:rFonts w:asciiTheme="minorHAnsi" w:hAnsiTheme="minorHAnsi" w:cstheme="minorHAnsi"/>
              <w:sz w:val="20"/>
              <w:szCs w:val="20"/>
            </w:rPr>
            <w:t>franchisingu</w:t>
          </w:r>
          <w:proofErr w:type="spellEnd"/>
          <w:r>
            <w:rPr>
              <w:rFonts w:asciiTheme="minorHAnsi" w:hAnsiTheme="minorHAnsi" w:cstheme="minorHAnsi"/>
              <w:sz w:val="20"/>
              <w:szCs w:val="20"/>
            </w:rPr>
            <w:t xml:space="preserve">. </w:t>
          </w:r>
          <w:proofErr w:type="spellStart"/>
          <w:r>
            <w:rPr>
              <w:rStyle w:val="dn"/>
              <w:rFonts w:asciiTheme="minorHAnsi" w:hAnsiTheme="minorHAnsi" w:cstheme="minorHAnsi"/>
              <w:sz w:val="20"/>
              <w:szCs w:val="20"/>
            </w:rPr>
            <w:t>Více</w:t>
          </w:r>
          <w:proofErr w:type="spellEnd"/>
          <w:r>
            <w:rPr>
              <w:rStyle w:val="dn"/>
              <w:rFonts w:asciiTheme="minorHAnsi" w:hAnsiTheme="minorHAnsi" w:cstheme="minorHAnsi"/>
              <w:sz w:val="20"/>
              <w:szCs w:val="20"/>
            </w:rPr>
            <w:t xml:space="preserve"> na </w:t>
          </w:r>
          <w:hyperlink r:id="rId9" w:history="1">
            <w:r>
              <w:rPr>
                <w:rStyle w:val="Hypertextovodkaz"/>
                <w:rFonts w:asciiTheme="minorHAnsi" w:hAnsiTheme="minorHAnsi" w:cstheme="minorHAnsi"/>
                <w:sz w:val="20"/>
                <w:szCs w:val="20"/>
              </w:rPr>
              <w:t>bcas.cz</w:t>
            </w:r>
          </w:hyperlink>
          <w:r>
            <w:rPr>
              <w:rStyle w:val="Hypertextovodkaz"/>
              <w:rFonts w:asciiTheme="minorHAnsi" w:hAnsiTheme="minorHAnsi" w:cstheme="minorHAnsi"/>
              <w:sz w:val="20"/>
              <w:szCs w:val="20"/>
            </w:rPr>
            <w:t xml:space="preserve">, </w:t>
          </w:r>
          <w:hyperlink r:id="rId10" w:history="1">
            <w:r>
              <w:rPr>
                <w:rStyle w:val="Hypertextovodkaz"/>
                <w:rFonts w:asciiTheme="minorHAnsi" w:hAnsiTheme="minorHAnsi" w:cstheme="minorHAnsi"/>
                <w:sz w:val="20"/>
                <w:szCs w:val="20"/>
              </w:rPr>
              <w:t>brokerpointy.cz</w:t>
            </w:r>
          </w:hyperlink>
          <w:r>
            <w:rPr>
              <w:rStyle w:val="Hypertextovodkaz"/>
              <w:rFonts w:asciiTheme="minorHAnsi" w:hAnsiTheme="minorHAnsi" w:cstheme="minorHAnsi"/>
              <w:sz w:val="20"/>
              <w:szCs w:val="20"/>
            </w:rPr>
            <w:t>, brokerpoint</w:t>
          </w:r>
          <w:hyperlink r:id="rId11" w:history="1">
            <w:r>
              <w:rPr>
                <w:rStyle w:val="Hypertextovodkaz"/>
                <w:rFonts w:asciiTheme="minorHAnsi" w:hAnsiTheme="minorHAnsi" w:cstheme="minorHAnsi"/>
                <w:sz w:val="20"/>
                <w:szCs w:val="20"/>
              </w:rPr>
              <w:t>.tv</w:t>
            </w:r>
          </w:hyperlink>
          <w:r>
            <w:rPr>
              <w:rStyle w:val="dn"/>
              <w:rFonts w:asciiTheme="minorHAnsi" w:hAnsiTheme="minorHAnsi" w:cstheme="minorHAnsi"/>
              <w:sz w:val="20"/>
              <w:szCs w:val="20"/>
            </w:rPr>
            <w:t xml:space="preserve"> a na </w:t>
          </w:r>
          <w:hyperlink r:id="rId12" w:history="1">
            <w:r>
              <w:rPr>
                <w:rStyle w:val="Hypertextovodkaz"/>
                <w:rFonts w:asciiTheme="minorHAnsi" w:hAnsiTheme="minorHAnsi" w:cstheme="minorHAnsi"/>
                <w:sz w:val="20"/>
                <w:szCs w:val="20"/>
              </w:rPr>
              <w:t>realityspolu.cz</w:t>
            </w:r>
          </w:hyperlink>
          <w:r>
            <w:rPr>
              <w:rStyle w:val="Hypertextovodkaz"/>
              <w:rFonts w:asciiTheme="minorHAnsi" w:hAnsiTheme="minorHAnsi" w:cstheme="minorHAnsi"/>
              <w:sz w:val="20"/>
              <w:szCs w:val="20"/>
            </w:rPr>
            <w:t xml:space="preserve">. </w:t>
          </w:r>
          <w:proofErr w:type="spellStart"/>
          <w:r>
            <w:rPr>
              <w:rStyle w:val="dn"/>
              <w:rFonts w:asciiTheme="minorHAnsi" w:hAnsiTheme="minorHAnsi" w:cstheme="minorHAnsi"/>
              <w:sz w:val="20"/>
              <w:szCs w:val="20"/>
            </w:rPr>
            <w:t>Navštivte</w:t>
          </w:r>
          <w:proofErr w:type="spellEnd"/>
          <w:r>
            <w:rPr>
              <w:rStyle w:val="dn"/>
              <w:rFonts w:asciiTheme="minorHAnsi" w:hAnsiTheme="minorHAnsi" w:cstheme="minorHAnsi"/>
              <w:sz w:val="20"/>
              <w:szCs w:val="20"/>
            </w:rPr>
            <w:t xml:space="preserve"> </w:t>
          </w:r>
          <w:proofErr w:type="spellStart"/>
          <w:r>
            <w:rPr>
              <w:rStyle w:val="dn"/>
              <w:rFonts w:asciiTheme="minorHAnsi" w:hAnsiTheme="minorHAnsi" w:cstheme="minorHAnsi"/>
              <w:sz w:val="20"/>
              <w:szCs w:val="20"/>
            </w:rPr>
            <w:t>také</w:t>
          </w:r>
          <w:proofErr w:type="spellEnd"/>
          <w:r>
            <w:rPr>
              <w:rStyle w:val="dn"/>
              <w:rFonts w:asciiTheme="minorHAnsi" w:hAnsiTheme="minorHAnsi" w:cstheme="minorHAnsi"/>
              <w:sz w:val="20"/>
              <w:szCs w:val="20"/>
            </w:rPr>
            <w:t xml:space="preserve"> </w:t>
          </w:r>
          <w:proofErr w:type="spellStart"/>
          <w:r>
            <w:rPr>
              <w:rStyle w:val="dn"/>
              <w:rFonts w:asciiTheme="minorHAnsi" w:hAnsiTheme="minorHAnsi" w:cstheme="minorHAnsi"/>
              <w:sz w:val="20"/>
              <w:szCs w:val="20"/>
            </w:rPr>
            <w:t>náš</w:t>
          </w:r>
          <w:proofErr w:type="spellEnd"/>
          <w:r>
            <w:rPr>
              <w:rStyle w:val="dn"/>
              <w:rFonts w:asciiTheme="minorHAnsi" w:hAnsiTheme="minorHAnsi" w:cstheme="minorHAnsi"/>
              <w:sz w:val="20"/>
              <w:szCs w:val="20"/>
            </w:rPr>
            <w:t xml:space="preserve"> </w:t>
          </w:r>
          <w:hyperlink r:id="rId13" w:history="1">
            <w:proofErr w:type="spellStart"/>
            <w:r>
              <w:rPr>
                <w:rStyle w:val="Hypertextovodkaz"/>
                <w:rFonts w:asciiTheme="minorHAnsi" w:hAnsiTheme="minorHAnsi" w:cstheme="minorHAnsi"/>
                <w:sz w:val="20"/>
                <w:szCs w:val="20"/>
              </w:rPr>
              <w:t>Facebook</w:t>
            </w:r>
            <w:proofErr w:type="spellEnd"/>
          </w:hyperlink>
          <w:r>
            <w:rPr>
              <w:rStyle w:val="dn"/>
              <w:rFonts w:asciiTheme="minorHAnsi" w:hAnsiTheme="minorHAnsi" w:cstheme="minorHAnsi"/>
              <w:sz w:val="20"/>
              <w:szCs w:val="20"/>
            </w:rPr>
            <w:t xml:space="preserve">, </w:t>
          </w:r>
          <w:hyperlink r:id="rId14" w:history="1">
            <w:proofErr w:type="spellStart"/>
            <w:r>
              <w:rPr>
                <w:rStyle w:val="Hypertextovodkaz"/>
                <w:rFonts w:asciiTheme="minorHAnsi" w:hAnsiTheme="minorHAnsi" w:cstheme="minorHAnsi"/>
                <w:sz w:val="20"/>
                <w:szCs w:val="20"/>
              </w:rPr>
              <w:t>LinkedIN</w:t>
            </w:r>
            <w:proofErr w:type="spellEnd"/>
          </w:hyperlink>
          <w:r>
            <w:rPr>
              <w:rStyle w:val="dn"/>
              <w:rFonts w:asciiTheme="minorHAnsi" w:hAnsiTheme="minorHAnsi" w:cstheme="minorHAnsi"/>
              <w:sz w:val="20"/>
              <w:szCs w:val="20"/>
            </w:rPr>
            <w:t xml:space="preserve"> Broker Consulting, Twitter </w:t>
          </w:r>
          <w:r>
            <w:rPr>
              <w:rFonts w:asciiTheme="minorHAnsi" w:hAnsiTheme="minorHAnsi" w:cstheme="minorHAnsi"/>
              <w:sz w:val="20"/>
              <w:szCs w:val="20"/>
              <w:shd w:val="clear" w:color="auto" w:fill="FFFFFF"/>
            </w:rPr>
            <w:t>@</w:t>
          </w:r>
          <w:proofErr w:type="spellStart"/>
          <w:r>
            <w:rPr>
              <w:rFonts w:asciiTheme="minorHAnsi" w:hAnsiTheme="minorHAnsi" w:cstheme="minorHAnsi"/>
              <w:sz w:val="20"/>
              <w:szCs w:val="20"/>
              <w:shd w:val="clear" w:color="auto" w:fill="FFFFFF"/>
            </w:rPr>
            <w:t>BC_oficialni</w:t>
          </w:r>
          <w:proofErr w:type="spellEnd"/>
          <w:r>
            <w:rPr>
              <w:rFonts w:asciiTheme="minorHAnsi" w:hAnsiTheme="minorHAnsi" w:cstheme="minorHAnsi"/>
              <w:sz w:val="20"/>
              <w:szCs w:val="20"/>
              <w:shd w:val="clear" w:color="auto" w:fill="FFFFFF"/>
            </w:rPr>
            <w:t xml:space="preserve">, </w:t>
          </w:r>
          <w:r>
            <w:rPr>
              <w:rStyle w:val="dn"/>
              <w:rFonts w:asciiTheme="minorHAnsi" w:hAnsiTheme="minorHAnsi" w:cstheme="minorHAnsi"/>
              <w:sz w:val="20"/>
              <w:szCs w:val="20"/>
            </w:rPr>
            <w:t xml:space="preserve"> </w:t>
          </w:r>
          <w:hyperlink r:id="rId15" w:history="1">
            <w:proofErr w:type="spellStart"/>
            <w:r>
              <w:rPr>
                <w:rStyle w:val="Hypertextovodkaz"/>
                <w:rFonts w:asciiTheme="minorHAnsi" w:hAnsiTheme="minorHAnsi" w:cstheme="minorHAnsi"/>
                <w:sz w:val="20"/>
                <w:szCs w:val="20"/>
              </w:rPr>
              <w:t>Facebook</w:t>
            </w:r>
            <w:proofErr w:type="spellEnd"/>
          </w:hyperlink>
          <w:r>
            <w:rPr>
              <w:rStyle w:val="dn"/>
              <w:rFonts w:asciiTheme="minorHAnsi" w:hAnsiTheme="minorHAnsi" w:cstheme="minorHAnsi"/>
              <w:sz w:val="20"/>
              <w:szCs w:val="20"/>
            </w:rPr>
            <w:t xml:space="preserve"> a </w:t>
          </w:r>
          <w:hyperlink r:id="rId16" w:history="1">
            <w:proofErr w:type="spellStart"/>
            <w:r>
              <w:rPr>
                <w:rStyle w:val="Hypertextovodkaz"/>
                <w:rFonts w:asciiTheme="minorHAnsi" w:hAnsiTheme="minorHAnsi" w:cstheme="minorHAnsi"/>
                <w:sz w:val="20"/>
                <w:szCs w:val="20"/>
              </w:rPr>
              <w:t>LinkedI</w:t>
            </w:r>
          </w:hyperlink>
          <w:r>
            <w:rPr>
              <w:rStyle w:val="Hypertextovodkaz"/>
              <w:rFonts w:asciiTheme="minorHAnsi" w:hAnsiTheme="minorHAnsi" w:cstheme="minorHAnsi"/>
              <w:sz w:val="20"/>
              <w:szCs w:val="20"/>
            </w:rPr>
            <w:t>N</w:t>
          </w:r>
          <w:proofErr w:type="spellEnd"/>
          <w:r>
            <w:rPr>
              <w:rStyle w:val="dn"/>
              <w:rFonts w:asciiTheme="minorHAnsi" w:hAnsiTheme="minorHAnsi" w:cstheme="minorHAnsi"/>
              <w:sz w:val="20"/>
              <w:szCs w:val="20"/>
            </w:rPr>
            <w:t xml:space="preserve"> Broker Point Premium. </w:t>
          </w:r>
        </w:p>
        <w:p w14:paraId="3F0EC976" w14:textId="3496D289" w:rsidR="00D80B6D" w:rsidRPr="00FC2522" w:rsidRDefault="00D80B6D" w:rsidP="0068617E">
          <w:pPr>
            <w:pStyle w:val="Zkladntext"/>
            <w:jc w:val="both"/>
            <w:rPr>
              <w:rFonts w:ascii="Arial" w:hAnsi="Arial" w:cs="Arial"/>
              <w:sz w:val="20"/>
              <w:highlight w:val="yellow"/>
            </w:rPr>
            <w:sectPr w:rsidR="00D80B6D" w:rsidRPr="00FC2522" w:rsidSect="00D80B6D">
              <w:headerReference w:type="default" r:id="rId17"/>
              <w:footerReference w:type="default" r:id="rId18"/>
              <w:pgSz w:w="11910" w:h="16840"/>
              <w:pgMar w:top="960" w:right="740" w:bottom="0" w:left="720" w:header="708" w:footer="708" w:gutter="0"/>
              <w:cols w:space="708"/>
            </w:sectPr>
          </w:pPr>
        </w:p>
        <w:p w14:paraId="35539C65" w14:textId="7A3AAC27" w:rsidR="00D31127" w:rsidRPr="00EF6D8C" w:rsidRDefault="000A5431" w:rsidP="0025264B">
          <w:pPr>
            <w:rPr>
              <w:rFonts w:asciiTheme="minorHAnsi" w:hAnsiTheme="minorHAnsi" w:cstheme="minorHAnsi"/>
              <w:b/>
              <w:sz w:val="20"/>
              <w:szCs w:val="20"/>
              <w:highlight w:val="yellow"/>
            </w:rPr>
            <w:sectPr w:rsidR="00D31127" w:rsidRPr="00EF6D8C" w:rsidSect="00D80B6D">
              <w:headerReference w:type="even" r:id="rId19"/>
              <w:headerReference w:type="default" r:id="rId20"/>
              <w:footerReference w:type="even" r:id="rId21"/>
              <w:footerReference w:type="default" r:id="rId22"/>
              <w:headerReference w:type="first" r:id="rId23"/>
              <w:footerReference w:type="first" r:id="rId24"/>
              <w:pgSz w:w="11910" w:h="16840"/>
              <w:pgMar w:top="1418" w:right="740" w:bottom="420" w:left="720" w:header="340" w:footer="223" w:gutter="0"/>
              <w:pgNumType w:start="0"/>
              <w:cols w:space="708"/>
              <w:titlePg/>
              <w:docGrid w:linePitch="299"/>
            </w:sectPr>
          </w:pPr>
        </w:p>
      </w:sdtContent>
    </w:sdt>
    <w:p w14:paraId="6A10485D" w14:textId="649FD664" w:rsidR="00704D83" w:rsidRPr="00EF6D8C" w:rsidRDefault="00704D83" w:rsidP="0053728E">
      <w:pPr>
        <w:rPr>
          <w:rFonts w:asciiTheme="minorHAnsi" w:hAnsiTheme="minorHAnsi" w:cstheme="minorHAnsi"/>
          <w:b/>
          <w:sz w:val="28"/>
          <w:szCs w:val="28"/>
        </w:rPr>
      </w:pPr>
    </w:p>
    <w:p w14:paraId="5144663E" w14:textId="749C21F2" w:rsidR="00AA5141" w:rsidRDefault="005D4D81" w:rsidP="001B6A93">
      <w:pPr>
        <w:pStyle w:val="Odstavecseseznamem"/>
        <w:spacing w:after="200"/>
        <w:ind w:left="720" w:firstLine="0"/>
        <w:jc w:val="center"/>
        <w:rPr>
          <w:rFonts w:asciiTheme="minorHAnsi" w:hAnsiTheme="minorHAnsi" w:cstheme="minorHAnsi"/>
          <w:b/>
          <w:color w:val="000000" w:themeColor="text1"/>
          <w:sz w:val="28"/>
          <w:szCs w:val="28"/>
        </w:rPr>
      </w:pPr>
      <w:r>
        <w:rPr>
          <w:rFonts w:asciiTheme="minorHAnsi" w:hAnsiTheme="minorHAnsi" w:cstheme="minorHAnsi"/>
          <w:b/>
          <w:color w:val="000000" w:themeColor="text1"/>
          <w:sz w:val="28"/>
          <w:szCs w:val="28"/>
        </w:rPr>
        <w:t>INDEX: Nabídky bank stály za nárůstem úroků</w:t>
      </w:r>
    </w:p>
    <w:p w14:paraId="3D238B16" w14:textId="6BC0B248" w:rsidR="005D4D81" w:rsidRPr="00C22046" w:rsidRDefault="005D4D81" w:rsidP="005D4D81">
      <w:pPr>
        <w:pStyle w:val="Odstavecseseznamem"/>
        <w:numPr>
          <w:ilvl w:val="0"/>
          <w:numId w:val="4"/>
        </w:numPr>
        <w:ind w:left="357" w:right="40" w:hanging="357"/>
        <w:jc w:val="both"/>
        <w:rPr>
          <w:rFonts w:asciiTheme="minorHAnsi" w:eastAsiaTheme="minorHAnsi" w:hAnsiTheme="minorHAnsi" w:cstheme="minorHAnsi"/>
          <w:b/>
          <w:lang w:bidi="ar-SA"/>
        </w:rPr>
      </w:pPr>
      <w:r w:rsidRPr="00C22046">
        <w:rPr>
          <w:rFonts w:asciiTheme="minorHAnsi" w:hAnsiTheme="minorHAnsi" w:cstheme="minorHAnsi"/>
          <w:b/>
        </w:rPr>
        <w:t xml:space="preserve">Úrokové sazby </w:t>
      </w:r>
      <w:r w:rsidR="007512C7">
        <w:rPr>
          <w:rFonts w:asciiTheme="minorHAnsi" w:hAnsiTheme="minorHAnsi" w:cstheme="minorHAnsi"/>
          <w:b/>
        </w:rPr>
        <w:t xml:space="preserve">u </w:t>
      </w:r>
      <w:r w:rsidRPr="00C22046">
        <w:rPr>
          <w:rFonts w:asciiTheme="minorHAnsi" w:hAnsiTheme="minorHAnsi" w:cstheme="minorHAnsi"/>
          <w:b/>
        </w:rPr>
        <w:t>úvěrů na cokoliv v únoru mír</w:t>
      </w:r>
      <w:r>
        <w:rPr>
          <w:rFonts w:asciiTheme="minorHAnsi" w:hAnsiTheme="minorHAnsi" w:cstheme="minorHAnsi"/>
          <w:b/>
        </w:rPr>
        <w:t>ně stouply, a to o 0,63 procentního bodu</w:t>
      </w:r>
      <w:r w:rsidR="008E5A93">
        <w:rPr>
          <w:rFonts w:asciiTheme="minorHAnsi" w:hAnsiTheme="minorHAnsi" w:cstheme="minorHAnsi"/>
          <w:b/>
        </w:rPr>
        <w:t>.</w:t>
      </w:r>
    </w:p>
    <w:p w14:paraId="179BA236" w14:textId="5A84611A" w:rsidR="005D4D81" w:rsidRPr="00FE34CB" w:rsidRDefault="005D4D81" w:rsidP="005D4D81">
      <w:pPr>
        <w:pStyle w:val="Odstavecseseznamem"/>
        <w:numPr>
          <w:ilvl w:val="0"/>
          <w:numId w:val="4"/>
        </w:numPr>
        <w:ind w:left="357" w:right="40" w:hanging="357"/>
        <w:jc w:val="both"/>
        <w:rPr>
          <w:rFonts w:asciiTheme="minorHAnsi" w:eastAsiaTheme="minorHAnsi" w:hAnsiTheme="minorHAnsi" w:cstheme="minorHAnsi"/>
          <w:b/>
          <w:lang w:bidi="ar-SA"/>
        </w:rPr>
      </w:pPr>
      <w:r w:rsidRPr="00FE34CB">
        <w:rPr>
          <w:rFonts w:asciiTheme="minorHAnsi" w:hAnsiTheme="minorHAnsi" w:cstheme="minorHAnsi"/>
          <w:b/>
        </w:rPr>
        <w:t>Hodnota Broker Consulting Indexu spot</w:t>
      </w:r>
      <w:r>
        <w:rPr>
          <w:rFonts w:asciiTheme="minorHAnsi" w:hAnsiTheme="minorHAnsi" w:cstheme="minorHAnsi"/>
          <w:b/>
        </w:rPr>
        <w:t>řebitelských úvěrů dosáhla 8,94 procenta</w:t>
      </w:r>
      <w:r w:rsidR="008E5A93">
        <w:rPr>
          <w:rFonts w:asciiTheme="minorHAnsi" w:hAnsiTheme="minorHAnsi" w:cstheme="minorHAnsi"/>
          <w:b/>
        </w:rPr>
        <w:t>.</w:t>
      </w:r>
    </w:p>
    <w:p w14:paraId="48AAB594" w14:textId="238E007B" w:rsidR="005D4D81" w:rsidRPr="00FE34CB" w:rsidRDefault="005D4D81" w:rsidP="005D4D81">
      <w:pPr>
        <w:pStyle w:val="Odstavecseseznamem"/>
        <w:numPr>
          <w:ilvl w:val="0"/>
          <w:numId w:val="4"/>
        </w:numPr>
        <w:ind w:left="357" w:right="40" w:hanging="357"/>
        <w:jc w:val="both"/>
        <w:rPr>
          <w:rFonts w:asciiTheme="minorHAnsi" w:eastAsiaTheme="minorHAnsi" w:hAnsiTheme="minorHAnsi" w:cstheme="minorHAnsi"/>
          <w:b/>
          <w:lang w:bidi="ar-SA"/>
        </w:rPr>
      </w:pPr>
      <w:r>
        <w:rPr>
          <w:rFonts w:asciiTheme="minorHAnsi" w:hAnsiTheme="minorHAnsi" w:cstheme="minorHAnsi"/>
          <w:b/>
        </w:rPr>
        <w:t xml:space="preserve">O spotřebitelské úvěry žádá </w:t>
      </w:r>
      <w:r w:rsidR="007512C7">
        <w:rPr>
          <w:rFonts w:asciiTheme="minorHAnsi" w:hAnsiTheme="minorHAnsi" w:cstheme="minorHAnsi"/>
          <w:b/>
        </w:rPr>
        <w:t>řada domácností, vedle sazby</w:t>
      </w:r>
      <w:r w:rsidRPr="00FE34CB">
        <w:rPr>
          <w:rFonts w:asciiTheme="minorHAnsi" w:hAnsiTheme="minorHAnsi" w:cstheme="minorHAnsi"/>
          <w:b/>
        </w:rPr>
        <w:t xml:space="preserve"> </w:t>
      </w:r>
      <w:r w:rsidR="007512C7">
        <w:rPr>
          <w:rFonts w:asciiTheme="minorHAnsi" w:hAnsiTheme="minorHAnsi" w:cstheme="minorHAnsi"/>
          <w:b/>
        </w:rPr>
        <w:t xml:space="preserve">je </w:t>
      </w:r>
      <w:r>
        <w:rPr>
          <w:rFonts w:asciiTheme="minorHAnsi" w:hAnsiTheme="minorHAnsi" w:cstheme="minorHAnsi"/>
          <w:b/>
        </w:rPr>
        <w:t>třeba sledovat i další parametry</w:t>
      </w:r>
      <w:r w:rsidR="008E5A93">
        <w:rPr>
          <w:rFonts w:asciiTheme="minorHAnsi" w:hAnsiTheme="minorHAnsi" w:cstheme="minorHAnsi"/>
          <w:b/>
        </w:rPr>
        <w:t>.</w:t>
      </w:r>
    </w:p>
    <w:p w14:paraId="32E19872" w14:textId="7FB2F881" w:rsidR="007F3E94" w:rsidRPr="00E17D0C" w:rsidRDefault="007F3E94" w:rsidP="007F3E94">
      <w:pPr>
        <w:ind w:right="40"/>
        <w:rPr>
          <w:rFonts w:asciiTheme="minorHAnsi" w:eastAsiaTheme="minorHAnsi" w:hAnsiTheme="minorHAnsi" w:cstheme="minorHAnsi"/>
          <w:b/>
          <w:sz w:val="21"/>
          <w:szCs w:val="21"/>
          <w:lang w:bidi="ar-SA"/>
        </w:rPr>
      </w:pPr>
    </w:p>
    <w:p w14:paraId="27BF3E49" w14:textId="2C3E4A3F" w:rsidR="007A1AB2" w:rsidRPr="00747AB2" w:rsidRDefault="008C3A59" w:rsidP="00DA5330">
      <w:pPr>
        <w:spacing w:after="200"/>
        <w:rPr>
          <w:rFonts w:asciiTheme="minorHAnsi" w:hAnsiTheme="minorHAnsi" w:cstheme="minorHAnsi"/>
        </w:rPr>
      </w:pPr>
      <w:r w:rsidRPr="00282C57">
        <w:rPr>
          <w:rFonts w:asciiTheme="minorHAnsi" w:hAnsiTheme="minorHAnsi" w:cstheme="minorHAnsi"/>
          <w:i/>
        </w:rPr>
        <w:t>Praha,</w:t>
      </w:r>
      <w:r w:rsidR="001D66D5" w:rsidRPr="00282C57">
        <w:rPr>
          <w:rFonts w:asciiTheme="minorHAnsi" w:hAnsiTheme="minorHAnsi" w:cstheme="minorHAnsi"/>
          <w:i/>
        </w:rPr>
        <w:t xml:space="preserve"> </w:t>
      </w:r>
      <w:r w:rsidR="00E97F20">
        <w:rPr>
          <w:rFonts w:asciiTheme="minorHAnsi" w:hAnsiTheme="minorHAnsi" w:cstheme="minorHAnsi"/>
          <w:i/>
        </w:rPr>
        <w:t>4</w:t>
      </w:r>
      <w:bookmarkStart w:id="0" w:name="_GoBack"/>
      <w:bookmarkEnd w:id="0"/>
      <w:r w:rsidR="00AA5141" w:rsidRPr="00282C57">
        <w:rPr>
          <w:rFonts w:asciiTheme="minorHAnsi" w:hAnsiTheme="minorHAnsi" w:cstheme="minorHAnsi"/>
          <w:i/>
        </w:rPr>
        <w:t xml:space="preserve">. </w:t>
      </w:r>
      <w:r w:rsidR="0024224C">
        <w:rPr>
          <w:rFonts w:asciiTheme="minorHAnsi" w:hAnsiTheme="minorHAnsi" w:cstheme="minorHAnsi"/>
          <w:i/>
        </w:rPr>
        <w:t>března</w:t>
      </w:r>
      <w:r w:rsidR="003E5B34" w:rsidRPr="00282C57">
        <w:rPr>
          <w:rFonts w:asciiTheme="minorHAnsi" w:hAnsiTheme="minorHAnsi" w:cstheme="minorHAnsi"/>
          <w:i/>
        </w:rPr>
        <w:t xml:space="preserve"> 2024</w:t>
      </w:r>
      <w:r w:rsidR="00F21D05" w:rsidRPr="00282C57">
        <w:rPr>
          <w:rFonts w:asciiTheme="minorHAnsi" w:hAnsiTheme="minorHAnsi" w:cstheme="minorHAnsi"/>
          <w:b/>
        </w:rPr>
        <w:t xml:space="preserve"> </w:t>
      </w:r>
      <w:r w:rsidR="00FA69C2" w:rsidRPr="00282C57">
        <w:rPr>
          <w:rFonts w:asciiTheme="minorHAnsi" w:hAnsiTheme="minorHAnsi" w:cstheme="minorHAnsi"/>
          <w:b/>
        </w:rPr>
        <w:t xml:space="preserve">– </w:t>
      </w:r>
      <w:r w:rsidR="00D62C98" w:rsidRPr="00282C57">
        <w:rPr>
          <w:rFonts w:asciiTheme="minorHAnsi" w:hAnsiTheme="minorHAnsi" w:cstheme="minorHAnsi"/>
          <w:b/>
        </w:rPr>
        <w:t xml:space="preserve">Průměrné úrokové sazby u úvěrů na cokoli se </w:t>
      </w:r>
      <w:r w:rsidR="007512C7" w:rsidRPr="00282C57">
        <w:rPr>
          <w:rFonts w:asciiTheme="minorHAnsi" w:hAnsiTheme="minorHAnsi" w:cstheme="minorHAnsi"/>
          <w:b/>
        </w:rPr>
        <w:t xml:space="preserve">podle Broker Consulting Indexu spotřebitelských úvěrů </w:t>
      </w:r>
      <w:r w:rsidR="00D62C98" w:rsidRPr="00282C57">
        <w:rPr>
          <w:rFonts w:asciiTheme="minorHAnsi" w:hAnsiTheme="minorHAnsi" w:cstheme="minorHAnsi"/>
          <w:b/>
        </w:rPr>
        <w:t xml:space="preserve">mírně zvýšily, a to </w:t>
      </w:r>
      <w:r w:rsidR="00282C57">
        <w:rPr>
          <w:rFonts w:asciiTheme="minorHAnsi" w:hAnsiTheme="minorHAnsi" w:cstheme="minorHAnsi"/>
          <w:b/>
        </w:rPr>
        <w:t>na 8,</w:t>
      </w:r>
      <w:r w:rsidR="00D62C98" w:rsidRPr="00282C57">
        <w:rPr>
          <w:rFonts w:asciiTheme="minorHAnsi" w:hAnsiTheme="minorHAnsi" w:cstheme="minorHAnsi"/>
          <w:b/>
        </w:rPr>
        <w:t>94 procenta.</w:t>
      </w:r>
      <w:r w:rsidR="007512C7" w:rsidRPr="00282C57">
        <w:rPr>
          <w:rFonts w:asciiTheme="minorHAnsi" w:hAnsiTheme="minorHAnsi" w:cstheme="minorHAnsi"/>
          <w:b/>
        </w:rPr>
        <w:t xml:space="preserve"> Meziměsíčně to znamená nárůst o 0,63 procentního</w:t>
      </w:r>
      <w:r w:rsidR="00282C57">
        <w:rPr>
          <w:rFonts w:asciiTheme="minorHAnsi" w:hAnsiTheme="minorHAnsi" w:cstheme="minorHAnsi"/>
          <w:b/>
        </w:rPr>
        <w:t xml:space="preserve"> bodu</w:t>
      </w:r>
      <w:r w:rsidR="007512C7" w:rsidRPr="00282C57">
        <w:rPr>
          <w:rFonts w:asciiTheme="minorHAnsi" w:hAnsiTheme="minorHAnsi" w:cstheme="minorHAnsi"/>
          <w:b/>
        </w:rPr>
        <w:t xml:space="preserve">. </w:t>
      </w:r>
      <w:r w:rsidR="00BC05C5" w:rsidRPr="00282C57">
        <w:rPr>
          <w:rFonts w:asciiTheme="minorHAnsi" w:hAnsiTheme="minorHAnsi" w:cstheme="minorHAnsi"/>
          <w:b/>
        </w:rPr>
        <w:t xml:space="preserve">Spotřebitelský úvěr využívá řada domácností </w:t>
      </w:r>
      <w:r w:rsidR="00C4585D" w:rsidRPr="00282C57">
        <w:rPr>
          <w:rFonts w:asciiTheme="minorHAnsi" w:hAnsiTheme="minorHAnsi" w:cstheme="minorHAnsi"/>
          <w:b/>
        </w:rPr>
        <w:t xml:space="preserve">na pokrytí řady zbytných výdajů a rodinných potřeb, u nichž </w:t>
      </w:r>
      <w:r w:rsidR="00C4585D" w:rsidRPr="00747AB2">
        <w:rPr>
          <w:rFonts w:asciiTheme="minorHAnsi" w:hAnsiTheme="minorHAnsi" w:cstheme="minorHAnsi"/>
          <w:b/>
        </w:rPr>
        <w:t xml:space="preserve">financování půjčkou není podle expertů vždy efektivním řešením. Poskytování bezúčelových úvěrů je </w:t>
      </w:r>
      <w:r w:rsidR="00282C57" w:rsidRPr="00747AB2">
        <w:rPr>
          <w:rFonts w:asciiTheme="minorHAnsi" w:hAnsiTheme="minorHAnsi" w:cstheme="minorHAnsi"/>
          <w:b/>
        </w:rPr>
        <w:t>regulováno zákonem</w:t>
      </w:r>
      <w:r w:rsidR="00C4585D" w:rsidRPr="00747AB2">
        <w:rPr>
          <w:rFonts w:asciiTheme="minorHAnsi" w:hAnsiTheme="minorHAnsi" w:cstheme="minorHAnsi"/>
          <w:b/>
        </w:rPr>
        <w:t>, pravidla jsou stanovena jak pro poskytovatele, tak i dlužníky</w:t>
      </w:r>
      <w:r w:rsidR="00C4585D" w:rsidRPr="00747AB2">
        <w:rPr>
          <w:rFonts w:asciiTheme="minorHAnsi" w:hAnsiTheme="minorHAnsi" w:cstheme="minorHAnsi"/>
        </w:rPr>
        <w:t>.</w:t>
      </w:r>
    </w:p>
    <w:p w14:paraId="171CC896" w14:textId="7374DC85" w:rsidR="00282C57" w:rsidRPr="00747AB2" w:rsidRDefault="00282C57" w:rsidP="00747AB2">
      <w:pPr>
        <w:spacing w:after="240"/>
        <w:rPr>
          <w:rFonts w:asciiTheme="minorHAnsi" w:hAnsiTheme="minorHAnsi" w:cstheme="minorHAnsi"/>
          <w:sz w:val="21"/>
          <w:szCs w:val="21"/>
        </w:rPr>
      </w:pPr>
      <w:r w:rsidRPr="00747AB2">
        <w:rPr>
          <w:rFonts w:asciiTheme="minorHAnsi" w:hAnsiTheme="minorHAnsi" w:cstheme="minorHAnsi"/>
          <w:sz w:val="21"/>
          <w:szCs w:val="21"/>
        </w:rPr>
        <w:t>„</w:t>
      </w:r>
      <w:r w:rsidRPr="00747AB2">
        <w:rPr>
          <w:rFonts w:asciiTheme="minorHAnsi" w:hAnsiTheme="minorHAnsi" w:cstheme="minorHAnsi"/>
          <w:i/>
          <w:sz w:val="21"/>
          <w:szCs w:val="21"/>
        </w:rPr>
        <w:t>Mírné meziměsíční zakolísání hodnot vypovídá o aktuální úvěrové nabídce a nabídce jednotlivých bank</w:t>
      </w:r>
      <w:r w:rsidRPr="00747AB2">
        <w:rPr>
          <w:rFonts w:asciiTheme="minorHAnsi" w:hAnsiTheme="minorHAnsi" w:cstheme="minorHAnsi"/>
          <w:sz w:val="21"/>
          <w:szCs w:val="21"/>
        </w:rPr>
        <w:t xml:space="preserve">,“ komentuje únorové výsledky </w:t>
      </w:r>
      <w:r w:rsidRPr="00747AB2">
        <w:rPr>
          <w:rFonts w:asciiTheme="minorHAnsi" w:hAnsiTheme="minorHAnsi" w:cstheme="minorHAnsi"/>
          <w:b/>
          <w:sz w:val="21"/>
          <w:szCs w:val="21"/>
        </w:rPr>
        <w:t>Michaela Pudilová, analytička hypotečních a spotřebitelských úvěrů z </w:t>
      </w:r>
      <w:proofErr w:type="gramStart"/>
      <w:r w:rsidRPr="00747AB2">
        <w:rPr>
          <w:rFonts w:asciiTheme="minorHAnsi" w:hAnsiTheme="minorHAnsi" w:cstheme="minorHAnsi"/>
          <w:b/>
          <w:sz w:val="21"/>
          <w:szCs w:val="21"/>
        </w:rPr>
        <w:t>Broker</w:t>
      </w:r>
      <w:proofErr w:type="gramEnd"/>
      <w:r w:rsidRPr="00747AB2">
        <w:rPr>
          <w:rFonts w:asciiTheme="minorHAnsi" w:hAnsiTheme="minorHAnsi" w:cstheme="minorHAnsi"/>
          <w:b/>
          <w:sz w:val="21"/>
          <w:szCs w:val="21"/>
        </w:rPr>
        <w:t xml:space="preserve"> Consulting</w:t>
      </w:r>
      <w:r w:rsidRPr="00747AB2">
        <w:rPr>
          <w:rFonts w:asciiTheme="minorHAnsi" w:hAnsiTheme="minorHAnsi" w:cstheme="minorHAnsi"/>
          <w:sz w:val="21"/>
          <w:szCs w:val="21"/>
        </w:rPr>
        <w:t xml:space="preserve">. </w:t>
      </w:r>
      <w:r w:rsidR="00747AB2" w:rsidRPr="00747AB2">
        <w:rPr>
          <w:rFonts w:asciiTheme="minorHAnsi" w:hAnsiTheme="minorHAnsi" w:cstheme="minorHAnsi"/>
          <w:sz w:val="21"/>
          <w:szCs w:val="21"/>
        </w:rPr>
        <w:t>Únorový nárůst o 0,63 procentního bodu tak oproti lednové hodnotě 8,31 procenta znamená přiblížení se výsledkům z konce minulého roku (8,84 procenta). Podle analytiků jde o krátkodobý výkyv a dál očekávají spíše stabilní či mírně klesající vývoj.</w:t>
      </w:r>
    </w:p>
    <w:p w14:paraId="700FADBB" w14:textId="311DA2D7" w:rsidR="00282C57" w:rsidRDefault="00282C57" w:rsidP="00747AB2">
      <w:pPr>
        <w:spacing w:after="240"/>
        <w:rPr>
          <w:rFonts w:asciiTheme="minorHAnsi" w:hAnsiTheme="minorHAnsi" w:cstheme="minorHAnsi"/>
          <w:b/>
          <w:sz w:val="21"/>
          <w:szCs w:val="21"/>
        </w:rPr>
      </w:pPr>
      <w:r>
        <w:rPr>
          <w:rFonts w:asciiTheme="minorHAnsi" w:hAnsiTheme="minorHAnsi" w:cstheme="minorHAnsi"/>
          <w:b/>
          <w:noProof/>
          <w:sz w:val="21"/>
          <w:szCs w:val="21"/>
          <w:lang w:bidi="ar-SA"/>
        </w:rPr>
        <w:drawing>
          <wp:inline distT="0" distB="0" distL="0" distR="0" wp14:anchorId="2CF155B7" wp14:editId="52139534">
            <wp:extent cx="6407150" cy="28575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 BC Index spotřebitelských úvěrů - únor 2024.jpg"/>
                    <pic:cNvPicPr/>
                  </pic:nvPicPr>
                  <pic:blipFill>
                    <a:blip r:embed="rId25">
                      <a:extLst>
                        <a:ext uri="{28A0092B-C50C-407E-A947-70E740481C1C}">
                          <a14:useLocalDpi xmlns:a14="http://schemas.microsoft.com/office/drawing/2010/main" val="0"/>
                        </a:ext>
                      </a:extLst>
                    </a:blip>
                    <a:stretch>
                      <a:fillRect/>
                    </a:stretch>
                  </pic:blipFill>
                  <pic:spPr>
                    <a:xfrm>
                      <a:off x="0" y="0"/>
                      <a:ext cx="6407150" cy="2857500"/>
                    </a:xfrm>
                    <a:prstGeom prst="rect">
                      <a:avLst/>
                    </a:prstGeom>
                  </pic:spPr>
                </pic:pic>
              </a:graphicData>
            </a:graphic>
          </wp:inline>
        </w:drawing>
      </w:r>
    </w:p>
    <w:p w14:paraId="0A716208" w14:textId="7A956D57" w:rsidR="007A1AB2" w:rsidRPr="00D24404" w:rsidRDefault="00747AB2" w:rsidP="00ED6E9C">
      <w:pPr>
        <w:spacing w:before="240" w:after="240"/>
        <w:rPr>
          <w:rFonts w:asciiTheme="minorHAnsi" w:hAnsiTheme="minorHAnsi" w:cstheme="minorHAnsi"/>
          <w:sz w:val="21"/>
          <w:szCs w:val="21"/>
        </w:rPr>
      </w:pPr>
      <w:r w:rsidRPr="00747AB2">
        <w:rPr>
          <w:rFonts w:asciiTheme="minorHAnsi" w:hAnsiTheme="minorHAnsi" w:cstheme="minorHAnsi"/>
          <w:sz w:val="21"/>
          <w:szCs w:val="21"/>
        </w:rPr>
        <w:t>„</w:t>
      </w:r>
      <w:r w:rsidRPr="00747AB2">
        <w:rPr>
          <w:rFonts w:asciiTheme="minorHAnsi" w:hAnsiTheme="minorHAnsi" w:cstheme="minorHAnsi"/>
          <w:i/>
          <w:sz w:val="21"/>
          <w:szCs w:val="21"/>
        </w:rPr>
        <w:t>Při uzavírání spotřebitelských úvěrů je zapotřebí vždy zohlednit všechny náklady, které s sebou půjčka nese a které ve výsledku ovlivní výslednou cenu</w:t>
      </w:r>
      <w:r>
        <w:rPr>
          <w:rFonts w:asciiTheme="minorHAnsi" w:hAnsiTheme="minorHAnsi" w:cstheme="minorHAnsi"/>
          <w:i/>
          <w:sz w:val="21"/>
          <w:szCs w:val="21"/>
        </w:rPr>
        <w:t xml:space="preserve"> úvěru</w:t>
      </w:r>
      <w:r>
        <w:rPr>
          <w:rFonts w:asciiTheme="minorHAnsi" w:hAnsiTheme="minorHAnsi" w:cstheme="minorHAnsi"/>
          <w:sz w:val="21"/>
          <w:szCs w:val="21"/>
        </w:rPr>
        <w:t xml:space="preserve">,“ upozorňuje </w:t>
      </w:r>
      <w:r w:rsidRPr="00747AB2">
        <w:rPr>
          <w:rFonts w:asciiTheme="minorHAnsi" w:hAnsiTheme="minorHAnsi" w:cstheme="minorHAnsi"/>
          <w:b/>
          <w:sz w:val="21"/>
          <w:szCs w:val="21"/>
        </w:rPr>
        <w:t>Michaela Pudilová</w:t>
      </w:r>
      <w:r w:rsidR="006C70DA">
        <w:rPr>
          <w:rFonts w:asciiTheme="minorHAnsi" w:hAnsiTheme="minorHAnsi" w:cstheme="minorHAnsi"/>
          <w:sz w:val="21"/>
          <w:szCs w:val="21"/>
        </w:rPr>
        <w:t>. Ta druhým dechem dodává, na které věci by měl brát žadatel vždy zřetel: „</w:t>
      </w:r>
      <w:r w:rsidR="006C70DA" w:rsidRPr="006C70DA">
        <w:rPr>
          <w:rFonts w:asciiTheme="minorHAnsi" w:hAnsiTheme="minorHAnsi" w:cstheme="minorHAnsi"/>
          <w:i/>
          <w:sz w:val="21"/>
          <w:szCs w:val="21"/>
        </w:rPr>
        <w:t>jednat se může o platbu pojištění schopnosti splátek, jednorázový poplatek za zřízení úvěru či pravidelné poplatky, například za vedení úvěrového účtu</w:t>
      </w:r>
      <w:r w:rsidR="006C70DA">
        <w:rPr>
          <w:rFonts w:asciiTheme="minorHAnsi" w:hAnsiTheme="minorHAnsi" w:cstheme="minorHAnsi"/>
          <w:sz w:val="21"/>
          <w:szCs w:val="21"/>
        </w:rPr>
        <w:t xml:space="preserve">“. Vedle nabízených úroků je tak potřeba sledovat i tzv. RPSN. </w:t>
      </w:r>
      <w:r w:rsidR="006C70DA" w:rsidRPr="00D24404">
        <w:rPr>
          <w:rFonts w:asciiTheme="minorHAnsi" w:hAnsiTheme="minorHAnsi" w:cstheme="minorHAnsi"/>
          <w:sz w:val="21"/>
          <w:szCs w:val="21"/>
        </w:rPr>
        <w:t xml:space="preserve">Tedy číslo, podle kterého může spotřebitel lépe vyhodnotit výhodnost či nevýhodnost úvěru a jeho čerpání. </w:t>
      </w:r>
    </w:p>
    <w:p w14:paraId="2AD51D16" w14:textId="3D64490F" w:rsidR="006C70DA" w:rsidRPr="00ED6E9C" w:rsidRDefault="006C70DA" w:rsidP="00D24404">
      <w:pPr>
        <w:spacing w:after="240"/>
        <w:rPr>
          <w:rFonts w:asciiTheme="minorHAnsi" w:hAnsiTheme="minorHAnsi" w:cstheme="minorHAnsi"/>
          <w:b/>
          <w:sz w:val="21"/>
          <w:szCs w:val="21"/>
        </w:rPr>
      </w:pPr>
      <w:r w:rsidRPr="00ED6E9C">
        <w:rPr>
          <w:rFonts w:asciiTheme="minorHAnsi" w:hAnsiTheme="minorHAnsi" w:cstheme="minorHAnsi"/>
          <w:b/>
          <w:sz w:val="21"/>
          <w:szCs w:val="21"/>
        </w:rPr>
        <w:t>Které faktory ovlivňují výši tzv. RPSN?</w:t>
      </w:r>
    </w:p>
    <w:p w14:paraId="4B539EE3" w14:textId="3C44D6AC" w:rsidR="006C70DA" w:rsidRPr="00D24404" w:rsidRDefault="006C70DA" w:rsidP="006C70DA">
      <w:pPr>
        <w:pStyle w:val="Odstavecseseznamem"/>
        <w:numPr>
          <w:ilvl w:val="0"/>
          <w:numId w:val="9"/>
        </w:numPr>
        <w:rPr>
          <w:rFonts w:asciiTheme="minorHAnsi" w:hAnsiTheme="minorHAnsi" w:cstheme="minorHAnsi"/>
          <w:sz w:val="21"/>
          <w:szCs w:val="21"/>
        </w:rPr>
      </w:pPr>
      <w:r w:rsidRPr="00D24404">
        <w:rPr>
          <w:rFonts w:asciiTheme="minorHAnsi" w:hAnsiTheme="minorHAnsi" w:cstheme="minorHAnsi"/>
          <w:sz w:val="21"/>
          <w:szCs w:val="21"/>
        </w:rPr>
        <w:t xml:space="preserve">délka trvání úvěru – čím </w:t>
      </w:r>
      <w:r w:rsidR="00D24404" w:rsidRPr="00D24404">
        <w:rPr>
          <w:rFonts w:asciiTheme="minorHAnsi" w:hAnsiTheme="minorHAnsi" w:cstheme="minorHAnsi"/>
          <w:sz w:val="21"/>
          <w:szCs w:val="21"/>
        </w:rPr>
        <w:t>delší doba splácení, tím obvykle hodnota RPSN klesá,</w:t>
      </w:r>
    </w:p>
    <w:p w14:paraId="15A80705" w14:textId="2E689D80" w:rsidR="006C70DA" w:rsidRPr="00D24404" w:rsidRDefault="006C70DA" w:rsidP="006C70DA">
      <w:pPr>
        <w:pStyle w:val="Odstavecseseznamem"/>
        <w:numPr>
          <w:ilvl w:val="0"/>
          <w:numId w:val="9"/>
        </w:numPr>
        <w:rPr>
          <w:rFonts w:asciiTheme="minorHAnsi" w:hAnsiTheme="minorHAnsi" w:cstheme="minorHAnsi"/>
          <w:sz w:val="21"/>
          <w:szCs w:val="21"/>
        </w:rPr>
      </w:pPr>
      <w:r w:rsidRPr="00D24404">
        <w:rPr>
          <w:rFonts w:asciiTheme="minorHAnsi" w:hAnsiTheme="minorHAnsi" w:cstheme="minorHAnsi"/>
          <w:sz w:val="21"/>
          <w:szCs w:val="21"/>
        </w:rPr>
        <w:t>výše úvěru – čím vyšší je požadovaná půjčka, tím nižší je RPSN,</w:t>
      </w:r>
    </w:p>
    <w:p w14:paraId="7E6F1010" w14:textId="2D7F61D3" w:rsidR="006C70DA" w:rsidRPr="00D24404" w:rsidRDefault="006C70DA" w:rsidP="006C70DA">
      <w:pPr>
        <w:pStyle w:val="Odstavecseseznamem"/>
        <w:numPr>
          <w:ilvl w:val="0"/>
          <w:numId w:val="9"/>
        </w:numPr>
        <w:rPr>
          <w:rFonts w:asciiTheme="minorHAnsi" w:hAnsiTheme="minorHAnsi" w:cstheme="minorHAnsi"/>
          <w:sz w:val="21"/>
          <w:szCs w:val="21"/>
        </w:rPr>
      </w:pPr>
      <w:r w:rsidRPr="00D24404">
        <w:rPr>
          <w:rFonts w:asciiTheme="minorHAnsi" w:hAnsiTheme="minorHAnsi" w:cstheme="minorHAnsi"/>
          <w:sz w:val="21"/>
          <w:szCs w:val="21"/>
        </w:rPr>
        <w:t xml:space="preserve">účel úvěru – </w:t>
      </w:r>
      <w:r w:rsidR="00D24404" w:rsidRPr="00D24404">
        <w:rPr>
          <w:rFonts w:asciiTheme="minorHAnsi" w:hAnsiTheme="minorHAnsi" w:cstheme="minorHAnsi"/>
          <w:sz w:val="21"/>
          <w:szCs w:val="21"/>
        </w:rPr>
        <w:t>specifikace může hrát roli,</w:t>
      </w:r>
    </w:p>
    <w:p w14:paraId="16F37425" w14:textId="75E23787" w:rsidR="006C70DA" w:rsidRPr="00D24404" w:rsidRDefault="006C70DA" w:rsidP="006C70DA">
      <w:pPr>
        <w:pStyle w:val="Odstavecseseznamem"/>
        <w:numPr>
          <w:ilvl w:val="0"/>
          <w:numId w:val="9"/>
        </w:numPr>
        <w:rPr>
          <w:rFonts w:asciiTheme="minorHAnsi" w:hAnsiTheme="minorHAnsi" w:cstheme="minorHAnsi"/>
          <w:sz w:val="21"/>
          <w:szCs w:val="21"/>
        </w:rPr>
      </w:pPr>
      <w:r w:rsidRPr="00D24404">
        <w:rPr>
          <w:rFonts w:asciiTheme="minorHAnsi" w:hAnsiTheme="minorHAnsi" w:cstheme="minorHAnsi"/>
          <w:sz w:val="21"/>
          <w:szCs w:val="21"/>
        </w:rPr>
        <w:t xml:space="preserve">rizikovost dlužníka – spolehlivější žadatel o půjčku z hlediska </w:t>
      </w:r>
      <w:r w:rsidR="00D24404" w:rsidRPr="00D24404">
        <w:rPr>
          <w:rFonts w:asciiTheme="minorHAnsi" w:hAnsiTheme="minorHAnsi" w:cstheme="minorHAnsi"/>
          <w:sz w:val="21"/>
          <w:szCs w:val="21"/>
        </w:rPr>
        <w:t xml:space="preserve">banky a jeho historie má </w:t>
      </w:r>
      <w:r w:rsidRPr="00D24404">
        <w:rPr>
          <w:rFonts w:asciiTheme="minorHAnsi" w:hAnsiTheme="minorHAnsi" w:cstheme="minorHAnsi"/>
          <w:sz w:val="21"/>
          <w:szCs w:val="21"/>
        </w:rPr>
        <w:t xml:space="preserve">často RPSN </w:t>
      </w:r>
      <w:r w:rsidR="00D24404" w:rsidRPr="00D24404">
        <w:rPr>
          <w:rFonts w:asciiTheme="minorHAnsi" w:hAnsiTheme="minorHAnsi" w:cstheme="minorHAnsi"/>
          <w:sz w:val="21"/>
          <w:szCs w:val="21"/>
        </w:rPr>
        <w:t>o něco nižší.</w:t>
      </w:r>
    </w:p>
    <w:p w14:paraId="6ACA2683" w14:textId="4399E3B8" w:rsidR="00747AB2" w:rsidRPr="00D24404" w:rsidRDefault="00D24404" w:rsidP="00D24404">
      <w:pPr>
        <w:spacing w:before="240" w:after="120"/>
        <w:jc w:val="both"/>
        <w:rPr>
          <w:rFonts w:asciiTheme="minorHAnsi" w:hAnsiTheme="minorHAnsi" w:cstheme="minorHAnsi"/>
          <w:bCs/>
          <w:sz w:val="21"/>
          <w:szCs w:val="21"/>
        </w:rPr>
      </w:pPr>
      <w:r w:rsidRPr="00D24404">
        <w:rPr>
          <w:rFonts w:asciiTheme="minorHAnsi" w:hAnsiTheme="minorHAnsi" w:cstheme="minorHAnsi"/>
          <w:bCs/>
          <w:sz w:val="21"/>
          <w:szCs w:val="21"/>
        </w:rPr>
        <w:t>RPSN je užitečný ukazatel pro srovnání nabídek úvěrů různých bank, a to hlavně u úvěrů se stejnou dobou splatnosti a stejným způsobem splácení. Stejně jako u úrokové sazby platí, že čím nižší je jeho hodnota, tím je úvěr</w:t>
      </w:r>
      <w:r w:rsidR="00781592">
        <w:rPr>
          <w:rFonts w:asciiTheme="minorHAnsi" w:hAnsiTheme="minorHAnsi" w:cstheme="minorHAnsi"/>
          <w:bCs/>
          <w:sz w:val="21"/>
          <w:szCs w:val="21"/>
        </w:rPr>
        <w:t xml:space="preserve"> pro žadatele</w:t>
      </w:r>
      <w:r w:rsidRPr="00D24404">
        <w:rPr>
          <w:rFonts w:asciiTheme="minorHAnsi" w:hAnsiTheme="minorHAnsi" w:cstheme="minorHAnsi"/>
          <w:bCs/>
          <w:sz w:val="21"/>
          <w:szCs w:val="21"/>
        </w:rPr>
        <w:t xml:space="preserve"> výhodnější a méně nákladný. </w:t>
      </w:r>
    </w:p>
    <w:p w14:paraId="5C325780" w14:textId="77777777" w:rsidR="00DF7709" w:rsidRPr="00D24404" w:rsidRDefault="00DF7709" w:rsidP="00DF7709">
      <w:pPr>
        <w:pBdr>
          <w:bottom w:val="single" w:sz="4" w:space="1" w:color="auto"/>
        </w:pBdr>
        <w:jc w:val="both"/>
        <w:rPr>
          <w:rFonts w:asciiTheme="minorHAnsi" w:hAnsiTheme="minorHAnsi" w:cstheme="minorHAnsi"/>
          <w:bCs/>
          <w:sz w:val="6"/>
          <w:szCs w:val="6"/>
        </w:rPr>
      </w:pPr>
    </w:p>
    <w:p w14:paraId="4CF17F9A" w14:textId="31E6AE10" w:rsidR="00C10C80" w:rsidRPr="00EF6D8C" w:rsidRDefault="008F3C6D" w:rsidP="00EE3451">
      <w:pPr>
        <w:spacing w:before="120"/>
        <w:rPr>
          <w:rFonts w:asciiTheme="minorHAnsi" w:hAnsiTheme="minorHAnsi" w:cstheme="minorHAnsi"/>
          <w:b/>
          <w:sz w:val="21"/>
          <w:szCs w:val="21"/>
        </w:rPr>
      </w:pPr>
      <w:r w:rsidRPr="00D24404">
        <w:rPr>
          <w:rFonts w:asciiTheme="minorHAnsi" w:hAnsiTheme="minorHAnsi" w:cstheme="minorHAnsi"/>
          <w:b/>
          <w:sz w:val="21"/>
          <w:szCs w:val="21"/>
        </w:rPr>
        <w:t>Broker Consulting Index</w:t>
      </w:r>
      <w:r w:rsidRPr="00EF6D8C">
        <w:rPr>
          <w:rFonts w:asciiTheme="minorHAnsi" w:hAnsiTheme="minorHAnsi" w:cstheme="minorHAnsi"/>
          <w:b/>
          <w:sz w:val="21"/>
          <w:szCs w:val="21"/>
        </w:rPr>
        <w:t xml:space="preserve"> spotřebitelských úvěrů</w:t>
      </w:r>
      <w:r w:rsidRPr="00EF6D8C">
        <w:rPr>
          <w:rFonts w:asciiTheme="minorHAnsi" w:hAnsiTheme="minorHAnsi" w:cstheme="minorHAnsi"/>
          <w:sz w:val="21"/>
          <w:szCs w:val="21"/>
        </w:rPr>
        <w:t xml:space="preserve"> je analytický nástroj, který ukazuje průměrnou úrokovou sazbu </w:t>
      </w:r>
      <w:r w:rsidR="00BE768F" w:rsidRPr="00EF6D8C">
        <w:rPr>
          <w:rFonts w:asciiTheme="minorHAnsi" w:hAnsiTheme="minorHAnsi" w:cstheme="minorHAnsi"/>
          <w:sz w:val="21"/>
          <w:szCs w:val="21"/>
        </w:rPr>
        <w:br/>
      </w:r>
      <w:r w:rsidRPr="00EF6D8C">
        <w:rPr>
          <w:rFonts w:asciiTheme="minorHAnsi" w:hAnsiTheme="minorHAnsi" w:cstheme="minorHAnsi"/>
          <w:sz w:val="21"/>
          <w:szCs w:val="21"/>
        </w:rPr>
        <w:lastRenderedPageBreak/>
        <w:t>u spotřebitelských úvěrů, jež zprostředkovali konzultanti Broker Consulting a pobočky OK POINT u kteréhokoli poskytovatele bankovních úvěrů. Jedná se o vážený aritmetický průměr, kdy hlavní vahou je objem úvěru. Tedy čím vyšší úvěr, tím jeho sazba do Indexu vstupuje větší vahou. Výhodou metody výpočtu je to, že se do stati</w:t>
      </w:r>
      <w:r w:rsidR="009066E9" w:rsidRPr="00EF6D8C">
        <w:rPr>
          <w:rFonts w:asciiTheme="minorHAnsi" w:hAnsiTheme="minorHAnsi" w:cstheme="minorHAnsi"/>
          <w:sz w:val="21"/>
          <w:szCs w:val="21"/>
        </w:rPr>
        <w:t xml:space="preserve">stiky dostávají pouze  skutečně schválené </w:t>
      </w:r>
      <w:r w:rsidRPr="00EF6D8C">
        <w:rPr>
          <w:rFonts w:asciiTheme="minorHAnsi" w:hAnsiTheme="minorHAnsi" w:cstheme="minorHAnsi"/>
          <w:sz w:val="21"/>
          <w:szCs w:val="21"/>
        </w:rPr>
        <w:t xml:space="preserve">úvěry, a to bez výjimky všechny. Nemůže tak </w:t>
      </w:r>
      <w:r w:rsidR="00EE3451" w:rsidRPr="00EF6D8C">
        <w:rPr>
          <w:rFonts w:asciiTheme="minorHAnsi" w:hAnsiTheme="minorHAnsi" w:cstheme="minorHAnsi"/>
          <w:sz w:val="21"/>
          <w:szCs w:val="21"/>
        </w:rPr>
        <w:t>dojít ke zkreslení informací a i</w:t>
      </w:r>
      <w:r w:rsidRPr="00EF6D8C">
        <w:rPr>
          <w:rFonts w:asciiTheme="minorHAnsi" w:hAnsiTheme="minorHAnsi" w:cstheme="minorHAnsi"/>
          <w:sz w:val="21"/>
          <w:szCs w:val="21"/>
        </w:rPr>
        <w:t>ndex není závislý na datech dodávaných třetími stranami.</w:t>
      </w:r>
      <w:r w:rsidRPr="00EF6D8C">
        <w:rPr>
          <w:rFonts w:asciiTheme="minorHAnsi" w:hAnsiTheme="minorHAnsi" w:cstheme="minorHAnsi"/>
          <w:b/>
          <w:sz w:val="21"/>
          <w:szCs w:val="21"/>
        </w:rPr>
        <w:tab/>
      </w:r>
    </w:p>
    <w:p w14:paraId="2FA3FD44" w14:textId="1E7A17D8" w:rsidR="008F3C6D" w:rsidRPr="00EF6D8C" w:rsidRDefault="008F3C6D" w:rsidP="00EE3451">
      <w:pPr>
        <w:spacing w:before="120" w:after="120"/>
        <w:rPr>
          <w:rFonts w:asciiTheme="minorHAnsi" w:hAnsiTheme="minorHAnsi" w:cstheme="minorHAnsi"/>
          <w:b/>
          <w:sz w:val="21"/>
          <w:szCs w:val="21"/>
        </w:rPr>
      </w:pPr>
      <w:r w:rsidRPr="00EF6D8C">
        <w:rPr>
          <w:rFonts w:asciiTheme="minorHAnsi" w:hAnsiTheme="minorHAnsi" w:cstheme="minorHAnsi"/>
          <w:b/>
          <w:sz w:val="21"/>
          <w:szCs w:val="21"/>
        </w:rPr>
        <w:t>Proč je dobré Index sledovat</w:t>
      </w:r>
      <w:r w:rsidRPr="00EF6D8C">
        <w:rPr>
          <w:rFonts w:asciiTheme="minorHAnsi" w:hAnsiTheme="minorHAnsi" w:cstheme="minorHAnsi"/>
          <w:b/>
          <w:sz w:val="21"/>
          <w:szCs w:val="21"/>
        </w:rPr>
        <w:tab/>
      </w:r>
    </w:p>
    <w:p w14:paraId="0979CE30" w14:textId="0F07CF11" w:rsidR="008B3925" w:rsidRPr="00EF6D8C" w:rsidRDefault="008F3C6D" w:rsidP="00EF6D8C">
      <w:pPr>
        <w:pBdr>
          <w:bottom w:val="single" w:sz="4" w:space="1" w:color="auto"/>
        </w:pBdr>
        <w:spacing w:after="120"/>
        <w:rPr>
          <w:rFonts w:asciiTheme="minorHAnsi" w:hAnsiTheme="minorHAnsi" w:cstheme="minorHAnsi"/>
          <w:sz w:val="21"/>
          <w:szCs w:val="21"/>
        </w:rPr>
      </w:pPr>
      <w:r w:rsidRPr="00EF6D8C">
        <w:rPr>
          <w:rFonts w:asciiTheme="minorHAnsi" w:hAnsiTheme="minorHAnsi" w:cstheme="minorHAnsi"/>
          <w:sz w:val="21"/>
          <w:szCs w:val="21"/>
        </w:rPr>
        <w:t>Broker Consulting Index spotřebitelských úvěrů zachycuje vývoj úrokových sazeb u spotřebitelských bankovních úvěrů. Je praktickým indikátorem toho, jak se pro českou veřejnost úvěry vyvíjejí z hlediska úrokových sazeb, a tedy i výše splátek na určitou půjčenou sumu. Lidé si tyto typy úvěrů berou, aby financovali různé potřeby. Od dovolené přes nový telefon až po překlenutí nějaké tíživé situace. Zásadní význam má index pro domácnosti, které splácejí větší množství úvěrů a splátky je dusí. Index jim může otevřít oči, že půjčky je možné refinancovat s mnohem nižší úrokovou sazbou, a nastartovat tak cestu za ozdravením rodinných financí. Sazby spotřebitelských úvěrů jsou na trhu velmi různé, lidé často dobře nezhodnotí situaci a sjednají si drahou půjčku. Index je důvěryhodným podkladem pro média při komunikaci praktického a pro občany zajímavého tématu. Index nemá za cíl ukazovat průměr trhu, ale zdravou sazbu. Pokud si proto člověk chce sjednat spotřebitelský úvěr ať už v bance, nebo v nebankovní instituci</w:t>
      </w:r>
      <w:r w:rsidR="00FE619E" w:rsidRPr="00EF6D8C">
        <w:rPr>
          <w:rFonts w:asciiTheme="minorHAnsi" w:hAnsiTheme="minorHAnsi" w:cstheme="minorHAnsi"/>
          <w:sz w:val="21"/>
          <w:szCs w:val="21"/>
        </w:rPr>
        <w:t>,</w:t>
      </w:r>
      <w:r w:rsidRPr="00EF6D8C">
        <w:rPr>
          <w:rFonts w:asciiTheme="minorHAnsi" w:hAnsiTheme="minorHAnsi" w:cstheme="minorHAnsi"/>
          <w:sz w:val="21"/>
          <w:szCs w:val="21"/>
        </w:rPr>
        <w:t xml:space="preserve"> a úroková sazba je výrazněji vyšší než aktuální index, je potřeba zpozornět.</w:t>
      </w:r>
      <w:r w:rsidRPr="00EF6D8C">
        <w:rPr>
          <w:rFonts w:asciiTheme="minorHAnsi" w:hAnsiTheme="minorHAnsi" w:cstheme="minorHAnsi"/>
          <w:sz w:val="21"/>
          <w:szCs w:val="21"/>
        </w:rPr>
        <w:tab/>
      </w:r>
    </w:p>
    <w:p w14:paraId="5F16FECD" w14:textId="69AB3698" w:rsidR="008F3C6D" w:rsidRPr="00EF6D8C" w:rsidRDefault="008F3C6D" w:rsidP="008F3C6D">
      <w:pPr>
        <w:jc w:val="both"/>
        <w:rPr>
          <w:rFonts w:asciiTheme="minorHAnsi" w:hAnsiTheme="minorHAnsi" w:cstheme="minorHAnsi"/>
          <w:sz w:val="21"/>
          <w:szCs w:val="21"/>
        </w:rPr>
      </w:pPr>
    </w:p>
    <w:p w14:paraId="685A4AD2" w14:textId="23A7A74E" w:rsidR="00B51F55" w:rsidRPr="00EF6D8C" w:rsidRDefault="00B51F55" w:rsidP="00EF6D8C">
      <w:pPr>
        <w:spacing w:after="120"/>
        <w:rPr>
          <w:rFonts w:asciiTheme="minorHAnsi" w:hAnsiTheme="minorHAnsi" w:cstheme="minorHAnsi"/>
          <w:sz w:val="21"/>
          <w:szCs w:val="21"/>
        </w:rPr>
      </w:pPr>
      <w:r w:rsidRPr="00EF6D8C">
        <w:rPr>
          <w:rFonts w:asciiTheme="minorHAnsi" w:hAnsiTheme="minorHAnsi" w:cstheme="minorHAnsi"/>
          <w:b/>
          <w:sz w:val="21"/>
          <w:szCs w:val="21"/>
        </w:rPr>
        <w:t>Poznámka pro média:</w:t>
      </w:r>
      <w:r w:rsidRPr="00EF6D8C">
        <w:rPr>
          <w:rFonts w:asciiTheme="minorHAnsi" w:hAnsiTheme="minorHAnsi" w:cstheme="minorHAnsi"/>
          <w:sz w:val="21"/>
          <w:szCs w:val="21"/>
        </w:rPr>
        <w:t xml:space="preserve"> </w:t>
      </w:r>
      <w:r w:rsidRPr="00EF6D8C">
        <w:rPr>
          <w:rFonts w:asciiTheme="minorHAnsi" w:hAnsiTheme="minorHAnsi" w:cstheme="minorHAnsi"/>
          <w:color w:val="1D1D1B"/>
          <w:w w:val="105"/>
          <w:sz w:val="21"/>
          <w:szCs w:val="21"/>
        </w:rPr>
        <w:t>Broker</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Consulting</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Indexy</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je</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možné</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volně</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spacing w:val="2"/>
          <w:w w:val="105"/>
          <w:sz w:val="21"/>
          <w:szCs w:val="21"/>
        </w:rPr>
        <w:t>publikovat</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pouze</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s</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označením</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„Broker</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Consulting</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Index“</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spacing w:val="-3"/>
          <w:w w:val="105"/>
          <w:sz w:val="21"/>
          <w:szCs w:val="21"/>
        </w:rPr>
        <w:t>(</w:t>
      </w:r>
      <w:r w:rsidRPr="00EF6D8C">
        <w:rPr>
          <w:rFonts w:asciiTheme="minorHAnsi" w:hAnsiTheme="minorHAnsi" w:cstheme="minorHAnsi"/>
          <w:i/>
          <w:color w:val="1D1D1B"/>
          <w:spacing w:val="-3"/>
          <w:w w:val="105"/>
          <w:sz w:val="21"/>
          <w:szCs w:val="21"/>
        </w:rPr>
        <w:t>např.</w:t>
      </w:r>
      <w:r w:rsidRPr="00EF6D8C">
        <w:rPr>
          <w:rFonts w:asciiTheme="minorHAnsi" w:hAnsiTheme="minorHAnsi" w:cstheme="minorHAnsi"/>
          <w:i/>
          <w:color w:val="1D1D1B"/>
          <w:spacing w:val="-8"/>
          <w:w w:val="105"/>
          <w:sz w:val="21"/>
          <w:szCs w:val="21"/>
        </w:rPr>
        <w:t xml:space="preserve"> </w:t>
      </w:r>
      <w:r w:rsidRPr="00EF6D8C">
        <w:rPr>
          <w:rFonts w:asciiTheme="minorHAnsi" w:hAnsiTheme="minorHAnsi" w:cstheme="minorHAnsi"/>
          <w:i/>
          <w:color w:val="1D1D1B"/>
          <w:w w:val="105"/>
          <w:sz w:val="21"/>
          <w:szCs w:val="21"/>
        </w:rPr>
        <w:t>Broker</w:t>
      </w:r>
      <w:r w:rsidRPr="00EF6D8C">
        <w:rPr>
          <w:rFonts w:asciiTheme="minorHAnsi" w:hAnsiTheme="minorHAnsi" w:cstheme="minorHAnsi"/>
          <w:i/>
          <w:color w:val="1D1D1B"/>
          <w:spacing w:val="-9"/>
          <w:w w:val="105"/>
          <w:sz w:val="21"/>
          <w:szCs w:val="21"/>
        </w:rPr>
        <w:t xml:space="preserve"> </w:t>
      </w:r>
      <w:r w:rsidRPr="00EF6D8C">
        <w:rPr>
          <w:rFonts w:asciiTheme="minorHAnsi" w:hAnsiTheme="minorHAnsi" w:cstheme="minorHAnsi"/>
          <w:i/>
          <w:color w:val="1D1D1B"/>
          <w:w w:val="105"/>
          <w:sz w:val="21"/>
          <w:szCs w:val="21"/>
        </w:rPr>
        <w:t>Consulting</w:t>
      </w:r>
      <w:r w:rsidRPr="00EF6D8C">
        <w:rPr>
          <w:rFonts w:asciiTheme="minorHAnsi" w:hAnsiTheme="minorHAnsi" w:cstheme="minorHAnsi"/>
          <w:i/>
          <w:color w:val="1D1D1B"/>
          <w:spacing w:val="-8"/>
          <w:w w:val="105"/>
          <w:sz w:val="21"/>
          <w:szCs w:val="21"/>
        </w:rPr>
        <w:t xml:space="preserve"> Index </w:t>
      </w:r>
      <w:r w:rsidRPr="00EF6D8C">
        <w:rPr>
          <w:rFonts w:asciiTheme="minorHAnsi" w:hAnsiTheme="minorHAnsi" w:cstheme="minorHAnsi"/>
          <w:i/>
          <w:color w:val="1D1D1B"/>
          <w:w w:val="105"/>
          <w:sz w:val="21"/>
          <w:szCs w:val="21"/>
        </w:rPr>
        <w:t>hypoteční</w:t>
      </w:r>
      <w:r w:rsidRPr="00EF6D8C">
        <w:rPr>
          <w:rFonts w:asciiTheme="minorHAnsi" w:hAnsiTheme="minorHAnsi" w:cstheme="minorHAnsi"/>
          <w:i/>
          <w:color w:val="1D1D1B"/>
          <w:spacing w:val="-9"/>
          <w:w w:val="105"/>
          <w:sz w:val="21"/>
          <w:szCs w:val="21"/>
        </w:rPr>
        <w:t>ch úvěrů</w:t>
      </w:r>
      <w:r w:rsidRPr="00EF6D8C">
        <w:rPr>
          <w:rFonts w:asciiTheme="minorHAnsi" w:hAnsiTheme="minorHAnsi" w:cstheme="minorHAnsi"/>
          <w:i/>
          <w:color w:val="1D1D1B"/>
          <w:w w:val="105"/>
          <w:sz w:val="21"/>
          <w:szCs w:val="21"/>
        </w:rPr>
        <w:t xml:space="preserve">). Více informací najdete též na webu </w:t>
      </w:r>
      <w:r w:rsidRPr="00EF6D8C">
        <w:rPr>
          <w:rStyle w:val="Hypertextovodkaz"/>
          <w:rFonts w:asciiTheme="minorHAnsi" w:hAnsiTheme="minorHAnsi" w:cstheme="minorHAnsi"/>
          <w:i/>
          <w:w w:val="105"/>
          <w:sz w:val="21"/>
          <w:szCs w:val="21"/>
        </w:rPr>
        <w:t>https://www.bcas.cz/onas/pro-media/</w:t>
      </w:r>
      <w:r w:rsidRPr="00EF6D8C">
        <w:rPr>
          <w:rFonts w:asciiTheme="minorHAnsi" w:hAnsiTheme="minorHAnsi" w:cstheme="minorHAnsi"/>
          <w:i/>
          <w:color w:val="1D1D1B"/>
          <w:w w:val="105"/>
          <w:sz w:val="21"/>
          <w:szCs w:val="21"/>
        </w:rPr>
        <w:t xml:space="preserve">. </w:t>
      </w:r>
    </w:p>
    <w:p w14:paraId="5245244C" w14:textId="59FD1ED6" w:rsidR="007563D8" w:rsidRPr="00EF6D8C" w:rsidRDefault="007563D8" w:rsidP="00A2244B">
      <w:pPr>
        <w:rPr>
          <w:rFonts w:asciiTheme="minorHAnsi" w:hAnsiTheme="minorHAnsi" w:cstheme="minorHAnsi"/>
          <w:b/>
          <w:color w:val="1D1D1B"/>
          <w:w w:val="105"/>
          <w:sz w:val="21"/>
          <w:szCs w:val="21"/>
        </w:rPr>
      </w:pPr>
      <w:r w:rsidRPr="00EF6D8C">
        <w:rPr>
          <w:rFonts w:asciiTheme="minorHAnsi" w:hAnsiTheme="minorHAnsi" w:cstheme="minorHAnsi"/>
          <w:b/>
          <w:color w:val="FF0000"/>
          <w:w w:val="105"/>
          <w:sz w:val="21"/>
          <w:szCs w:val="21"/>
        </w:rPr>
        <w:t>Broker Consulting Indexy je nyní možné sledovat v interaktivní formě na webu</w:t>
      </w:r>
      <w:r w:rsidRPr="00EF6D8C">
        <w:rPr>
          <w:rFonts w:asciiTheme="minorHAnsi" w:hAnsiTheme="minorHAnsi" w:cstheme="minorHAnsi"/>
          <w:color w:val="1D1D1B"/>
          <w:w w:val="105"/>
          <w:sz w:val="21"/>
          <w:szCs w:val="21"/>
        </w:rPr>
        <w:t>. Zde lze zároveň exportovat zdrojová data ke grafům. Vice dostupné na odkaze</w:t>
      </w:r>
      <w:r w:rsidRPr="00EF6D8C">
        <w:rPr>
          <w:rFonts w:asciiTheme="minorHAnsi" w:hAnsiTheme="minorHAnsi" w:cstheme="minorHAnsi"/>
          <w:b/>
          <w:color w:val="1D1D1B"/>
          <w:w w:val="105"/>
          <w:sz w:val="21"/>
          <w:szCs w:val="21"/>
        </w:rPr>
        <w:t xml:space="preserve">: </w:t>
      </w:r>
      <w:hyperlink r:id="rId26" w:history="1">
        <w:r w:rsidRPr="00EF6D8C">
          <w:rPr>
            <w:rStyle w:val="Hypertextovodkaz"/>
            <w:rFonts w:asciiTheme="minorHAnsi" w:hAnsiTheme="minorHAnsi" w:cstheme="minorHAnsi"/>
            <w:b/>
            <w:sz w:val="21"/>
            <w:szCs w:val="21"/>
          </w:rPr>
          <w:t>https://www.bcas.cz/o-nas/broker-consulting-index-spotrebitelskych-uveru/</w:t>
        </w:r>
      </w:hyperlink>
      <w:r w:rsidRPr="00EF6D8C">
        <w:rPr>
          <w:rFonts w:asciiTheme="minorHAnsi" w:hAnsiTheme="minorHAnsi" w:cstheme="minorHAnsi"/>
          <w:b/>
          <w:sz w:val="21"/>
          <w:szCs w:val="21"/>
        </w:rPr>
        <w:t xml:space="preserve">. </w:t>
      </w:r>
    </w:p>
    <w:p w14:paraId="3FDF8955" w14:textId="399F6C6F" w:rsidR="00EF6D8C" w:rsidRPr="00EF6D8C" w:rsidRDefault="008F3C6D" w:rsidP="00EF6D8C">
      <w:pPr>
        <w:spacing w:before="120"/>
        <w:rPr>
          <w:rFonts w:asciiTheme="minorHAnsi" w:eastAsia="Calibri" w:hAnsiTheme="minorHAnsi" w:cstheme="minorHAnsi"/>
          <w:b/>
          <w:bCs/>
          <w:noProof/>
          <w:sz w:val="21"/>
          <w:szCs w:val="21"/>
        </w:rPr>
      </w:pPr>
      <w:r w:rsidRPr="00EF6D8C">
        <w:rPr>
          <w:rFonts w:asciiTheme="minorHAnsi" w:eastAsia="Calibri" w:hAnsiTheme="minorHAnsi" w:cstheme="minorHAnsi"/>
          <w:b/>
          <w:bCs/>
          <w:noProof/>
          <w:sz w:val="21"/>
          <w:szCs w:val="21"/>
        </w:rPr>
        <w:t>Kontakt pro média:</w:t>
      </w:r>
    </w:p>
    <w:p w14:paraId="16BB5E7E" w14:textId="2F1E51F1" w:rsidR="0053079B" w:rsidRPr="00EF6D8C" w:rsidRDefault="0053079B" w:rsidP="00EF6D8C">
      <w:pPr>
        <w:rPr>
          <w:rFonts w:asciiTheme="minorHAnsi" w:eastAsia="Calibri" w:hAnsiTheme="minorHAnsi" w:cstheme="minorHAnsi"/>
          <w:b/>
          <w:bCs/>
          <w:noProof/>
          <w:sz w:val="21"/>
          <w:szCs w:val="21"/>
        </w:rPr>
      </w:pPr>
      <w:r w:rsidRPr="00EF6D8C">
        <w:rPr>
          <w:rFonts w:asciiTheme="minorHAnsi" w:eastAsia="Calibri" w:hAnsiTheme="minorHAnsi" w:cstheme="minorHAnsi"/>
          <w:bCs/>
          <w:noProof/>
          <w:sz w:val="21"/>
          <w:szCs w:val="21"/>
        </w:rPr>
        <w:t>Michaela Sahulová</w:t>
      </w:r>
      <w:r w:rsidR="00EF6D8C" w:rsidRPr="00EF6D8C">
        <w:rPr>
          <w:rFonts w:asciiTheme="minorHAnsi" w:eastAsia="Calibri" w:hAnsiTheme="minorHAnsi" w:cstheme="minorHAnsi"/>
          <w:bCs/>
          <w:noProof/>
          <w:sz w:val="21"/>
          <w:szCs w:val="21"/>
        </w:rPr>
        <w:t xml:space="preserve">, </w:t>
      </w:r>
      <w:r w:rsidRPr="00EF6D8C">
        <w:rPr>
          <w:rFonts w:asciiTheme="minorHAnsi" w:eastAsia="Calibri" w:hAnsiTheme="minorHAnsi" w:cstheme="minorHAnsi"/>
          <w:noProof/>
          <w:sz w:val="21"/>
          <w:szCs w:val="21"/>
        </w:rPr>
        <w:t>Specialistka PR a externí komunikace</w:t>
      </w:r>
    </w:p>
    <w:p w14:paraId="12134AC2" w14:textId="72493835" w:rsidR="008F3C6D" w:rsidRPr="00EF6D8C" w:rsidRDefault="0053079B" w:rsidP="00EF6D8C">
      <w:pPr>
        <w:rPr>
          <w:rFonts w:asciiTheme="minorHAnsi" w:eastAsiaTheme="minorEastAsia" w:hAnsiTheme="minorHAnsi" w:cstheme="minorHAnsi"/>
          <w:noProof/>
          <w:color w:val="000000" w:themeColor="text1"/>
          <w:sz w:val="21"/>
          <w:szCs w:val="21"/>
          <w:lang w:bidi="ar-SA"/>
        </w:rPr>
      </w:pPr>
      <w:r w:rsidRPr="00EF6D8C">
        <w:rPr>
          <w:rFonts w:asciiTheme="minorHAnsi" w:eastAsiaTheme="minorEastAsia" w:hAnsiTheme="minorHAnsi" w:cstheme="minorHAnsi"/>
          <w:noProof/>
          <w:color w:val="000000" w:themeColor="text1"/>
          <w:sz w:val="21"/>
          <w:szCs w:val="21"/>
        </w:rPr>
        <w:t>tel.: +420 731 538</w:t>
      </w:r>
      <w:r w:rsidR="00EF6D8C" w:rsidRPr="00EF6D8C">
        <w:rPr>
          <w:rFonts w:asciiTheme="minorHAnsi" w:eastAsiaTheme="minorEastAsia" w:hAnsiTheme="minorHAnsi" w:cstheme="minorHAnsi"/>
          <w:noProof/>
          <w:color w:val="000000" w:themeColor="text1"/>
          <w:sz w:val="21"/>
          <w:szCs w:val="21"/>
        </w:rPr>
        <w:t> </w:t>
      </w:r>
      <w:r w:rsidRPr="00EF6D8C">
        <w:rPr>
          <w:rFonts w:asciiTheme="minorHAnsi" w:eastAsiaTheme="minorEastAsia" w:hAnsiTheme="minorHAnsi" w:cstheme="minorHAnsi"/>
          <w:noProof/>
          <w:color w:val="000000" w:themeColor="text1"/>
          <w:sz w:val="21"/>
          <w:szCs w:val="21"/>
        </w:rPr>
        <w:t>373</w:t>
      </w:r>
      <w:r w:rsidR="00EF6D8C" w:rsidRPr="00EF6D8C">
        <w:rPr>
          <w:rFonts w:asciiTheme="minorHAnsi" w:eastAsiaTheme="minorEastAsia" w:hAnsiTheme="minorHAnsi" w:cstheme="minorHAnsi"/>
          <w:noProof/>
          <w:color w:val="000000" w:themeColor="text1"/>
          <w:sz w:val="21"/>
          <w:szCs w:val="21"/>
          <w:lang w:bidi="ar-SA"/>
        </w:rPr>
        <w:t xml:space="preserve">, </w:t>
      </w:r>
      <w:r w:rsidR="00EF6D8C" w:rsidRPr="00EF6D8C">
        <w:rPr>
          <w:rFonts w:asciiTheme="minorHAnsi" w:eastAsia="Calibri" w:hAnsiTheme="minorHAnsi" w:cstheme="minorHAnsi"/>
          <w:noProof/>
          <w:sz w:val="21"/>
          <w:szCs w:val="21"/>
        </w:rPr>
        <w:t>e</w:t>
      </w:r>
      <w:r w:rsidRPr="00EF6D8C">
        <w:rPr>
          <w:rFonts w:asciiTheme="minorHAnsi" w:eastAsia="Calibri" w:hAnsiTheme="minorHAnsi" w:cstheme="minorHAnsi"/>
          <w:noProof/>
          <w:sz w:val="21"/>
          <w:szCs w:val="21"/>
        </w:rPr>
        <w:t xml:space="preserve">-mail: </w:t>
      </w:r>
      <w:r w:rsidR="00EF6D8C" w:rsidRPr="00EF6D8C">
        <w:rPr>
          <w:rFonts w:asciiTheme="minorHAnsi" w:eastAsia="Calibri" w:hAnsiTheme="minorHAnsi" w:cstheme="minorHAnsi"/>
          <w:noProof/>
          <w:sz w:val="21"/>
          <w:szCs w:val="21"/>
        </w:rPr>
        <w:t>michaela.sahulova@bcas.c</w:t>
      </w:r>
      <w:r w:rsidR="00EF6D8C" w:rsidRPr="00EF6D8C">
        <w:rPr>
          <w:rFonts w:asciiTheme="minorHAnsi" w:eastAsiaTheme="minorEastAsia" w:hAnsiTheme="minorHAnsi" w:cstheme="minorHAnsi"/>
          <w:noProof/>
          <w:color w:val="000000" w:themeColor="text1"/>
          <w:sz w:val="21"/>
          <w:szCs w:val="21"/>
          <w:lang w:bidi="ar-SA"/>
        </w:rPr>
        <w:t>z</w:t>
      </w:r>
    </w:p>
    <w:sectPr w:rsidR="008F3C6D" w:rsidRPr="00EF6D8C"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96E9FE" w14:textId="77777777" w:rsidR="000A5431" w:rsidRDefault="000A5431">
      <w:r>
        <w:separator/>
      </w:r>
    </w:p>
  </w:endnote>
  <w:endnote w:type="continuationSeparator" w:id="0">
    <w:p w14:paraId="5A0511C5" w14:textId="77777777" w:rsidR="000A5431" w:rsidRDefault="000A5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0A5431"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177EAF"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0A5431"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177EAF"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0A5431"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177EAF"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D09F7B" w14:textId="77777777" w:rsidR="000A5431" w:rsidRDefault="000A5431">
      <w:r>
        <w:separator/>
      </w:r>
    </w:p>
  </w:footnote>
  <w:footnote w:type="continuationSeparator" w:id="0">
    <w:p w14:paraId="12337556" w14:textId="77777777" w:rsidR="000A5431" w:rsidRDefault="000A54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BC331D" w:rsidRDefault="00D80B6D" w:rsidP="00E95698">
    <w:pPr>
      <w:tabs>
        <w:tab w:val="left" w:pos="8633"/>
      </w:tabs>
      <w:spacing w:before="80"/>
      <w:ind w:firstLine="2880"/>
      <w:rPr>
        <w:rFonts w:asciiTheme="minorHAnsi" w:hAnsiTheme="minorHAnsi" w:cstheme="minorHAnsi"/>
        <w:sz w:val="52"/>
      </w:rPr>
    </w:pPr>
    <w:r w:rsidRPr="00BC331D">
      <w:rPr>
        <w:rFonts w:asciiTheme="minorHAnsi" w:hAnsiTheme="minorHAnsi" w:cstheme="minorHAnsi"/>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BC331D">
      <w:rPr>
        <w:rFonts w:asciiTheme="minorHAnsi" w:hAnsiTheme="minorHAnsi" w:cstheme="minorHAnsi"/>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BC331D">
      <w:rPr>
        <w:rFonts w:asciiTheme="minorHAnsi" w:hAnsiTheme="minorHAnsi" w:cstheme="minorHAnsi"/>
        <w:color w:val="1D1D1B"/>
        <w:sz w:val="48"/>
      </w:rPr>
      <w:t xml:space="preserve">BROKER CONSULTING </w:t>
    </w:r>
    <w:r w:rsidRPr="00BC331D">
      <w:rPr>
        <w:rFonts w:asciiTheme="minorHAnsi" w:hAnsiTheme="minorHAnsi" w:cstheme="minorHAnsi"/>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2ECB10A3" w:rsidR="00B65A3B" w:rsidRDefault="00B65A3B" w:rsidP="00B65A3B">
    <w:pPr>
      <w:spacing w:before="85"/>
      <w:ind w:left="1440" w:firstLine="720"/>
      <w:rPr>
        <w:rFonts w:ascii="Arial" w:hAnsi="Arial" w:cs="Arial"/>
        <w:color w:val="E52713"/>
        <w:sz w:val="28"/>
        <w:szCs w:val="28"/>
      </w:rPr>
    </w:pPr>
    <w:r w:rsidRPr="00B65A3B">
      <w:rPr>
        <w:rFonts w:ascii="Arial" w:hAnsi="Arial" w:cs="Arial"/>
        <w:color w:val="E52713"/>
        <w:sz w:val="28"/>
        <w:szCs w:val="28"/>
      </w:rPr>
      <w:t>INDEX SPOTŘEBITELSKÝCH ÚVĚRŮ</w:t>
    </w:r>
  </w:p>
  <w:p w14:paraId="3F4A0BE4" w14:textId="77777777" w:rsidR="00480982" w:rsidRPr="00B65A3B" w:rsidRDefault="00480982" w:rsidP="00B65A3B">
    <w:pPr>
      <w:spacing w:before="85"/>
      <w:ind w:left="1440" w:firstLine="720"/>
      <w:rPr>
        <w:rFonts w:ascii="Arial" w:hAnsi="Arial" w:cs="Arial"/>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77777777"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 w15:restartNumberingAfterBreak="0">
    <w:nsid w:val="3DFD5456"/>
    <w:multiLevelType w:val="hybridMultilevel"/>
    <w:tmpl w:val="414C92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539C3D22"/>
    <w:multiLevelType w:val="hybridMultilevel"/>
    <w:tmpl w:val="011C0E20"/>
    <w:lvl w:ilvl="0" w:tplc="04050017">
      <w:start w:val="1"/>
      <w:numFmt w:val="lowerLetter"/>
      <w:lvlText w:val="%1)"/>
      <w:lvlJc w:val="left"/>
      <w:pPr>
        <w:ind w:left="720" w:hanging="360"/>
      </w:p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620233C1"/>
    <w:multiLevelType w:val="hybridMultilevel"/>
    <w:tmpl w:val="57B2AF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6786571F"/>
    <w:multiLevelType w:val="hybridMultilevel"/>
    <w:tmpl w:val="1B086EF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 w15:restartNumberingAfterBreak="0">
    <w:nsid w:val="75E63C89"/>
    <w:multiLevelType w:val="hybridMultilevel"/>
    <w:tmpl w:val="FF200B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7E7A6A13"/>
    <w:multiLevelType w:val="hybridMultilevel"/>
    <w:tmpl w:val="5456E0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6"/>
  </w:num>
  <w:num w:numId="5">
    <w:abstractNumId w:val="2"/>
  </w:num>
  <w:num w:numId="6">
    <w:abstractNumId w:val="5"/>
  </w:num>
  <w:num w:numId="7">
    <w:abstractNumId w:val="1"/>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1489"/>
    <w:rsid w:val="0000406E"/>
    <w:rsid w:val="00005076"/>
    <w:rsid w:val="000058F2"/>
    <w:rsid w:val="00014E72"/>
    <w:rsid w:val="00017A80"/>
    <w:rsid w:val="00020EC7"/>
    <w:rsid w:val="00021C70"/>
    <w:rsid w:val="00022715"/>
    <w:rsid w:val="00024AC6"/>
    <w:rsid w:val="00026F23"/>
    <w:rsid w:val="000276A7"/>
    <w:rsid w:val="000277AC"/>
    <w:rsid w:val="000329A2"/>
    <w:rsid w:val="00032D94"/>
    <w:rsid w:val="00036C73"/>
    <w:rsid w:val="000374D7"/>
    <w:rsid w:val="000400E4"/>
    <w:rsid w:val="0004253B"/>
    <w:rsid w:val="00045B39"/>
    <w:rsid w:val="0005252A"/>
    <w:rsid w:val="0005423A"/>
    <w:rsid w:val="00057018"/>
    <w:rsid w:val="00057DE7"/>
    <w:rsid w:val="000611E3"/>
    <w:rsid w:val="000618FE"/>
    <w:rsid w:val="00061ABB"/>
    <w:rsid w:val="00070675"/>
    <w:rsid w:val="000766E7"/>
    <w:rsid w:val="00076D0E"/>
    <w:rsid w:val="00080552"/>
    <w:rsid w:val="00080ADE"/>
    <w:rsid w:val="00081616"/>
    <w:rsid w:val="00082FDB"/>
    <w:rsid w:val="000853D4"/>
    <w:rsid w:val="00087263"/>
    <w:rsid w:val="0009776B"/>
    <w:rsid w:val="000A5431"/>
    <w:rsid w:val="000A5467"/>
    <w:rsid w:val="000A6063"/>
    <w:rsid w:val="000B0D84"/>
    <w:rsid w:val="000B2E5D"/>
    <w:rsid w:val="000B2F39"/>
    <w:rsid w:val="000B5339"/>
    <w:rsid w:val="000B54E5"/>
    <w:rsid w:val="000C0090"/>
    <w:rsid w:val="000C1853"/>
    <w:rsid w:val="000C4C77"/>
    <w:rsid w:val="000D145E"/>
    <w:rsid w:val="000D14E2"/>
    <w:rsid w:val="000D5F5D"/>
    <w:rsid w:val="000D68AC"/>
    <w:rsid w:val="000D7A4D"/>
    <w:rsid w:val="000E0EEC"/>
    <w:rsid w:val="000E168E"/>
    <w:rsid w:val="000E3D86"/>
    <w:rsid w:val="000F0BA4"/>
    <w:rsid w:val="000F1EC4"/>
    <w:rsid w:val="000F29D1"/>
    <w:rsid w:val="000F6249"/>
    <w:rsid w:val="00103543"/>
    <w:rsid w:val="001069A1"/>
    <w:rsid w:val="0010739A"/>
    <w:rsid w:val="00111C28"/>
    <w:rsid w:val="00112079"/>
    <w:rsid w:val="00112CC0"/>
    <w:rsid w:val="00112D65"/>
    <w:rsid w:val="001130B7"/>
    <w:rsid w:val="00114F7B"/>
    <w:rsid w:val="00115429"/>
    <w:rsid w:val="0012330F"/>
    <w:rsid w:val="00123939"/>
    <w:rsid w:val="001302C1"/>
    <w:rsid w:val="0013044E"/>
    <w:rsid w:val="00131A69"/>
    <w:rsid w:val="001352B7"/>
    <w:rsid w:val="00136C97"/>
    <w:rsid w:val="00137003"/>
    <w:rsid w:val="0013717C"/>
    <w:rsid w:val="00137474"/>
    <w:rsid w:val="00143EFE"/>
    <w:rsid w:val="0014644B"/>
    <w:rsid w:val="001546F5"/>
    <w:rsid w:val="00156082"/>
    <w:rsid w:val="00161D10"/>
    <w:rsid w:val="00164597"/>
    <w:rsid w:val="001675AF"/>
    <w:rsid w:val="00170556"/>
    <w:rsid w:val="00170D87"/>
    <w:rsid w:val="00170E0F"/>
    <w:rsid w:val="00173F5C"/>
    <w:rsid w:val="00175224"/>
    <w:rsid w:val="001767A5"/>
    <w:rsid w:val="00177EAF"/>
    <w:rsid w:val="00180051"/>
    <w:rsid w:val="00182B07"/>
    <w:rsid w:val="0018460D"/>
    <w:rsid w:val="00187ECB"/>
    <w:rsid w:val="001901D0"/>
    <w:rsid w:val="00191B34"/>
    <w:rsid w:val="001925C8"/>
    <w:rsid w:val="00192716"/>
    <w:rsid w:val="00192C2A"/>
    <w:rsid w:val="00193550"/>
    <w:rsid w:val="00194C95"/>
    <w:rsid w:val="0019698F"/>
    <w:rsid w:val="001A54DD"/>
    <w:rsid w:val="001B08C7"/>
    <w:rsid w:val="001B296D"/>
    <w:rsid w:val="001B29C7"/>
    <w:rsid w:val="001B501B"/>
    <w:rsid w:val="001B6A93"/>
    <w:rsid w:val="001B745F"/>
    <w:rsid w:val="001D015A"/>
    <w:rsid w:val="001D3DFC"/>
    <w:rsid w:val="001D4EA8"/>
    <w:rsid w:val="001D66D5"/>
    <w:rsid w:val="001D6965"/>
    <w:rsid w:val="001E22F1"/>
    <w:rsid w:val="001E3D5F"/>
    <w:rsid w:val="001E3FBF"/>
    <w:rsid w:val="001E4209"/>
    <w:rsid w:val="001E44AC"/>
    <w:rsid w:val="001E5D83"/>
    <w:rsid w:val="001F045E"/>
    <w:rsid w:val="001F25C4"/>
    <w:rsid w:val="001F2BE0"/>
    <w:rsid w:val="001F3CF1"/>
    <w:rsid w:val="001F7194"/>
    <w:rsid w:val="001F71BA"/>
    <w:rsid w:val="001F7D30"/>
    <w:rsid w:val="00200B65"/>
    <w:rsid w:val="002116F0"/>
    <w:rsid w:val="00213566"/>
    <w:rsid w:val="002141AF"/>
    <w:rsid w:val="002157B1"/>
    <w:rsid w:val="0022066E"/>
    <w:rsid w:val="00220944"/>
    <w:rsid w:val="002227D9"/>
    <w:rsid w:val="00223A4A"/>
    <w:rsid w:val="002259CD"/>
    <w:rsid w:val="0023042D"/>
    <w:rsid w:val="00232F1A"/>
    <w:rsid w:val="00233A58"/>
    <w:rsid w:val="0023469F"/>
    <w:rsid w:val="002368F3"/>
    <w:rsid w:val="002402BD"/>
    <w:rsid w:val="002404A1"/>
    <w:rsid w:val="002406A8"/>
    <w:rsid w:val="00241313"/>
    <w:rsid w:val="0024224C"/>
    <w:rsid w:val="00242D4D"/>
    <w:rsid w:val="00243075"/>
    <w:rsid w:val="00243C49"/>
    <w:rsid w:val="0024551C"/>
    <w:rsid w:val="0025264B"/>
    <w:rsid w:val="0025428A"/>
    <w:rsid w:val="002542AA"/>
    <w:rsid w:val="00255182"/>
    <w:rsid w:val="00263C8C"/>
    <w:rsid w:val="002645E4"/>
    <w:rsid w:val="002679C9"/>
    <w:rsid w:val="00270DB3"/>
    <w:rsid w:val="00271F07"/>
    <w:rsid w:val="0027623E"/>
    <w:rsid w:val="00281834"/>
    <w:rsid w:val="00282C57"/>
    <w:rsid w:val="002831C1"/>
    <w:rsid w:val="00285397"/>
    <w:rsid w:val="0028590C"/>
    <w:rsid w:val="00287D46"/>
    <w:rsid w:val="002A0285"/>
    <w:rsid w:val="002A3F19"/>
    <w:rsid w:val="002A6FA3"/>
    <w:rsid w:val="002A7325"/>
    <w:rsid w:val="002B0728"/>
    <w:rsid w:val="002B1317"/>
    <w:rsid w:val="002B7DA9"/>
    <w:rsid w:val="002B7F6D"/>
    <w:rsid w:val="002C0240"/>
    <w:rsid w:val="002C4A25"/>
    <w:rsid w:val="002C4BCE"/>
    <w:rsid w:val="002C7224"/>
    <w:rsid w:val="002D1619"/>
    <w:rsid w:val="002D6D20"/>
    <w:rsid w:val="002E1ABC"/>
    <w:rsid w:val="002E3DC6"/>
    <w:rsid w:val="002E633F"/>
    <w:rsid w:val="002F002B"/>
    <w:rsid w:val="002F05B2"/>
    <w:rsid w:val="002F1DD3"/>
    <w:rsid w:val="002F3FCA"/>
    <w:rsid w:val="002F485A"/>
    <w:rsid w:val="002F56BD"/>
    <w:rsid w:val="002F7EC2"/>
    <w:rsid w:val="003001F4"/>
    <w:rsid w:val="003028DB"/>
    <w:rsid w:val="003055CB"/>
    <w:rsid w:val="00306EEA"/>
    <w:rsid w:val="00306FE1"/>
    <w:rsid w:val="00307E95"/>
    <w:rsid w:val="00310BEB"/>
    <w:rsid w:val="00311F45"/>
    <w:rsid w:val="0031287A"/>
    <w:rsid w:val="003128F8"/>
    <w:rsid w:val="00313A87"/>
    <w:rsid w:val="00315AC2"/>
    <w:rsid w:val="00316FA6"/>
    <w:rsid w:val="0031712D"/>
    <w:rsid w:val="0031752C"/>
    <w:rsid w:val="00320455"/>
    <w:rsid w:val="00320E0F"/>
    <w:rsid w:val="00321518"/>
    <w:rsid w:val="00321E19"/>
    <w:rsid w:val="003226EB"/>
    <w:rsid w:val="003247B0"/>
    <w:rsid w:val="00330918"/>
    <w:rsid w:val="00331E15"/>
    <w:rsid w:val="003358BA"/>
    <w:rsid w:val="0034184F"/>
    <w:rsid w:val="00342F85"/>
    <w:rsid w:val="0034360E"/>
    <w:rsid w:val="00345686"/>
    <w:rsid w:val="00345DAD"/>
    <w:rsid w:val="00345DD2"/>
    <w:rsid w:val="00347557"/>
    <w:rsid w:val="003502B4"/>
    <w:rsid w:val="00352D2E"/>
    <w:rsid w:val="00355366"/>
    <w:rsid w:val="00356752"/>
    <w:rsid w:val="00361D44"/>
    <w:rsid w:val="003629B6"/>
    <w:rsid w:val="00365407"/>
    <w:rsid w:val="0036580F"/>
    <w:rsid w:val="003705A1"/>
    <w:rsid w:val="00370C35"/>
    <w:rsid w:val="003721AD"/>
    <w:rsid w:val="0037300C"/>
    <w:rsid w:val="00374182"/>
    <w:rsid w:val="00383942"/>
    <w:rsid w:val="00383DC5"/>
    <w:rsid w:val="00385325"/>
    <w:rsid w:val="00385EED"/>
    <w:rsid w:val="00386B09"/>
    <w:rsid w:val="00390B58"/>
    <w:rsid w:val="00392024"/>
    <w:rsid w:val="003948A1"/>
    <w:rsid w:val="00396E90"/>
    <w:rsid w:val="003A1549"/>
    <w:rsid w:val="003A285A"/>
    <w:rsid w:val="003A2887"/>
    <w:rsid w:val="003A375A"/>
    <w:rsid w:val="003A43AB"/>
    <w:rsid w:val="003A6435"/>
    <w:rsid w:val="003B0E4E"/>
    <w:rsid w:val="003B0E4F"/>
    <w:rsid w:val="003B3F0C"/>
    <w:rsid w:val="003C0CBE"/>
    <w:rsid w:val="003C2A23"/>
    <w:rsid w:val="003C5664"/>
    <w:rsid w:val="003C59A8"/>
    <w:rsid w:val="003C6F57"/>
    <w:rsid w:val="003C7F98"/>
    <w:rsid w:val="003D157E"/>
    <w:rsid w:val="003D1987"/>
    <w:rsid w:val="003D2162"/>
    <w:rsid w:val="003D47CB"/>
    <w:rsid w:val="003E0649"/>
    <w:rsid w:val="003E5B34"/>
    <w:rsid w:val="003E6537"/>
    <w:rsid w:val="003F0CAF"/>
    <w:rsid w:val="003F324C"/>
    <w:rsid w:val="003F7018"/>
    <w:rsid w:val="003F79EC"/>
    <w:rsid w:val="0040257E"/>
    <w:rsid w:val="00403729"/>
    <w:rsid w:val="004041EF"/>
    <w:rsid w:val="004053BB"/>
    <w:rsid w:val="004075C9"/>
    <w:rsid w:val="00411153"/>
    <w:rsid w:val="004116FD"/>
    <w:rsid w:val="0041759C"/>
    <w:rsid w:val="0042193A"/>
    <w:rsid w:val="004228ED"/>
    <w:rsid w:val="00424406"/>
    <w:rsid w:val="00432DAE"/>
    <w:rsid w:val="0043347D"/>
    <w:rsid w:val="004336E4"/>
    <w:rsid w:val="00433F20"/>
    <w:rsid w:val="00434FAE"/>
    <w:rsid w:val="00435342"/>
    <w:rsid w:val="004372BB"/>
    <w:rsid w:val="004376B0"/>
    <w:rsid w:val="00445316"/>
    <w:rsid w:val="00445D0A"/>
    <w:rsid w:val="00447FBA"/>
    <w:rsid w:val="004501B9"/>
    <w:rsid w:val="00453CFE"/>
    <w:rsid w:val="00454843"/>
    <w:rsid w:val="004556BB"/>
    <w:rsid w:val="00455F65"/>
    <w:rsid w:val="00457FFE"/>
    <w:rsid w:val="00460FA7"/>
    <w:rsid w:val="00461BF2"/>
    <w:rsid w:val="004627B9"/>
    <w:rsid w:val="004678E9"/>
    <w:rsid w:val="00467E69"/>
    <w:rsid w:val="00471166"/>
    <w:rsid w:val="00473E24"/>
    <w:rsid w:val="00474C76"/>
    <w:rsid w:val="00477DC5"/>
    <w:rsid w:val="00480982"/>
    <w:rsid w:val="00483C09"/>
    <w:rsid w:val="00486655"/>
    <w:rsid w:val="0049280D"/>
    <w:rsid w:val="00492BA9"/>
    <w:rsid w:val="004935C2"/>
    <w:rsid w:val="004A59C1"/>
    <w:rsid w:val="004A7830"/>
    <w:rsid w:val="004B2DF6"/>
    <w:rsid w:val="004B2FF6"/>
    <w:rsid w:val="004B4E91"/>
    <w:rsid w:val="004B5797"/>
    <w:rsid w:val="004B7412"/>
    <w:rsid w:val="004C222D"/>
    <w:rsid w:val="004C3DD1"/>
    <w:rsid w:val="004C3F71"/>
    <w:rsid w:val="004D5CC6"/>
    <w:rsid w:val="004D6DB4"/>
    <w:rsid w:val="004E09B8"/>
    <w:rsid w:val="004E1737"/>
    <w:rsid w:val="004F303D"/>
    <w:rsid w:val="004F38CD"/>
    <w:rsid w:val="004F5D36"/>
    <w:rsid w:val="004F6195"/>
    <w:rsid w:val="00504EBB"/>
    <w:rsid w:val="0050659B"/>
    <w:rsid w:val="005130A9"/>
    <w:rsid w:val="00514932"/>
    <w:rsid w:val="005153F7"/>
    <w:rsid w:val="00515952"/>
    <w:rsid w:val="005224C1"/>
    <w:rsid w:val="005231DA"/>
    <w:rsid w:val="0053079B"/>
    <w:rsid w:val="0053153F"/>
    <w:rsid w:val="00531C9F"/>
    <w:rsid w:val="005361AF"/>
    <w:rsid w:val="00536822"/>
    <w:rsid w:val="00536954"/>
    <w:rsid w:val="0053728E"/>
    <w:rsid w:val="00540563"/>
    <w:rsid w:val="00540606"/>
    <w:rsid w:val="005411AC"/>
    <w:rsid w:val="00541870"/>
    <w:rsid w:val="005436EC"/>
    <w:rsid w:val="00543DD3"/>
    <w:rsid w:val="00544A37"/>
    <w:rsid w:val="00545971"/>
    <w:rsid w:val="00550147"/>
    <w:rsid w:val="00550AC2"/>
    <w:rsid w:val="00551FDB"/>
    <w:rsid w:val="00554D18"/>
    <w:rsid w:val="00564E3C"/>
    <w:rsid w:val="0056501A"/>
    <w:rsid w:val="00571AD4"/>
    <w:rsid w:val="00573886"/>
    <w:rsid w:val="00573EE2"/>
    <w:rsid w:val="005766D5"/>
    <w:rsid w:val="00577D19"/>
    <w:rsid w:val="005907CD"/>
    <w:rsid w:val="005A2139"/>
    <w:rsid w:val="005A37E5"/>
    <w:rsid w:val="005A4EB8"/>
    <w:rsid w:val="005A50EB"/>
    <w:rsid w:val="005A5BBA"/>
    <w:rsid w:val="005A5F08"/>
    <w:rsid w:val="005B3143"/>
    <w:rsid w:val="005B31D7"/>
    <w:rsid w:val="005B460E"/>
    <w:rsid w:val="005C150C"/>
    <w:rsid w:val="005C318A"/>
    <w:rsid w:val="005D4D81"/>
    <w:rsid w:val="005D52F3"/>
    <w:rsid w:val="005E1193"/>
    <w:rsid w:val="005E14B1"/>
    <w:rsid w:val="005E5A67"/>
    <w:rsid w:val="005E7865"/>
    <w:rsid w:val="005E7EC0"/>
    <w:rsid w:val="005F2D95"/>
    <w:rsid w:val="005F6BD8"/>
    <w:rsid w:val="005F7E72"/>
    <w:rsid w:val="005F7EAE"/>
    <w:rsid w:val="0060397A"/>
    <w:rsid w:val="0060554F"/>
    <w:rsid w:val="006135FD"/>
    <w:rsid w:val="0061438C"/>
    <w:rsid w:val="006166CE"/>
    <w:rsid w:val="0062060D"/>
    <w:rsid w:val="006218E4"/>
    <w:rsid w:val="00623C47"/>
    <w:rsid w:val="0062747C"/>
    <w:rsid w:val="0062786E"/>
    <w:rsid w:val="00636142"/>
    <w:rsid w:val="006365D5"/>
    <w:rsid w:val="0064160C"/>
    <w:rsid w:val="00643131"/>
    <w:rsid w:val="00646E6F"/>
    <w:rsid w:val="00650123"/>
    <w:rsid w:val="006509E8"/>
    <w:rsid w:val="00651B48"/>
    <w:rsid w:val="006542CA"/>
    <w:rsid w:val="006548C4"/>
    <w:rsid w:val="0066135D"/>
    <w:rsid w:val="00662758"/>
    <w:rsid w:val="00662AC6"/>
    <w:rsid w:val="00664259"/>
    <w:rsid w:val="00664867"/>
    <w:rsid w:val="00667012"/>
    <w:rsid w:val="00675867"/>
    <w:rsid w:val="006768F0"/>
    <w:rsid w:val="00677078"/>
    <w:rsid w:val="00681F49"/>
    <w:rsid w:val="00682D62"/>
    <w:rsid w:val="006839FB"/>
    <w:rsid w:val="00683F9A"/>
    <w:rsid w:val="006859AC"/>
    <w:rsid w:val="006859FD"/>
    <w:rsid w:val="00685AF9"/>
    <w:rsid w:val="0068617E"/>
    <w:rsid w:val="006870AB"/>
    <w:rsid w:val="006902C0"/>
    <w:rsid w:val="00690415"/>
    <w:rsid w:val="00691527"/>
    <w:rsid w:val="006939E7"/>
    <w:rsid w:val="006A2F6C"/>
    <w:rsid w:val="006A3BE2"/>
    <w:rsid w:val="006A4E81"/>
    <w:rsid w:val="006A5A20"/>
    <w:rsid w:val="006B2F00"/>
    <w:rsid w:val="006B4027"/>
    <w:rsid w:val="006B58D8"/>
    <w:rsid w:val="006B7185"/>
    <w:rsid w:val="006C5C1A"/>
    <w:rsid w:val="006C5ED3"/>
    <w:rsid w:val="006C61E8"/>
    <w:rsid w:val="006C70DA"/>
    <w:rsid w:val="006D18F3"/>
    <w:rsid w:val="006D2B43"/>
    <w:rsid w:val="006D39DF"/>
    <w:rsid w:val="006D65EC"/>
    <w:rsid w:val="006E26DC"/>
    <w:rsid w:val="006E6A2F"/>
    <w:rsid w:val="006E70A0"/>
    <w:rsid w:val="006F32FB"/>
    <w:rsid w:val="006F66F1"/>
    <w:rsid w:val="007046C5"/>
    <w:rsid w:val="00704D83"/>
    <w:rsid w:val="007052FC"/>
    <w:rsid w:val="00705D83"/>
    <w:rsid w:val="00710AF5"/>
    <w:rsid w:val="00710E0C"/>
    <w:rsid w:val="007131CE"/>
    <w:rsid w:val="00716355"/>
    <w:rsid w:val="0072112F"/>
    <w:rsid w:val="00724267"/>
    <w:rsid w:val="00725BF5"/>
    <w:rsid w:val="007320FB"/>
    <w:rsid w:val="007362E3"/>
    <w:rsid w:val="007408D1"/>
    <w:rsid w:val="00741E71"/>
    <w:rsid w:val="00743390"/>
    <w:rsid w:val="00743627"/>
    <w:rsid w:val="00743E6A"/>
    <w:rsid w:val="00744C4D"/>
    <w:rsid w:val="0074636A"/>
    <w:rsid w:val="00747AB2"/>
    <w:rsid w:val="007512C7"/>
    <w:rsid w:val="00753B64"/>
    <w:rsid w:val="007563D8"/>
    <w:rsid w:val="0076114C"/>
    <w:rsid w:val="00762590"/>
    <w:rsid w:val="0076280C"/>
    <w:rsid w:val="007648F0"/>
    <w:rsid w:val="0076667F"/>
    <w:rsid w:val="007672BB"/>
    <w:rsid w:val="00771B91"/>
    <w:rsid w:val="00772415"/>
    <w:rsid w:val="007725B8"/>
    <w:rsid w:val="00772FF0"/>
    <w:rsid w:val="007741A2"/>
    <w:rsid w:val="007748AF"/>
    <w:rsid w:val="007753A0"/>
    <w:rsid w:val="00776CDE"/>
    <w:rsid w:val="00781592"/>
    <w:rsid w:val="007815BB"/>
    <w:rsid w:val="007824F4"/>
    <w:rsid w:val="00782848"/>
    <w:rsid w:val="00784109"/>
    <w:rsid w:val="0078410A"/>
    <w:rsid w:val="0078525A"/>
    <w:rsid w:val="00785FC5"/>
    <w:rsid w:val="0078631B"/>
    <w:rsid w:val="0078653C"/>
    <w:rsid w:val="00791A2B"/>
    <w:rsid w:val="00791B3A"/>
    <w:rsid w:val="00791E6F"/>
    <w:rsid w:val="00792EE9"/>
    <w:rsid w:val="0079572A"/>
    <w:rsid w:val="007969EF"/>
    <w:rsid w:val="007A1121"/>
    <w:rsid w:val="007A1122"/>
    <w:rsid w:val="007A15A6"/>
    <w:rsid w:val="007A1AB2"/>
    <w:rsid w:val="007A41BD"/>
    <w:rsid w:val="007A6A4D"/>
    <w:rsid w:val="007A74F9"/>
    <w:rsid w:val="007A7C7B"/>
    <w:rsid w:val="007B152D"/>
    <w:rsid w:val="007B358E"/>
    <w:rsid w:val="007B48B8"/>
    <w:rsid w:val="007C0F6D"/>
    <w:rsid w:val="007D0C39"/>
    <w:rsid w:val="007D14AE"/>
    <w:rsid w:val="007D325D"/>
    <w:rsid w:val="007E3027"/>
    <w:rsid w:val="007E38CD"/>
    <w:rsid w:val="007E5614"/>
    <w:rsid w:val="007E768B"/>
    <w:rsid w:val="007F13CC"/>
    <w:rsid w:val="007F2512"/>
    <w:rsid w:val="007F2DE8"/>
    <w:rsid w:val="007F3E94"/>
    <w:rsid w:val="007F4493"/>
    <w:rsid w:val="007F4C72"/>
    <w:rsid w:val="007F5903"/>
    <w:rsid w:val="007F71F9"/>
    <w:rsid w:val="008011E7"/>
    <w:rsid w:val="0080323F"/>
    <w:rsid w:val="00805BDB"/>
    <w:rsid w:val="008063BB"/>
    <w:rsid w:val="00812394"/>
    <w:rsid w:val="008123FF"/>
    <w:rsid w:val="0081387C"/>
    <w:rsid w:val="0081474E"/>
    <w:rsid w:val="008171F9"/>
    <w:rsid w:val="00826BAD"/>
    <w:rsid w:val="0083053E"/>
    <w:rsid w:val="00831B5E"/>
    <w:rsid w:val="00832F5B"/>
    <w:rsid w:val="00841AC4"/>
    <w:rsid w:val="00845A34"/>
    <w:rsid w:val="00852192"/>
    <w:rsid w:val="00852BBB"/>
    <w:rsid w:val="00856806"/>
    <w:rsid w:val="00856D3C"/>
    <w:rsid w:val="00860609"/>
    <w:rsid w:val="00863FC3"/>
    <w:rsid w:val="0087199F"/>
    <w:rsid w:val="00871CBD"/>
    <w:rsid w:val="00874C1A"/>
    <w:rsid w:val="00880B97"/>
    <w:rsid w:val="00881800"/>
    <w:rsid w:val="00883A3E"/>
    <w:rsid w:val="008845ED"/>
    <w:rsid w:val="0088579E"/>
    <w:rsid w:val="00885B2F"/>
    <w:rsid w:val="008875C1"/>
    <w:rsid w:val="00891E25"/>
    <w:rsid w:val="008926E5"/>
    <w:rsid w:val="008926F3"/>
    <w:rsid w:val="008A04D3"/>
    <w:rsid w:val="008A4116"/>
    <w:rsid w:val="008B3925"/>
    <w:rsid w:val="008B4E8C"/>
    <w:rsid w:val="008B4F0F"/>
    <w:rsid w:val="008C000E"/>
    <w:rsid w:val="008C1795"/>
    <w:rsid w:val="008C2254"/>
    <w:rsid w:val="008C3938"/>
    <w:rsid w:val="008C3A59"/>
    <w:rsid w:val="008C4B0D"/>
    <w:rsid w:val="008E1286"/>
    <w:rsid w:val="008E19F3"/>
    <w:rsid w:val="008E1F4A"/>
    <w:rsid w:val="008E5A93"/>
    <w:rsid w:val="008E79E2"/>
    <w:rsid w:val="008F2AEC"/>
    <w:rsid w:val="008F36CB"/>
    <w:rsid w:val="008F3C6D"/>
    <w:rsid w:val="008F6AAF"/>
    <w:rsid w:val="00901DB4"/>
    <w:rsid w:val="00901E1F"/>
    <w:rsid w:val="0090292E"/>
    <w:rsid w:val="009066E9"/>
    <w:rsid w:val="00906E67"/>
    <w:rsid w:val="009144B1"/>
    <w:rsid w:val="00915ADA"/>
    <w:rsid w:val="00916B03"/>
    <w:rsid w:val="0092097A"/>
    <w:rsid w:val="009222C9"/>
    <w:rsid w:val="009228CF"/>
    <w:rsid w:val="00925499"/>
    <w:rsid w:val="00930569"/>
    <w:rsid w:val="00931F18"/>
    <w:rsid w:val="00932625"/>
    <w:rsid w:val="009343CC"/>
    <w:rsid w:val="009344C2"/>
    <w:rsid w:val="00934CD7"/>
    <w:rsid w:val="009412B0"/>
    <w:rsid w:val="00944E57"/>
    <w:rsid w:val="0094645B"/>
    <w:rsid w:val="0094705C"/>
    <w:rsid w:val="00957739"/>
    <w:rsid w:val="00957B41"/>
    <w:rsid w:val="009631E0"/>
    <w:rsid w:val="009649D2"/>
    <w:rsid w:val="009660BD"/>
    <w:rsid w:val="009674F1"/>
    <w:rsid w:val="009750FA"/>
    <w:rsid w:val="009771E2"/>
    <w:rsid w:val="00977540"/>
    <w:rsid w:val="009834E2"/>
    <w:rsid w:val="00985DC8"/>
    <w:rsid w:val="009A4FC0"/>
    <w:rsid w:val="009A52BA"/>
    <w:rsid w:val="009A69B1"/>
    <w:rsid w:val="009A700C"/>
    <w:rsid w:val="009B1D25"/>
    <w:rsid w:val="009C0ECA"/>
    <w:rsid w:val="009C16D4"/>
    <w:rsid w:val="009C45BA"/>
    <w:rsid w:val="009C7948"/>
    <w:rsid w:val="009C79BD"/>
    <w:rsid w:val="009D01A2"/>
    <w:rsid w:val="009D1D17"/>
    <w:rsid w:val="009D24BB"/>
    <w:rsid w:val="009D44DD"/>
    <w:rsid w:val="009D64B2"/>
    <w:rsid w:val="009D729E"/>
    <w:rsid w:val="009D7493"/>
    <w:rsid w:val="009E233F"/>
    <w:rsid w:val="009E317D"/>
    <w:rsid w:val="009E31C0"/>
    <w:rsid w:val="009E3B52"/>
    <w:rsid w:val="009F2CB2"/>
    <w:rsid w:val="009F342D"/>
    <w:rsid w:val="009F3DA2"/>
    <w:rsid w:val="009F59EE"/>
    <w:rsid w:val="009F6CFC"/>
    <w:rsid w:val="00A008B8"/>
    <w:rsid w:val="00A04BAE"/>
    <w:rsid w:val="00A069E2"/>
    <w:rsid w:val="00A07639"/>
    <w:rsid w:val="00A10289"/>
    <w:rsid w:val="00A106F8"/>
    <w:rsid w:val="00A10BF9"/>
    <w:rsid w:val="00A11C90"/>
    <w:rsid w:val="00A12900"/>
    <w:rsid w:val="00A1395B"/>
    <w:rsid w:val="00A13D4D"/>
    <w:rsid w:val="00A14701"/>
    <w:rsid w:val="00A16A29"/>
    <w:rsid w:val="00A16E82"/>
    <w:rsid w:val="00A20BBF"/>
    <w:rsid w:val="00A2244B"/>
    <w:rsid w:val="00A22B56"/>
    <w:rsid w:val="00A252BA"/>
    <w:rsid w:val="00A26285"/>
    <w:rsid w:val="00A27237"/>
    <w:rsid w:val="00A27A7B"/>
    <w:rsid w:val="00A36CBA"/>
    <w:rsid w:val="00A36D79"/>
    <w:rsid w:val="00A3783E"/>
    <w:rsid w:val="00A41EA4"/>
    <w:rsid w:val="00A44FE0"/>
    <w:rsid w:val="00A4618A"/>
    <w:rsid w:val="00A50D03"/>
    <w:rsid w:val="00A522F5"/>
    <w:rsid w:val="00A53799"/>
    <w:rsid w:val="00A566B1"/>
    <w:rsid w:val="00A61269"/>
    <w:rsid w:val="00A624BA"/>
    <w:rsid w:val="00A672BC"/>
    <w:rsid w:val="00A712B2"/>
    <w:rsid w:val="00A720B2"/>
    <w:rsid w:val="00A74214"/>
    <w:rsid w:val="00A7796E"/>
    <w:rsid w:val="00A86544"/>
    <w:rsid w:val="00A9085F"/>
    <w:rsid w:val="00A92C95"/>
    <w:rsid w:val="00A93A25"/>
    <w:rsid w:val="00AA0920"/>
    <w:rsid w:val="00AA3055"/>
    <w:rsid w:val="00AA469A"/>
    <w:rsid w:val="00AA5141"/>
    <w:rsid w:val="00AA6E6D"/>
    <w:rsid w:val="00AA715C"/>
    <w:rsid w:val="00AA7977"/>
    <w:rsid w:val="00AA79D9"/>
    <w:rsid w:val="00AB50FF"/>
    <w:rsid w:val="00AC4BEC"/>
    <w:rsid w:val="00AC57BB"/>
    <w:rsid w:val="00AC614D"/>
    <w:rsid w:val="00AD0323"/>
    <w:rsid w:val="00AD1F39"/>
    <w:rsid w:val="00AD4BC3"/>
    <w:rsid w:val="00AD647D"/>
    <w:rsid w:val="00AE2698"/>
    <w:rsid w:val="00AE313F"/>
    <w:rsid w:val="00AE34F4"/>
    <w:rsid w:val="00AF042F"/>
    <w:rsid w:val="00B00C49"/>
    <w:rsid w:val="00B0200B"/>
    <w:rsid w:val="00B03105"/>
    <w:rsid w:val="00B03461"/>
    <w:rsid w:val="00B0766F"/>
    <w:rsid w:val="00B07F42"/>
    <w:rsid w:val="00B10787"/>
    <w:rsid w:val="00B11974"/>
    <w:rsid w:val="00B12CF8"/>
    <w:rsid w:val="00B13035"/>
    <w:rsid w:val="00B225A2"/>
    <w:rsid w:val="00B244B9"/>
    <w:rsid w:val="00B24559"/>
    <w:rsid w:val="00B27020"/>
    <w:rsid w:val="00B27178"/>
    <w:rsid w:val="00B310C3"/>
    <w:rsid w:val="00B42229"/>
    <w:rsid w:val="00B43ABC"/>
    <w:rsid w:val="00B44FA9"/>
    <w:rsid w:val="00B51125"/>
    <w:rsid w:val="00B51F55"/>
    <w:rsid w:val="00B52CDF"/>
    <w:rsid w:val="00B5679C"/>
    <w:rsid w:val="00B60D60"/>
    <w:rsid w:val="00B63CDD"/>
    <w:rsid w:val="00B65687"/>
    <w:rsid w:val="00B6589C"/>
    <w:rsid w:val="00B65A3B"/>
    <w:rsid w:val="00B67AF0"/>
    <w:rsid w:val="00B72C6B"/>
    <w:rsid w:val="00B72E16"/>
    <w:rsid w:val="00B73012"/>
    <w:rsid w:val="00B83D7B"/>
    <w:rsid w:val="00B91131"/>
    <w:rsid w:val="00B94E88"/>
    <w:rsid w:val="00B95BB2"/>
    <w:rsid w:val="00B95EBA"/>
    <w:rsid w:val="00BA037E"/>
    <w:rsid w:val="00BA04AB"/>
    <w:rsid w:val="00BA23D8"/>
    <w:rsid w:val="00BA35C9"/>
    <w:rsid w:val="00BA3EE0"/>
    <w:rsid w:val="00BA786D"/>
    <w:rsid w:val="00BB4D49"/>
    <w:rsid w:val="00BB6439"/>
    <w:rsid w:val="00BB675F"/>
    <w:rsid w:val="00BC05C5"/>
    <w:rsid w:val="00BC331B"/>
    <w:rsid w:val="00BC331D"/>
    <w:rsid w:val="00BC3E08"/>
    <w:rsid w:val="00BD17B0"/>
    <w:rsid w:val="00BD21B8"/>
    <w:rsid w:val="00BD3E59"/>
    <w:rsid w:val="00BD4403"/>
    <w:rsid w:val="00BD56B7"/>
    <w:rsid w:val="00BD5A47"/>
    <w:rsid w:val="00BD5FB6"/>
    <w:rsid w:val="00BE2BCC"/>
    <w:rsid w:val="00BE3896"/>
    <w:rsid w:val="00BE424D"/>
    <w:rsid w:val="00BE7068"/>
    <w:rsid w:val="00BE768F"/>
    <w:rsid w:val="00C03192"/>
    <w:rsid w:val="00C10C80"/>
    <w:rsid w:val="00C11CD5"/>
    <w:rsid w:val="00C23E32"/>
    <w:rsid w:val="00C251C4"/>
    <w:rsid w:val="00C266F9"/>
    <w:rsid w:val="00C314C1"/>
    <w:rsid w:val="00C31917"/>
    <w:rsid w:val="00C37B8E"/>
    <w:rsid w:val="00C40571"/>
    <w:rsid w:val="00C40D7F"/>
    <w:rsid w:val="00C41741"/>
    <w:rsid w:val="00C41DD9"/>
    <w:rsid w:val="00C427DA"/>
    <w:rsid w:val="00C42C49"/>
    <w:rsid w:val="00C42FAF"/>
    <w:rsid w:val="00C4585D"/>
    <w:rsid w:val="00C521D9"/>
    <w:rsid w:val="00C568FB"/>
    <w:rsid w:val="00C56D0A"/>
    <w:rsid w:val="00C7063D"/>
    <w:rsid w:val="00C71320"/>
    <w:rsid w:val="00C7255C"/>
    <w:rsid w:val="00C72FDA"/>
    <w:rsid w:val="00C734F1"/>
    <w:rsid w:val="00C73AA7"/>
    <w:rsid w:val="00C73DAB"/>
    <w:rsid w:val="00C85569"/>
    <w:rsid w:val="00C863A3"/>
    <w:rsid w:val="00C864DC"/>
    <w:rsid w:val="00C90075"/>
    <w:rsid w:val="00C915B4"/>
    <w:rsid w:val="00C94C33"/>
    <w:rsid w:val="00C94EEA"/>
    <w:rsid w:val="00CA1722"/>
    <w:rsid w:val="00CA172B"/>
    <w:rsid w:val="00CA452F"/>
    <w:rsid w:val="00CA6098"/>
    <w:rsid w:val="00CA7673"/>
    <w:rsid w:val="00CB1227"/>
    <w:rsid w:val="00CB1255"/>
    <w:rsid w:val="00CB18B1"/>
    <w:rsid w:val="00CB38CA"/>
    <w:rsid w:val="00CB66A2"/>
    <w:rsid w:val="00CB6F2B"/>
    <w:rsid w:val="00CC1067"/>
    <w:rsid w:val="00CC2EC2"/>
    <w:rsid w:val="00CD18B3"/>
    <w:rsid w:val="00CD3324"/>
    <w:rsid w:val="00CD5FBC"/>
    <w:rsid w:val="00CD6162"/>
    <w:rsid w:val="00CE4309"/>
    <w:rsid w:val="00CE6C6E"/>
    <w:rsid w:val="00CF42B9"/>
    <w:rsid w:val="00CF580B"/>
    <w:rsid w:val="00CF7819"/>
    <w:rsid w:val="00D01832"/>
    <w:rsid w:val="00D04527"/>
    <w:rsid w:val="00D21C96"/>
    <w:rsid w:val="00D24404"/>
    <w:rsid w:val="00D30854"/>
    <w:rsid w:val="00D31127"/>
    <w:rsid w:val="00D33134"/>
    <w:rsid w:val="00D366B5"/>
    <w:rsid w:val="00D4052C"/>
    <w:rsid w:val="00D447AC"/>
    <w:rsid w:val="00D4538C"/>
    <w:rsid w:val="00D4539F"/>
    <w:rsid w:val="00D458F0"/>
    <w:rsid w:val="00D472C6"/>
    <w:rsid w:val="00D5079D"/>
    <w:rsid w:val="00D535DF"/>
    <w:rsid w:val="00D54957"/>
    <w:rsid w:val="00D55BD2"/>
    <w:rsid w:val="00D57CA6"/>
    <w:rsid w:val="00D6041B"/>
    <w:rsid w:val="00D60D98"/>
    <w:rsid w:val="00D61018"/>
    <w:rsid w:val="00D6265B"/>
    <w:rsid w:val="00D62C98"/>
    <w:rsid w:val="00D66D12"/>
    <w:rsid w:val="00D72F33"/>
    <w:rsid w:val="00D7707C"/>
    <w:rsid w:val="00D80919"/>
    <w:rsid w:val="00D80B6D"/>
    <w:rsid w:val="00D80CAD"/>
    <w:rsid w:val="00D8513A"/>
    <w:rsid w:val="00D85BBB"/>
    <w:rsid w:val="00D90628"/>
    <w:rsid w:val="00D92D49"/>
    <w:rsid w:val="00D930E7"/>
    <w:rsid w:val="00D93623"/>
    <w:rsid w:val="00D93D7A"/>
    <w:rsid w:val="00D9690A"/>
    <w:rsid w:val="00DA073A"/>
    <w:rsid w:val="00DA08E6"/>
    <w:rsid w:val="00DA244F"/>
    <w:rsid w:val="00DA50BA"/>
    <w:rsid w:val="00DA5330"/>
    <w:rsid w:val="00DA55A8"/>
    <w:rsid w:val="00DA7B87"/>
    <w:rsid w:val="00DB0266"/>
    <w:rsid w:val="00DB0F40"/>
    <w:rsid w:val="00DB63D9"/>
    <w:rsid w:val="00DB7514"/>
    <w:rsid w:val="00DB795C"/>
    <w:rsid w:val="00DB7E77"/>
    <w:rsid w:val="00DC0B27"/>
    <w:rsid w:val="00DC1667"/>
    <w:rsid w:val="00DC25AB"/>
    <w:rsid w:val="00DC2FCA"/>
    <w:rsid w:val="00DC30D0"/>
    <w:rsid w:val="00DC7E88"/>
    <w:rsid w:val="00DD3AB0"/>
    <w:rsid w:val="00DD68B5"/>
    <w:rsid w:val="00DD7FC1"/>
    <w:rsid w:val="00DF0000"/>
    <w:rsid w:val="00DF020C"/>
    <w:rsid w:val="00DF05CC"/>
    <w:rsid w:val="00DF4BD2"/>
    <w:rsid w:val="00DF5A2C"/>
    <w:rsid w:val="00DF7709"/>
    <w:rsid w:val="00DF7D1B"/>
    <w:rsid w:val="00E00DC6"/>
    <w:rsid w:val="00E01A0A"/>
    <w:rsid w:val="00E02B4A"/>
    <w:rsid w:val="00E058A3"/>
    <w:rsid w:val="00E06422"/>
    <w:rsid w:val="00E11439"/>
    <w:rsid w:val="00E151F3"/>
    <w:rsid w:val="00E161C6"/>
    <w:rsid w:val="00E17539"/>
    <w:rsid w:val="00E17D0C"/>
    <w:rsid w:val="00E21CDE"/>
    <w:rsid w:val="00E225BA"/>
    <w:rsid w:val="00E2483C"/>
    <w:rsid w:val="00E26CF0"/>
    <w:rsid w:val="00E30987"/>
    <w:rsid w:val="00E31346"/>
    <w:rsid w:val="00E33BF5"/>
    <w:rsid w:val="00E36C23"/>
    <w:rsid w:val="00E376F8"/>
    <w:rsid w:val="00E40550"/>
    <w:rsid w:val="00E41C99"/>
    <w:rsid w:val="00E423B5"/>
    <w:rsid w:val="00E4313E"/>
    <w:rsid w:val="00E43F59"/>
    <w:rsid w:val="00E448C8"/>
    <w:rsid w:val="00E47FF9"/>
    <w:rsid w:val="00E518BB"/>
    <w:rsid w:val="00E56A60"/>
    <w:rsid w:val="00E57F9B"/>
    <w:rsid w:val="00E6726D"/>
    <w:rsid w:val="00E76043"/>
    <w:rsid w:val="00E77BCA"/>
    <w:rsid w:val="00E81433"/>
    <w:rsid w:val="00E81C95"/>
    <w:rsid w:val="00E8372E"/>
    <w:rsid w:val="00E84B41"/>
    <w:rsid w:val="00E852A3"/>
    <w:rsid w:val="00E93958"/>
    <w:rsid w:val="00E97F20"/>
    <w:rsid w:val="00EA01CC"/>
    <w:rsid w:val="00EA0C1C"/>
    <w:rsid w:val="00EA3819"/>
    <w:rsid w:val="00EA477A"/>
    <w:rsid w:val="00EA4F68"/>
    <w:rsid w:val="00EB1036"/>
    <w:rsid w:val="00EB4746"/>
    <w:rsid w:val="00EB4785"/>
    <w:rsid w:val="00EB48E6"/>
    <w:rsid w:val="00EB716B"/>
    <w:rsid w:val="00EC3BED"/>
    <w:rsid w:val="00EC7BC1"/>
    <w:rsid w:val="00EC7F0E"/>
    <w:rsid w:val="00ED1BBB"/>
    <w:rsid w:val="00ED2D1F"/>
    <w:rsid w:val="00ED47B9"/>
    <w:rsid w:val="00ED58E9"/>
    <w:rsid w:val="00ED6E9C"/>
    <w:rsid w:val="00ED79D6"/>
    <w:rsid w:val="00EE1831"/>
    <w:rsid w:val="00EE3451"/>
    <w:rsid w:val="00EE63BE"/>
    <w:rsid w:val="00EE6922"/>
    <w:rsid w:val="00EF0284"/>
    <w:rsid w:val="00EF18D9"/>
    <w:rsid w:val="00EF1AE7"/>
    <w:rsid w:val="00EF2F7C"/>
    <w:rsid w:val="00EF318B"/>
    <w:rsid w:val="00EF6D8C"/>
    <w:rsid w:val="00F01A8D"/>
    <w:rsid w:val="00F01BFC"/>
    <w:rsid w:val="00F02356"/>
    <w:rsid w:val="00F02D95"/>
    <w:rsid w:val="00F101B3"/>
    <w:rsid w:val="00F10A3C"/>
    <w:rsid w:val="00F13FDA"/>
    <w:rsid w:val="00F14982"/>
    <w:rsid w:val="00F14B6E"/>
    <w:rsid w:val="00F20B64"/>
    <w:rsid w:val="00F20D55"/>
    <w:rsid w:val="00F21D05"/>
    <w:rsid w:val="00F250B8"/>
    <w:rsid w:val="00F253CD"/>
    <w:rsid w:val="00F2598D"/>
    <w:rsid w:val="00F259AE"/>
    <w:rsid w:val="00F30F02"/>
    <w:rsid w:val="00F31B7E"/>
    <w:rsid w:val="00F336A2"/>
    <w:rsid w:val="00F33826"/>
    <w:rsid w:val="00F33D58"/>
    <w:rsid w:val="00F34E7C"/>
    <w:rsid w:val="00F3561E"/>
    <w:rsid w:val="00F36EC6"/>
    <w:rsid w:val="00F4229F"/>
    <w:rsid w:val="00F44AEB"/>
    <w:rsid w:val="00F45620"/>
    <w:rsid w:val="00F46BBD"/>
    <w:rsid w:val="00F479A2"/>
    <w:rsid w:val="00F51B95"/>
    <w:rsid w:val="00F5432C"/>
    <w:rsid w:val="00F5470D"/>
    <w:rsid w:val="00F5611C"/>
    <w:rsid w:val="00F637FB"/>
    <w:rsid w:val="00F640A4"/>
    <w:rsid w:val="00F66B41"/>
    <w:rsid w:val="00F712AB"/>
    <w:rsid w:val="00F77D7D"/>
    <w:rsid w:val="00F80CD0"/>
    <w:rsid w:val="00F82DDB"/>
    <w:rsid w:val="00F838FF"/>
    <w:rsid w:val="00F83CDB"/>
    <w:rsid w:val="00F8771B"/>
    <w:rsid w:val="00F90003"/>
    <w:rsid w:val="00F9173C"/>
    <w:rsid w:val="00F94180"/>
    <w:rsid w:val="00FA04F3"/>
    <w:rsid w:val="00FA1C73"/>
    <w:rsid w:val="00FA69C2"/>
    <w:rsid w:val="00FA6B22"/>
    <w:rsid w:val="00FA6E63"/>
    <w:rsid w:val="00FA73E5"/>
    <w:rsid w:val="00FB18D0"/>
    <w:rsid w:val="00FB2ED6"/>
    <w:rsid w:val="00FB3309"/>
    <w:rsid w:val="00FB53F1"/>
    <w:rsid w:val="00FC0973"/>
    <w:rsid w:val="00FC2216"/>
    <w:rsid w:val="00FC23FE"/>
    <w:rsid w:val="00FC2522"/>
    <w:rsid w:val="00FC309B"/>
    <w:rsid w:val="00FC5B56"/>
    <w:rsid w:val="00FC7D97"/>
    <w:rsid w:val="00FD43E4"/>
    <w:rsid w:val="00FD4B12"/>
    <w:rsid w:val="00FD7195"/>
    <w:rsid w:val="00FD747A"/>
    <w:rsid w:val="00FE10BB"/>
    <w:rsid w:val="00FE3038"/>
    <w:rsid w:val="00FE4313"/>
    <w:rsid w:val="00FE6055"/>
    <w:rsid w:val="00FE619E"/>
    <w:rsid w:val="00FF21FF"/>
    <w:rsid w:val="00FF382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 w:type="character" w:styleId="Zdraznn">
    <w:name w:val="Emphasis"/>
    <w:basedOn w:val="Standardnpsmoodstavce"/>
    <w:uiPriority w:val="20"/>
    <w:qFormat/>
    <w:rsid w:val="0078525A"/>
    <w:rPr>
      <w:i/>
      <w:iCs/>
    </w:rPr>
  </w:style>
  <w:style w:type="character" w:customStyle="1" w:styleId="apple-converted-space">
    <w:name w:val="apple-converted-space"/>
    <w:basedOn w:val="Standardnpsmoodstavce"/>
    <w:rsid w:val="0078525A"/>
  </w:style>
  <w:style w:type="character" w:customStyle="1" w:styleId="Nevyeenzmnka1">
    <w:name w:val="Nevyřešená zmínka1"/>
    <w:basedOn w:val="Standardnpsmoodstavce"/>
    <w:uiPriority w:val="99"/>
    <w:semiHidden/>
    <w:unhideWhenUsed/>
    <w:rsid w:val="00FA6B22"/>
    <w:rPr>
      <w:color w:val="605E5C"/>
      <w:shd w:val="clear" w:color="auto" w:fill="E1DFDD"/>
    </w:rPr>
  </w:style>
  <w:style w:type="paragraph" w:styleId="Revize">
    <w:name w:val="Revision"/>
    <w:hidden/>
    <w:uiPriority w:val="99"/>
    <w:semiHidden/>
    <w:rsid w:val="00EA4F68"/>
    <w:pPr>
      <w:widowControl/>
      <w:autoSpaceDE/>
      <w:autoSpaceDN/>
    </w:pPr>
    <w:rPr>
      <w:rFonts w:ascii="F015TEELig" w:eastAsia="F015TEELig" w:hAnsi="F015TEELig" w:cs="F015TEELig"/>
      <w:lang w:val="cs-CZ" w:eastAsia="cs-CZ" w:bidi="cs-CZ"/>
    </w:rPr>
  </w:style>
  <w:style w:type="character" w:styleId="Siln">
    <w:name w:val="Strong"/>
    <w:basedOn w:val="Standardnpsmoodstavce"/>
    <w:uiPriority w:val="22"/>
    <w:qFormat/>
    <w:rsid w:val="009649D2"/>
    <w:rPr>
      <w:b/>
      <w:bCs/>
    </w:rPr>
  </w:style>
  <w:style w:type="table" w:styleId="Mkatabulky">
    <w:name w:val="Table Grid"/>
    <w:basedOn w:val="Normlntabulka"/>
    <w:uiPriority w:val="39"/>
    <w:rsid w:val="0060397A"/>
    <w:pPr>
      <w:widowControl/>
      <w:autoSpaceDE/>
      <w:autoSpaceDN/>
    </w:pPr>
    <w:rPr>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7D32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36460">
      <w:bodyDiv w:val="1"/>
      <w:marLeft w:val="0"/>
      <w:marRight w:val="0"/>
      <w:marTop w:val="0"/>
      <w:marBottom w:val="0"/>
      <w:divBdr>
        <w:top w:val="none" w:sz="0" w:space="0" w:color="auto"/>
        <w:left w:val="none" w:sz="0" w:space="0" w:color="auto"/>
        <w:bottom w:val="none" w:sz="0" w:space="0" w:color="auto"/>
        <w:right w:val="none" w:sz="0" w:space="0" w:color="auto"/>
      </w:divBdr>
    </w:div>
    <w:div w:id="104665014">
      <w:bodyDiv w:val="1"/>
      <w:marLeft w:val="0"/>
      <w:marRight w:val="0"/>
      <w:marTop w:val="0"/>
      <w:marBottom w:val="0"/>
      <w:divBdr>
        <w:top w:val="none" w:sz="0" w:space="0" w:color="auto"/>
        <w:left w:val="none" w:sz="0" w:space="0" w:color="auto"/>
        <w:bottom w:val="none" w:sz="0" w:space="0" w:color="auto"/>
        <w:right w:val="none" w:sz="0" w:space="0" w:color="auto"/>
      </w:divBdr>
    </w:div>
    <w:div w:id="111561255">
      <w:bodyDiv w:val="1"/>
      <w:marLeft w:val="0"/>
      <w:marRight w:val="0"/>
      <w:marTop w:val="0"/>
      <w:marBottom w:val="0"/>
      <w:divBdr>
        <w:top w:val="none" w:sz="0" w:space="0" w:color="auto"/>
        <w:left w:val="none" w:sz="0" w:space="0" w:color="auto"/>
        <w:bottom w:val="none" w:sz="0" w:space="0" w:color="auto"/>
        <w:right w:val="none" w:sz="0" w:space="0" w:color="auto"/>
      </w:divBdr>
    </w:div>
    <w:div w:id="134376578">
      <w:bodyDiv w:val="1"/>
      <w:marLeft w:val="0"/>
      <w:marRight w:val="0"/>
      <w:marTop w:val="0"/>
      <w:marBottom w:val="0"/>
      <w:divBdr>
        <w:top w:val="none" w:sz="0" w:space="0" w:color="auto"/>
        <w:left w:val="none" w:sz="0" w:space="0" w:color="auto"/>
        <w:bottom w:val="none" w:sz="0" w:space="0" w:color="auto"/>
        <w:right w:val="none" w:sz="0" w:space="0" w:color="auto"/>
      </w:divBdr>
    </w:div>
    <w:div w:id="218975976">
      <w:bodyDiv w:val="1"/>
      <w:marLeft w:val="0"/>
      <w:marRight w:val="0"/>
      <w:marTop w:val="0"/>
      <w:marBottom w:val="0"/>
      <w:divBdr>
        <w:top w:val="none" w:sz="0" w:space="0" w:color="auto"/>
        <w:left w:val="none" w:sz="0" w:space="0" w:color="auto"/>
        <w:bottom w:val="none" w:sz="0" w:space="0" w:color="auto"/>
        <w:right w:val="none" w:sz="0" w:space="0" w:color="auto"/>
      </w:divBdr>
    </w:div>
    <w:div w:id="229585307">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262307797">
      <w:bodyDiv w:val="1"/>
      <w:marLeft w:val="0"/>
      <w:marRight w:val="0"/>
      <w:marTop w:val="0"/>
      <w:marBottom w:val="0"/>
      <w:divBdr>
        <w:top w:val="none" w:sz="0" w:space="0" w:color="auto"/>
        <w:left w:val="none" w:sz="0" w:space="0" w:color="auto"/>
        <w:bottom w:val="none" w:sz="0" w:space="0" w:color="auto"/>
        <w:right w:val="none" w:sz="0" w:space="0" w:color="auto"/>
      </w:divBdr>
    </w:div>
    <w:div w:id="496388250">
      <w:bodyDiv w:val="1"/>
      <w:marLeft w:val="0"/>
      <w:marRight w:val="0"/>
      <w:marTop w:val="0"/>
      <w:marBottom w:val="0"/>
      <w:divBdr>
        <w:top w:val="none" w:sz="0" w:space="0" w:color="auto"/>
        <w:left w:val="none" w:sz="0" w:space="0" w:color="auto"/>
        <w:bottom w:val="none" w:sz="0" w:space="0" w:color="auto"/>
        <w:right w:val="none" w:sz="0" w:space="0" w:color="auto"/>
      </w:divBdr>
    </w:div>
    <w:div w:id="521670953">
      <w:bodyDiv w:val="1"/>
      <w:marLeft w:val="0"/>
      <w:marRight w:val="0"/>
      <w:marTop w:val="0"/>
      <w:marBottom w:val="0"/>
      <w:divBdr>
        <w:top w:val="none" w:sz="0" w:space="0" w:color="auto"/>
        <w:left w:val="none" w:sz="0" w:space="0" w:color="auto"/>
        <w:bottom w:val="none" w:sz="0" w:space="0" w:color="auto"/>
        <w:right w:val="none" w:sz="0" w:space="0" w:color="auto"/>
      </w:divBdr>
    </w:div>
    <w:div w:id="712386259">
      <w:bodyDiv w:val="1"/>
      <w:marLeft w:val="0"/>
      <w:marRight w:val="0"/>
      <w:marTop w:val="0"/>
      <w:marBottom w:val="0"/>
      <w:divBdr>
        <w:top w:val="none" w:sz="0" w:space="0" w:color="auto"/>
        <w:left w:val="none" w:sz="0" w:space="0" w:color="auto"/>
        <w:bottom w:val="none" w:sz="0" w:space="0" w:color="auto"/>
        <w:right w:val="none" w:sz="0" w:space="0" w:color="auto"/>
      </w:divBdr>
    </w:div>
    <w:div w:id="727850146">
      <w:bodyDiv w:val="1"/>
      <w:marLeft w:val="0"/>
      <w:marRight w:val="0"/>
      <w:marTop w:val="0"/>
      <w:marBottom w:val="0"/>
      <w:divBdr>
        <w:top w:val="none" w:sz="0" w:space="0" w:color="auto"/>
        <w:left w:val="none" w:sz="0" w:space="0" w:color="auto"/>
        <w:bottom w:val="none" w:sz="0" w:space="0" w:color="auto"/>
        <w:right w:val="none" w:sz="0" w:space="0" w:color="auto"/>
      </w:divBdr>
    </w:div>
    <w:div w:id="768620487">
      <w:bodyDiv w:val="1"/>
      <w:marLeft w:val="0"/>
      <w:marRight w:val="0"/>
      <w:marTop w:val="0"/>
      <w:marBottom w:val="0"/>
      <w:divBdr>
        <w:top w:val="none" w:sz="0" w:space="0" w:color="auto"/>
        <w:left w:val="none" w:sz="0" w:space="0" w:color="auto"/>
        <w:bottom w:val="none" w:sz="0" w:space="0" w:color="auto"/>
        <w:right w:val="none" w:sz="0" w:space="0" w:color="auto"/>
      </w:divBdr>
    </w:div>
    <w:div w:id="839541219">
      <w:bodyDiv w:val="1"/>
      <w:marLeft w:val="0"/>
      <w:marRight w:val="0"/>
      <w:marTop w:val="0"/>
      <w:marBottom w:val="0"/>
      <w:divBdr>
        <w:top w:val="none" w:sz="0" w:space="0" w:color="auto"/>
        <w:left w:val="none" w:sz="0" w:space="0" w:color="auto"/>
        <w:bottom w:val="none" w:sz="0" w:space="0" w:color="auto"/>
        <w:right w:val="none" w:sz="0" w:space="0" w:color="auto"/>
      </w:divBdr>
    </w:div>
    <w:div w:id="996148203">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120759940">
      <w:bodyDiv w:val="1"/>
      <w:marLeft w:val="0"/>
      <w:marRight w:val="0"/>
      <w:marTop w:val="0"/>
      <w:marBottom w:val="0"/>
      <w:divBdr>
        <w:top w:val="none" w:sz="0" w:space="0" w:color="auto"/>
        <w:left w:val="none" w:sz="0" w:space="0" w:color="auto"/>
        <w:bottom w:val="none" w:sz="0" w:space="0" w:color="auto"/>
        <w:right w:val="none" w:sz="0" w:space="0" w:color="auto"/>
      </w:divBdr>
    </w:div>
    <w:div w:id="1142887116">
      <w:bodyDiv w:val="1"/>
      <w:marLeft w:val="0"/>
      <w:marRight w:val="0"/>
      <w:marTop w:val="0"/>
      <w:marBottom w:val="0"/>
      <w:divBdr>
        <w:top w:val="none" w:sz="0" w:space="0" w:color="auto"/>
        <w:left w:val="none" w:sz="0" w:space="0" w:color="auto"/>
        <w:bottom w:val="none" w:sz="0" w:space="0" w:color="auto"/>
        <w:right w:val="none" w:sz="0" w:space="0" w:color="auto"/>
      </w:divBdr>
    </w:div>
    <w:div w:id="1165975158">
      <w:bodyDiv w:val="1"/>
      <w:marLeft w:val="0"/>
      <w:marRight w:val="0"/>
      <w:marTop w:val="0"/>
      <w:marBottom w:val="0"/>
      <w:divBdr>
        <w:top w:val="none" w:sz="0" w:space="0" w:color="auto"/>
        <w:left w:val="none" w:sz="0" w:space="0" w:color="auto"/>
        <w:bottom w:val="none" w:sz="0" w:space="0" w:color="auto"/>
        <w:right w:val="none" w:sz="0" w:space="0" w:color="auto"/>
      </w:divBdr>
    </w:div>
    <w:div w:id="1211453985">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258439728">
      <w:bodyDiv w:val="1"/>
      <w:marLeft w:val="0"/>
      <w:marRight w:val="0"/>
      <w:marTop w:val="0"/>
      <w:marBottom w:val="0"/>
      <w:divBdr>
        <w:top w:val="none" w:sz="0" w:space="0" w:color="auto"/>
        <w:left w:val="none" w:sz="0" w:space="0" w:color="auto"/>
        <w:bottom w:val="none" w:sz="0" w:space="0" w:color="auto"/>
        <w:right w:val="none" w:sz="0" w:space="0" w:color="auto"/>
      </w:divBdr>
    </w:div>
    <w:div w:id="1321469928">
      <w:bodyDiv w:val="1"/>
      <w:marLeft w:val="0"/>
      <w:marRight w:val="0"/>
      <w:marTop w:val="0"/>
      <w:marBottom w:val="0"/>
      <w:divBdr>
        <w:top w:val="none" w:sz="0" w:space="0" w:color="auto"/>
        <w:left w:val="none" w:sz="0" w:space="0" w:color="auto"/>
        <w:bottom w:val="none" w:sz="0" w:space="0" w:color="auto"/>
        <w:right w:val="none" w:sz="0" w:space="0" w:color="auto"/>
      </w:divBdr>
    </w:div>
    <w:div w:id="1328364310">
      <w:bodyDiv w:val="1"/>
      <w:marLeft w:val="0"/>
      <w:marRight w:val="0"/>
      <w:marTop w:val="0"/>
      <w:marBottom w:val="0"/>
      <w:divBdr>
        <w:top w:val="none" w:sz="0" w:space="0" w:color="auto"/>
        <w:left w:val="none" w:sz="0" w:space="0" w:color="auto"/>
        <w:bottom w:val="none" w:sz="0" w:space="0" w:color="auto"/>
        <w:right w:val="none" w:sz="0" w:space="0" w:color="auto"/>
      </w:divBdr>
    </w:div>
    <w:div w:id="1398286368">
      <w:bodyDiv w:val="1"/>
      <w:marLeft w:val="0"/>
      <w:marRight w:val="0"/>
      <w:marTop w:val="0"/>
      <w:marBottom w:val="0"/>
      <w:divBdr>
        <w:top w:val="none" w:sz="0" w:space="0" w:color="auto"/>
        <w:left w:val="none" w:sz="0" w:space="0" w:color="auto"/>
        <w:bottom w:val="none" w:sz="0" w:space="0" w:color="auto"/>
        <w:right w:val="none" w:sz="0" w:space="0" w:color="auto"/>
      </w:divBdr>
    </w:div>
    <w:div w:id="1470827945">
      <w:bodyDiv w:val="1"/>
      <w:marLeft w:val="0"/>
      <w:marRight w:val="0"/>
      <w:marTop w:val="0"/>
      <w:marBottom w:val="0"/>
      <w:divBdr>
        <w:top w:val="none" w:sz="0" w:space="0" w:color="auto"/>
        <w:left w:val="none" w:sz="0" w:space="0" w:color="auto"/>
        <w:bottom w:val="none" w:sz="0" w:space="0" w:color="auto"/>
        <w:right w:val="none" w:sz="0" w:space="0" w:color="auto"/>
      </w:divBdr>
    </w:div>
    <w:div w:id="1506087631">
      <w:bodyDiv w:val="1"/>
      <w:marLeft w:val="0"/>
      <w:marRight w:val="0"/>
      <w:marTop w:val="0"/>
      <w:marBottom w:val="0"/>
      <w:divBdr>
        <w:top w:val="none" w:sz="0" w:space="0" w:color="auto"/>
        <w:left w:val="none" w:sz="0" w:space="0" w:color="auto"/>
        <w:bottom w:val="none" w:sz="0" w:space="0" w:color="auto"/>
        <w:right w:val="none" w:sz="0" w:space="0" w:color="auto"/>
      </w:divBdr>
    </w:div>
    <w:div w:id="1507399407">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542743599">
      <w:bodyDiv w:val="1"/>
      <w:marLeft w:val="0"/>
      <w:marRight w:val="0"/>
      <w:marTop w:val="0"/>
      <w:marBottom w:val="0"/>
      <w:divBdr>
        <w:top w:val="none" w:sz="0" w:space="0" w:color="auto"/>
        <w:left w:val="none" w:sz="0" w:space="0" w:color="auto"/>
        <w:bottom w:val="none" w:sz="0" w:space="0" w:color="auto"/>
        <w:right w:val="none" w:sz="0" w:space="0" w:color="auto"/>
      </w:divBdr>
    </w:div>
    <w:div w:id="1548906999">
      <w:bodyDiv w:val="1"/>
      <w:marLeft w:val="0"/>
      <w:marRight w:val="0"/>
      <w:marTop w:val="0"/>
      <w:marBottom w:val="0"/>
      <w:divBdr>
        <w:top w:val="none" w:sz="0" w:space="0" w:color="auto"/>
        <w:left w:val="none" w:sz="0" w:space="0" w:color="auto"/>
        <w:bottom w:val="none" w:sz="0" w:space="0" w:color="auto"/>
        <w:right w:val="none" w:sz="0" w:space="0" w:color="auto"/>
      </w:divBdr>
    </w:div>
    <w:div w:id="1569268482">
      <w:bodyDiv w:val="1"/>
      <w:marLeft w:val="0"/>
      <w:marRight w:val="0"/>
      <w:marTop w:val="0"/>
      <w:marBottom w:val="0"/>
      <w:divBdr>
        <w:top w:val="none" w:sz="0" w:space="0" w:color="auto"/>
        <w:left w:val="none" w:sz="0" w:space="0" w:color="auto"/>
        <w:bottom w:val="none" w:sz="0" w:space="0" w:color="auto"/>
        <w:right w:val="none" w:sz="0" w:space="0" w:color="auto"/>
      </w:divBdr>
    </w:div>
    <w:div w:id="1627811939">
      <w:bodyDiv w:val="1"/>
      <w:marLeft w:val="0"/>
      <w:marRight w:val="0"/>
      <w:marTop w:val="0"/>
      <w:marBottom w:val="0"/>
      <w:divBdr>
        <w:top w:val="none" w:sz="0" w:space="0" w:color="auto"/>
        <w:left w:val="none" w:sz="0" w:space="0" w:color="auto"/>
        <w:bottom w:val="none" w:sz="0" w:space="0" w:color="auto"/>
        <w:right w:val="none" w:sz="0" w:space="0" w:color="auto"/>
      </w:divBdr>
    </w:div>
    <w:div w:id="1638217657">
      <w:bodyDiv w:val="1"/>
      <w:marLeft w:val="0"/>
      <w:marRight w:val="0"/>
      <w:marTop w:val="0"/>
      <w:marBottom w:val="0"/>
      <w:divBdr>
        <w:top w:val="none" w:sz="0" w:space="0" w:color="auto"/>
        <w:left w:val="none" w:sz="0" w:space="0" w:color="auto"/>
        <w:bottom w:val="none" w:sz="0" w:space="0" w:color="auto"/>
        <w:right w:val="none" w:sz="0" w:space="0" w:color="auto"/>
      </w:divBdr>
    </w:div>
    <w:div w:id="1814322425">
      <w:bodyDiv w:val="1"/>
      <w:marLeft w:val="0"/>
      <w:marRight w:val="0"/>
      <w:marTop w:val="0"/>
      <w:marBottom w:val="0"/>
      <w:divBdr>
        <w:top w:val="none" w:sz="0" w:space="0" w:color="auto"/>
        <w:left w:val="none" w:sz="0" w:space="0" w:color="auto"/>
        <w:bottom w:val="none" w:sz="0" w:space="0" w:color="auto"/>
        <w:right w:val="none" w:sz="0" w:space="0" w:color="auto"/>
      </w:divBdr>
    </w:div>
    <w:div w:id="1931617940">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Broker.Consulting/" TargetMode="External"/><Relationship Id="rId18" Type="http://schemas.openxmlformats.org/officeDocument/2006/relationships/footer" Target="footer1.xml"/><Relationship Id="rId26" Type="http://schemas.openxmlformats.org/officeDocument/2006/relationships/hyperlink" Target="https://www.bcas.cz/o-nas/broker-consulting-index-spotrebitelskych-uveru/"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realityspolu.cz" TargetMode="External"/><Relationship Id="rId17" Type="http://schemas.openxmlformats.org/officeDocument/2006/relationships/header" Target="header1.xml"/><Relationship Id="rId25"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hyperlink" Target="https://www.linkedin.com/company/10668151/"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kpoint.tv"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facebook.com/okpointy/" TargetMode="Externa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yperlink" Target="http://okpointy.cz"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bcas.cz" TargetMode="External"/><Relationship Id="rId14" Type="http://schemas.openxmlformats.org/officeDocument/2006/relationships/hyperlink" Target="https://www.linkedin.com/company/786541/" TargetMode="External"/><Relationship Id="rId22" Type="http://schemas.openxmlformats.org/officeDocument/2006/relationships/footer" Target="footer3.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0C209-3607-4219-A023-2E0597BCD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3</Pages>
  <Words>951</Words>
  <Characters>5611</Characters>
  <Application>Microsoft Office Word</Application>
  <DocSecurity>0</DocSecurity>
  <Lines>46</Lines>
  <Paragraphs>13</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6549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Michaela Sahulová</cp:lastModifiedBy>
  <cp:revision>4</cp:revision>
  <dcterms:created xsi:type="dcterms:W3CDTF">2024-02-29T13:30:00Z</dcterms:created>
  <dcterms:modified xsi:type="dcterms:W3CDTF">2024-03-04T12:11:00Z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