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013F3" w14:textId="520E89B2" w:rsidR="00D31127" w:rsidRPr="00EC23B6" w:rsidRDefault="00D31127" w:rsidP="0025264B">
      <w:pPr>
        <w:rPr>
          <w:rFonts w:ascii="Arial" w:hAnsi="Arial" w:cs="Arial"/>
          <w:b/>
          <w:sz w:val="20"/>
          <w:szCs w:val="20"/>
        </w:rPr>
        <w:sectPr w:rsidR="00D31127" w:rsidRPr="00EC23B6" w:rsidSect="00D80B6D">
          <w:headerReference w:type="default" r:id="rId8"/>
          <w:footerReference w:type="default" r:id="rId9"/>
          <w:headerReference w:type="first" r:id="rId10"/>
          <w:footerReference w:type="first" r:id="rId11"/>
          <w:pgSz w:w="11910" w:h="16840"/>
          <w:pgMar w:top="1418" w:right="740" w:bottom="420" w:left="720" w:header="340" w:footer="223" w:gutter="0"/>
          <w:pgNumType w:start="0"/>
          <w:cols w:space="708"/>
          <w:titlePg/>
          <w:docGrid w:linePitch="299"/>
        </w:sectPr>
      </w:pPr>
    </w:p>
    <w:p w14:paraId="2B0B0AA9" w14:textId="68501085" w:rsidR="003F061B" w:rsidRPr="00264CD2" w:rsidRDefault="00956FDD" w:rsidP="00956FDD">
      <w:pPr>
        <w:tabs>
          <w:tab w:val="left" w:pos="2077"/>
        </w:tabs>
        <w:rPr>
          <w:rFonts w:ascii="Arial" w:hAnsi="Arial" w:cs="Arial"/>
          <w:b/>
          <w:sz w:val="28"/>
          <w:szCs w:val="28"/>
        </w:rPr>
      </w:pPr>
      <w:r w:rsidRPr="00264CD2">
        <w:rPr>
          <w:rFonts w:ascii="Arial" w:hAnsi="Arial" w:cs="Arial"/>
          <w:b/>
          <w:sz w:val="28"/>
          <w:szCs w:val="28"/>
        </w:rPr>
        <w:tab/>
      </w:r>
    </w:p>
    <w:p w14:paraId="3F006940" w14:textId="77777777" w:rsidR="00956FDD" w:rsidRPr="00264CD2" w:rsidRDefault="00956FDD" w:rsidP="00956FDD">
      <w:pPr>
        <w:jc w:val="center"/>
        <w:rPr>
          <w:rFonts w:ascii="Arial" w:hAnsi="Arial" w:cs="Arial"/>
          <w:bCs/>
          <w:sz w:val="20"/>
          <w:szCs w:val="20"/>
        </w:rPr>
      </w:pPr>
    </w:p>
    <w:p w14:paraId="014AB780" w14:textId="1656F758" w:rsidR="00D67A6A" w:rsidRPr="00264CD2" w:rsidRDefault="009129FF" w:rsidP="00D67A6A">
      <w:pPr>
        <w:tabs>
          <w:tab w:val="left" w:pos="7354"/>
        </w:tabs>
        <w:jc w:val="center"/>
        <w:rPr>
          <w:rFonts w:ascii="Arial" w:hAnsi="Arial" w:cs="Arial"/>
          <w:b/>
          <w:sz w:val="32"/>
        </w:rPr>
      </w:pPr>
      <w:r w:rsidRPr="00264CD2">
        <w:rPr>
          <w:rFonts w:ascii="Arial" w:hAnsi="Arial" w:cs="Arial"/>
          <w:b/>
          <w:sz w:val="32"/>
        </w:rPr>
        <w:t>B</w:t>
      </w:r>
      <w:r w:rsidR="00D67A6A" w:rsidRPr="00264CD2">
        <w:rPr>
          <w:rFonts w:ascii="Arial" w:hAnsi="Arial" w:cs="Arial"/>
          <w:b/>
          <w:sz w:val="32"/>
        </w:rPr>
        <w:t xml:space="preserve">roker Consulting </w:t>
      </w:r>
      <w:r w:rsidR="009E7340" w:rsidRPr="00264CD2">
        <w:rPr>
          <w:rFonts w:ascii="Arial" w:hAnsi="Arial" w:cs="Arial"/>
          <w:b/>
          <w:sz w:val="32"/>
        </w:rPr>
        <w:t xml:space="preserve">hlásí za letošní první pololetí růst </w:t>
      </w:r>
      <w:r w:rsidRPr="00264CD2">
        <w:rPr>
          <w:rFonts w:ascii="Arial" w:hAnsi="Arial" w:cs="Arial"/>
          <w:b/>
          <w:sz w:val="32"/>
        </w:rPr>
        <w:t xml:space="preserve">o 45 procent </w:t>
      </w:r>
    </w:p>
    <w:p w14:paraId="2A6E6538" w14:textId="77777777" w:rsidR="00D67A6A" w:rsidRPr="00264CD2" w:rsidRDefault="00D67A6A" w:rsidP="00D67A6A">
      <w:pPr>
        <w:tabs>
          <w:tab w:val="left" w:pos="7354"/>
        </w:tabs>
        <w:jc w:val="center"/>
        <w:rPr>
          <w:rFonts w:ascii="Arial" w:hAnsi="Arial" w:cs="Arial"/>
          <w:b/>
          <w:sz w:val="32"/>
        </w:rPr>
      </w:pPr>
    </w:p>
    <w:p w14:paraId="682DE644" w14:textId="1D36BE86" w:rsidR="00D67A6A" w:rsidRPr="00264CD2" w:rsidRDefault="00A84A60" w:rsidP="00D67A6A">
      <w:pPr>
        <w:jc w:val="both"/>
        <w:rPr>
          <w:rFonts w:ascii="Arial" w:hAnsi="Arial" w:cs="Arial"/>
          <w:b/>
          <w:sz w:val="24"/>
          <w:szCs w:val="24"/>
        </w:rPr>
      </w:pPr>
      <w:r w:rsidRPr="00264CD2">
        <w:rPr>
          <w:rFonts w:ascii="Arial" w:hAnsi="Arial" w:cs="Arial"/>
          <w:i/>
          <w:iCs/>
          <w:sz w:val="20"/>
          <w:szCs w:val="20"/>
        </w:rPr>
        <w:t xml:space="preserve">Praha, </w:t>
      </w:r>
      <w:r w:rsidR="00DD4530">
        <w:rPr>
          <w:rFonts w:ascii="Arial" w:hAnsi="Arial" w:cs="Arial"/>
          <w:i/>
          <w:iCs/>
          <w:sz w:val="20"/>
          <w:szCs w:val="20"/>
        </w:rPr>
        <w:t>11</w:t>
      </w:r>
      <w:r w:rsidR="009E7340" w:rsidRPr="00264CD2">
        <w:rPr>
          <w:rFonts w:ascii="Arial" w:hAnsi="Arial" w:cs="Arial"/>
          <w:i/>
          <w:iCs/>
          <w:sz w:val="20"/>
          <w:szCs w:val="20"/>
        </w:rPr>
        <w:t>. srpna</w:t>
      </w:r>
      <w:r w:rsidRPr="00264CD2">
        <w:rPr>
          <w:rFonts w:ascii="Arial" w:hAnsi="Arial" w:cs="Arial"/>
          <w:i/>
          <w:iCs/>
          <w:sz w:val="20"/>
          <w:szCs w:val="20"/>
        </w:rPr>
        <w:t xml:space="preserve"> 2021</w:t>
      </w:r>
      <w:r w:rsidRPr="00264CD2">
        <w:rPr>
          <w:rFonts w:ascii="Arial" w:hAnsi="Arial" w:cs="Arial"/>
          <w:sz w:val="20"/>
          <w:szCs w:val="20"/>
        </w:rPr>
        <w:t xml:space="preserve"> </w:t>
      </w:r>
      <w:r w:rsidR="00D67A6A" w:rsidRPr="00264CD2">
        <w:rPr>
          <w:rFonts w:ascii="Arial" w:hAnsi="Arial" w:cs="Arial"/>
          <w:b/>
          <w:sz w:val="20"/>
          <w:szCs w:val="20"/>
        </w:rPr>
        <w:t>–</w:t>
      </w:r>
      <w:r w:rsidRPr="00264CD2">
        <w:rPr>
          <w:rFonts w:ascii="Arial" w:hAnsi="Arial" w:cs="Arial"/>
          <w:b/>
          <w:sz w:val="20"/>
          <w:szCs w:val="20"/>
        </w:rPr>
        <w:t xml:space="preserve"> </w:t>
      </w:r>
      <w:r w:rsidR="00A861F6" w:rsidRPr="00264CD2">
        <w:rPr>
          <w:rFonts w:ascii="Arial" w:hAnsi="Arial" w:cs="Arial"/>
          <w:b/>
          <w:sz w:val="20"/>
          <w:szCs w:val="20"/>
        </w:rPr>
        <w:t>Poradenská s</w:t>
      </w:r>
      <w:r w:rsidR="00AC149A" w:rsidRPr="00264CD2">
        <w:rPr>
          <w:rFonts w:ascii="Arial" w:hAnsi="Arial" w:cs="Arial"/>
          <w:b/>
          <w:sz w:val="20"/>
          <w:szCs w:val="20"/>
        </w:rPr>
        <w:t>polečnost</w:t>
      </w:r>
      <w:r w:rsidR="00D67A6A" w:rsidRPr="00264CD2">
        <w:rPr>
          <w:rFonts w:ascii="Arial" w:hAnsi="Arial" w:cs="Arial"/>
          <w:b/>
          <w:sz w:val="20"/>
          <w:szCs w:val="20"/>
        </w:rPr>
        <w:t xml:space="preserve"> </w:t>
      </w:r>
      <w:r w:rsidR="003D7A48">
        <w:rPr>
          <w:rFonts w:ascii="Arial" w:hAnsi="Arial" w:cs="Arial"/>
          <w:b/>
          <w:sz w:val="20"/>
          <w:szCs w:val="20"/>
        </w:rPr>
        <w:t>Broker Consulting, a.s.</w:t>
      </w:r>
      <w:r w:rsidR="003D7A48" w:rsidRPr="003D7A48">
        <w:rPr>
          <w:rFonts w:ascii="Arial" w:hAnsi="Arial" w:cs="Arial"/>
          <w:b/>
          <w:sz w:val="20"/>
          <w:szCs w:val="20"/>
        </w:rPr>
        <w:t xml:space="preserve"> </w:t>
      </w:r>
      <w:r w:rsidR="009E7340" w:rsidRPr="00264CD2">
        <w:rPr>
          <w:rFonts w:ascii="Arial" w:hAnsi="Arial" w:cs="Arial"/>
          <w:b/>
          <w:sz w:val="20"/>
          <w:szCs w:val="20"/>
        </w:rPr>
        <w:t>pro</w:t>
      </w:r>
      <w:r w:rsidR="00AC149A" w:rsidRPr="00264CD2">
        <w:rPr>
          <w:rFonts w:ascii="Arial" w:hAnsi="Arial" w:cs="Arial"/>
          <w:b/>
          <w:sz w:val="20"/>
          <w:szCs w:val="20"/>
        </w:rPr>
        <w:t>poju</w:t>
      </w:r>
      <w:r w:rsidR="009E77B4" w:rsidRPr="00264CD2">
        <w:rPr>
          <w:rFonts w:ascii="Arial" w:hAnsi="Arial" w:cs="Arial"/>
          <w:b/>
          <w:sz w:val="20"/>
          <w:szCs w:val="20"/>
        </w:rPr>
        <w:t>jící finanční a realitní služby</w:t>
      </w:r>
      <w:r w:rsidR="00AC149A" w:rsidRPr="00264CD2">
        <w:rPr>
          <w:rFonts w:ascii="Arial" w:hAnsi="Arial" w:cs="Arial"/>
          <w:b/>
          <w:sz w:val="20"/>
          <w:szCs w:val="20"/>
        </w:rPr>
        <w:t xml:space="preserve"> </w:t>
      </w:r>
      <w:r w:rsidR="003D22A4" w:rsidRPr="00264CD2">
        <w:rPr>
          <w:rFonts w:ascii="Arial" w:hAnsi="Arial" w:cs="Arial"/>
          <w:b/>
          <w:sz w:val="20"/>
          <w:szCs w:val="20"/>
        </w:rPr>
        <w:t xml:space="preserve">dosáhla </w:t>
      </w:r>
      <w:r w:rsidR="00A10E52" w:rsidRPr="00264CD2">
        <w:rPr>
          <w:rFonts w:ascii="Arial" w:hAnsi="Arial" w:cs="Arial"/>
          <w:b/>
          <w:sz w:val="20"/>
          <w:szCs w:val="20"/>
        </w:rPr>
        <w:t xml:space="preserve">v Česku </w:t>
      </w:r>
      <w:r w:rsidR="003D22A4" w:rsidRPr="00264CD2">
        <w:rPr>
          <w:rFonts w:ascii="Arial" w:hAnsi="Arial" w:cs="Arial"/>
          <w:b/>
          <w:sz w:val="20"/>
          <w:szCs w:val="20"/>
        </w:rPr>
        <w:t>za první</w:t>
      </w:r>
      <w:r w:rsidR="00D67A6A" w:rsidRPr="00264CD2">
        <w:rPr>
          <w:rFonts w:ascii="Arial" w:hAnsi="Arial" w:cs="Arial"/>
          <w:b/>
          <w:sz w:val="20"/>
          <w:szCs w:val="20"/>
        </w:rPr>
        <w:t xml:space="preserve"> pololetí</w:t>
      </w:r>
      <w:r w:rsidR="00E843EC" w:rsidRPr="00264CD2">
        <w:rPr>
          <w:rFonts w:ascii="Arial" w:hAnsi="Arial" w:cs="Arial"/>
          <w:b/>
          <w:sz w:val="20"/>
          <w:szCs w:val="20"/>
        </w:rPr>
        <w:t xml:space="preserve"> letošního roku </w:t>
      </w:r>
      <w:r w:rsidR="00D67A6A" w:rsidRPr="00264CD2">
        <w:rPr>
          <w:rFonts w:ascii="Arial" w:hAnsi="Arial" w:cs="Arial"/>
          <w:b/>
          <w:sz w:val="20"/>
          <w:szCs w:val="20"/>
        </w:rPr>
        <w:t xml:space="preserve">o </w:t>
      </w:r>
      <w:r w:rsidRPr="00264CD2">
        <w:rPr>
          <w:rFonts w:ascii="Arial" w:hAnsi="Arial" w:cs="Arial"/>
          <w:b/>
          <w:sz w:val="20"/>
          <w:szCs w:val="20"/>
        </w:rPr>
        <w:t>4</w:t>
      </w:r>
      <w:r w:rsidR="00AC149A" w:rsidRPr="00264CD2">
        <w:rPr>
          <w:rFonts w:ascii="Arial" w:hAnsi="Arial" w:cs="Arial"/>
          <w:b/>
          <w:sz w:val="20"/>
          <w:szCs w:val="20"/>
        </w:rPr>
        <w:t>5</w:t>
      </w:r>
      <w:r w:rsidR="00D67A6A" w:rsidRPr="00264CD2">
        <w:rPr>
          <w:rFonts w:ascii="Arial" w:hAnsi="Arial" w:cs="Arial"/>
          <w:b/>
          <w:sz w:val="20"/>
          <w:szCs w:val="20"/>
        </w:rPr>
        <w:t xml:space="preserve"> % </w:t>
      </w:r>
      <w:r w:rsidRPr="00264CD2">
        <w:rPr>
          <w:rFonts w:ascii="Arial" w:hAnsi="Arial" w:cs="Arial"/>
          <w:b/>
          <w:sz w:val="20"/>
          <w:szCs w:val="20"/>
        </w:rPr>
        <w:t xml:space="preserve">vyššího obratu než </w:t>
      </w:r>
      <w:r w:rsidR="00E843EC" w:rsidRPr="00264CD2">
        <w:rPr>
          <w:rFonts w:ascii="Arial" w:hAnsi="Arial" w:cs="Arial"/>
          <w:b/>
          <w:sz w:val="20"/>
          <w:szCs w:val="20"/>
        </w:rPr>
        <w:t>za stejné</w:t>
      </w:r>
      <w:r w:rsidRPr="00264CD2">
        <w:rPr>
          <w:rFonts w:ascii="Arial" w:hAnsi="Arial" w:cs="Arial"/>
          <w:b/>
          <w:sz w:val="20"/>
          <w:szCs w:val="20"/>
        </w:rPr>
        <w:t xml:space="preserve"> období loni. Za prvních šest měsíců si tak připsala </w:t>
      </w:r>
      <w:r w:rsidR="00AC149A" w:rsidRPr="00264CD2">
        <w:rPr>
          <w:rFonts w:ascii="Arial" w:hAnsi="Arial" w:cs="Arial"/>
          <w:b/>
          <w:sz w:val="20"/>
          <w:szCs w:val="20"/>
        </w:rPr>
        <w:t>843</w:t>
      </w:r>
      <w:r w:rsidR="00E843EC" w:rsidRPr="00264CD2">
        <w:rPr>
          <w:rFonts w:ascii="Arial" w:hAnsi="Arial" w:cs="Arial"/>
          <w:b/>
          <w:sz w:val="20"/>
          <w:szCs w:val="20"/>
        </w:rPr>
        <w:t xml:space="preserve"> </w:t>
      </w:r>
      <w:r w:rsidR="008253F5" w:rsidRPr="00264CD2">
        <w:rPr>
          <w:rFonts w:ascii="Arial" w:hAnsi="Arial" w:cs="Arial"/>
          <w:b/>
          <w:sz w:val="20"/>
          <w:szCs w:val="20"/>
        </w:rPr>
        <w:t xml:space="preserve">milionů korun. Na </w:t>
      </w:r>
      <w:r w:rsidRPr="00264CD2">
        <w:rPr>
          <w:rFonts w:ascii="Arial" w:hAnsi="Arial" w:cs="Arial"/>
          <w:b/>
          <w:sz w:val="20"/>
          <w:szCs w:val="20"/>
        </w:rPr>
        <w:t>příznivých výsledcích se zásadní měrou podílel</w:t>
      </w:r>
      <w:r w:rsidR="00A10E52" w:rsidRPr="00264CD2">
        <w:rPr>
          <w:rFonts w:ascii="Arial" w:hAnsi="Arial" w:cs="Arial"/>
          <w:b/>
          <w:sz w:val="20"/>
          <w:szCs w:val="20"/>
        </w:rPr>
        <w:t xml:space="preserve">o právě spojení financí a realit. Objem </w:t>
      </w:r>
      <w:r w:rsidR="00E843EC" w:rsidRPr="00264CD2">
        <w:rPr>
          <w:rFonts w:ascii="Arial" w:hAnsi="Arial" w:cs="Arial"/>
          <w:b/>
          <w:sz w:val="20"/>
          <w:szCs w:val="20"/>
        </w:rPr>
        <w:t>zprostředkov</w:t>
      </w:r>
      <w:r w:rsidR="00A10E52" w:rsidRPr="00264CD2">
        <w:rPr>
          <w:rFonts w:ascii="Arial" w:hAnsi="Arial" w:cs="Arial"/>
          <w:b/>
          <w:sz w:val="20"/>
          <w:szCs w:val="20"/>
        </w:rPr>
        <w:t>a</w:t>
      </w:r>
      <w:r w:rsidR="00E843EC" w:rsidRPr="00264CD2">
        <w:rPr>
          <w:rFonts w:ascii="Arial" w:hAnsi="Arial" w:cs="Arial"/>
          <w:b/>
          <w:sz w:val="20"/>
          <w:szCs w:val="20"/>
        </w:rPr>
        <w:t>n</w:t>
      </w:r>
      <w:r w:rsidR="00A10E52" w:rsidRPr="00264CD2">
        <w:rPr>
          <w:rFonts w:ascii="Arial" w:hAnsi="Arial" w:cs="Arial"/>
          <w:b/>
          <w:sz w:val="20"/>
          <w:szCs w:val="20"/>
        </w:rPr>
        <w:t>ých</w:t>
      </w:r>
      <w:r w:rsidR="00E843EC" w:rsidRPr="00264CD2">
        <w:rPr>
          <w:rFonts w:ascii="Arial" w:hAnsi="Arial" w:cs="Arial"/>
          <w:b/>
          <w:sz w:val="20"/>
          <w:szCs w:val="20"/>
        </w:rPr>
        <w:t xml:space="preserve"> úvěrů</w:t>
      </w:r>
      <w:r w:rsidR="00A10E52" w:rsidRPr="00264CD2">
        <w:rPr>
          <w:rFonts w:ascii="Arial" w:hAnsi="Arial" w:cs="Arial"/>
          <w:b/>
          <w:sz w:val="20"/>
          <w:szCs w:val="20"/>
        </w:rPr>
        <w:t xml:space="preserve"> </w:t>
      </w:r>
      <w:r w:rsidR="00A861F6" w:rsidRPr="00264CD2">
        <w:rPr>
          <w:rFonts w:ascii="Arial" w:hAnsi="Arial" w:cs="Arial"/>
          <w:b/>
          <w:sz w:val="20"/>
          <w:szCs w:val="20"/>
        </w:rPr>
        <w:t xml:space="preserve">meziročně </w:t>
      </w:r>
      <w:r w:rsidR="00A10E52" w:rsidRPr="00264CD2">
        <w:rPr>
          <w:rFonts w:ascii="Arial" w:hAnsi="Arial" w:cs="Arial"/>
          <w:b/>
          <w:sz w:val="20"/>
          <w:szCs w:val="20"/>
        </w:rPr>
        <w:t>vzrostl</w:t>
      </w:r>
      <w:r w:rsidR="00E843EC" w:rsidRPr="00264CD2">
        <w:rPr>
          <w:rFonts w:ascii="Arial" w:hAnsi="Arial" w:cs="Arial"/>
          <w:b/>
          <w:sz w:val="20"/>
          <w:szCs w:val="20"/>
        </w:rPr>
        <w:t xml:space="preserve"> o 93 %, </w:t>
      </w:r>
      <w:r w:rsidR="00A10E52" w:rsidRPr="00264CD2">
        <w:rPr>
          <w:rFonts w:ascii="Arial" w:hAnsi="Arial" w:cs="Arial"/>
          <w:b/>
          <w:sz w:val="20"/>
          <w:szCs w:val="20"/>
        </w:rPr>
        <w:t xml:space="preserve">objem </w:t>
      </w:r>
      <w:r w:rsidR="00E843EC" w:rsidRPr="00264CD2">
        <w:rPr>
          <w:rFonts w:ascii="Arial" w:hAnsi="Arial" w:cs="Arial"/>
          <w:b/>
          <w:sz w:val="20"/>
          <w:szCs w:val="20"/>
        </w:rPr>
        <w:t>realitní</w:t>
      </w:r>
      <w:r w:rsidR="00A10E52" w:rsidRPr="00264CD2">
        <w:rPr>
          <w:rFonts w:ascii="Arial" w:hAnsi="Arial" w:cs="Arial"/>
          <w:b/>
          <w:sz w:val="20"/>
          <w:szCs w:val="20"/>
        </w:rPr>
        <w:t>ch</w:t>
      </w:r>
      <w:r w:rsidR="00E843EC" w:rsidRPr="00264CD2">
        <w:rPr>
          <w:rFonts w:ascii="Arial" w:hAnsi="Arial" w:cs="Arial"/>
          <w:b/>
          <w:sz w:val="20"/>
          <w:szCs w:val="20"/>
        </w:rPr>
        <w:t xml:space="preserve"> transakc</w:t>
      </w:r>
      <w:r w:rsidR="00A10E52" w:rsidRPr="00264CD2">
        <w:rPr>
          <w:rFonts w:ascii="Arial" w:hAnsi="Arial" w:cs="Arial"/>
          <w:b/>
          <w:sz w:val="20"/>
          <w:szCs w:val="20"/>
        </w:rPr>
        <w:t xml:space="preserve">í </w:t>
      </w:r>
      <w:r w:rsidR="00E843EC" w:rsidRPr="00264CD2">
        <w:rPr>
          <w:rFonts w:ascii="Arial" w:hAnsi="Arial" w:cs="Arial"/>
          <w:b/>
          <w:sz w:val="20"/>
          <w:szCs w:val="20"/>
        </w:rPr>
        <w:t xml:space="preserve">o </w:t>
      </w:r>
      <w:r w:rsidR="009129FF" w:rsidRPr="00264CD2">
        <w:rPr>
          <w:rFonts w:ascii="Arial" w:hAnsi="Arial" w:cs="Arial"/>
          <w:b/>
          <w:sz w:val="20"/>
          <w:szCs w:val="20"/>
        </w:rPr>
        <w:t xml:space="preserve">neuvěřitelných </w:t>
      </w:r>
      <w:r w:rsidR="00E843EC" w:rsidRPr="00264CD2">
        <w:rPr>
          <w:rFonts w:ascii="Arial" w:hAnsi="Arial" w:cs="Arial"/>
          <w:b/>
          <w:sz w:val="20"/>
          <w:szCs w:val="20"/>
        </w:rPr>
        <w:t xml:space="preserve">97 %. </w:t>
      </w:r>
      <w:r w:rsidR="00A10E52" w:rsidRPr="00264CD2">
        <w:rPr>
          <w:rFonts w:ascii="Arial" w:hAnsi="Arial" w:cs="Arial"/>
          <w:b/>
          <w:sz w:val="20"/>
          <w:szCs w:val="20"/>
        </w:rPr>
        <w:t xml:space="preserve">Obrat z investičních produktů vzrostl o </w:t>
      </w:r>
      <w:r w:rsidR="00FB1C6A" w:rsidRPr="00264CD2">
        <w:rPr>
          <w:rFonts w:ascii="Arial" w:hAnsi="Arial" w:cs="Arial"/>
          <w:b/>
          <w:sz w:val="20"/>
          <w:szCs w:val="20"/>
        </w:rPr>
        <w:t>30</w:t>
      </w:r>
      <w:r w:rsidR="00A10E52" w:rsidRPr="00264CD2">
        <w:rPr>
          <w:rFonts w:ascii="Arial" w:hAnsi="Arial" w:cs="Arial"/>
          <w:b/>
          <w:sz w:val="20"/>
          <w:szCs w:val="20"/>
        </w:rPr>
        <w:t xml:space="preserve"> %. </w:t>
      </w:r>
      <w:r w:rsidR="009129FF" w:rsidRPr="00264CD2">
        <w:rPr>
          <w:rFonts w:ascii="Arial" w:hAnsi="Arial" w:cs="Arial"/>
          <w:b/>
          <w:sz w:val="20"/>
          <w:szCs w:val="20"/>
        </w:rPr>
        <w:t>Rychle roste i celá š</w:t>
      </w:r>
      <w:r w:rsidR="00AC149A" w:rsidRPr="00264CD2">
        <w:rPr>
          <w:rFonts w:ascii="Arial" w:hAnsi="Arial" w:cs="Arial"/>
          <w:b/>
          <w:sz w:val="20"/>
          <w:szCs w:val="20"/>
        </w:rPr>
        <w:t>irší skupina Broker Consulting</w:t>
      </w:r>
      <w:r w:rsidR="009129FF" w:rsidRPr="00264CD2">
        <w:rPr>
          <w:rFonts w:ascii="Arial" w:hAnsi="Arial" w:cs="Arial"/>
          <w:b/>
          <w:sz w:val="20"/>
          <w:szCs w:val="20"/>
        </w:rPr>
        <w:t>, která</w:t>
      </w:r>
      <w:r w:rsidR="00AC149A" w:rsidRPr="00264CD2">
        <w:rPr>
          <w:rFonts w:ascii="Arial" w:hAnsi="Arial" w:cs="Arial"/>
          <w:b/>
          <w:sz w:val="20"/>
          <w:szCs w:val="20"/>
        </w:rPr>
        <w:t xml:space="preserve"> meziročně posílila o 39 % na </w:t>
      </w:r>
      <w:r w:rsidR="009129FF" w:rsidRPr="00264CD2">
        <w:rPr>
          <w:rFonts w:ascii="Arial" w:hAnsi="Arial" w:cs="Arial"/>
          <w:b/>
          <w:sz w:val="20"/>
          <w:szCs w:val="20"/>
        </w:rPr>
        <w:t xml:space="preserve">obrat </w:t>
      </w:r>
      <w:r w:rsidR="00AC149A" w:rsidRPr="00264CD2">
        <w:rPr>
          <w:rFonts w:ascii="Arial" w:hAnsi="Arial" w:cs="Arial"/>
          <w:b/>
          <w:sz w:val="20"/>
          <w:szCs w:val="20"/>
        </w:rPr>
        <w:t>1,205 m</w:t>
      </w:r>
      <w:r w:rsidR="00A861F6" w:rsidRPr="00264CD2">
        <w:rPr>
          <w:rFonts w:ascii="Arial" w:hAnsi="Arial" w:cs="Arial"/>
          <w:b/>
          <w:sz w:val="20"/>
          <w:szCs w:val="20"/>
        </w:rPr>
        <w:t xml:space="preserve">iliardy </w:t>
      </w:r>
      <w:r w:rsidR="00AC149A" w:rsidRPr="00264CD2">
        <w:rPr>
          <w:rFonts w:ascii="Arial" w:hAnsi="Arial" w:cs="Arial"/>
          <w:b/>
          <w:sz w:val="20"/>
          <w:szCs w:val="20"/>
        </w:rPr>
        <w:t>korun</w:t>
      </w:r>
      <w:r w:rsidR="009129FF" w:rsidRPr="00264CD2">
        <w:rPr>
          <w:rFonts w:ascii="Arial" w:hAnsi="Arial" w:cs="Arial"/>
          <w:b/>
          <w:sz w:val="20"/>
          <w:szCs w:val="20"/>
        </w:rPr>
        <w:t>.</w:t>
      </w:r>
      <w:r w:rsidR="00AC149A" w:rsidRPr="00264CD2">
        <w:rPr>
          <w:rFonts w:ascii="Arial" w:hAnsi="Arial" w:cs="Arial"/>
          <w:b/>
          <w:sz w:val="20"/>
          <w:szCs w:val="20"/>
        </w:rPr>
        <w:t xml:space="preserve"> </w:t>
      </w:r>
    </w:p>
    <w:p w14:paraId="053C3F28" w14:textId="740453D2" w:rsidR="00A84A60" w:rsidRPr="00264CD2" w:rsidRDefault="00A84A60" w:rsidP="00D67A6A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2240CE40" w14:textId="25733255" w:rsidR="00E64177" w:rsidRPr="00264CD2" w:rsidRDefault="003D22A4" w:rsidP="00E64177">
      <w:pPr>
        <w:jc w:val="both"/>
        <w:rPr>
          <w:rFonts w:ascii="Arial" w:hAnsi="Arial" w:cs="Arial"/>
          <w:sz w:val="20"/>
          <w:szCs w:val="20"/>
        </w:rPr>
      </w:pPr>
      <w:r w:rsidRPr="00264CD2">
        <w:rPr>
          <w:rFonts w:ascii="Arial" w:hAnsi="Arial" w:cs="Arial"/>
          <w:i/>
          <w:sz w:val="20"/>
          <w:szCs w:val="20"/>
        </w:rPr>
        <w:t>„</w:t>
      </w:r>
      <w:r w:rsidR="001C5F3E" w:rsidRPr="00264CD2">
        <w:rPr>
          <w:rFonts w:ascii="Arial" w:hAnsi="Arial" w:cs="Arial"/>
          <w:i/>
          <w:sz w:val="20"/>
          <w:szCs w:val="20"/>
        </w:rPr>
        <w:t>Z</w:t>
      </w:r>
      <w:r w:rsidR="009129FF" w:rsidRPr="00264CD2">
        <w:rPr>
          <w:rFonts w:ascii="Arial" w:hAnsi="Arial" w:cs="Arial"/>
          <w:i/>
          <w:sz w:val="20"/>
          <w:szCs w:val="20"/>
        </w:rPr>
        <w:t>a silným</w:t>
      </w:r>
      <w:r w:rsidR="008253F5" w:rsidRPr="00264CD2">
        <w:rPr>
          <w:rFonts w:ascii="Arial" w:hAnsi="Arial" w:cs="Arial"/>
          <w:i/>
          <w:sz w:val="20"/>
          <w:szCs w:val="20"/>
        </w:rPr>
        <w:t xml:space="preserve"> </w:t>
      </w:r>
      <w:r w:rsidR="009129FF" w:rsidRPr="00264CD2">
        <w:rPr>
          <w:rFonts w:ascii="Arial" w:hAnsi="Arial" w:cs="Arial"/>
          <w:i/>
          <w:sz w:val="20"/>
          <w:szCs w:val="20"/>
        </w:rPr>
        <w:t xml:space="preserve">růstem </w:t>
      </w:r>
      <w:r w:rsidR="00A861F6" w:rsidRPr="00264CD2">
        <w:rPr>
          <w:rFonts w:ascii="Arial" w:hAnsi="Arial" w:cs="Arial"/>
          <w:i/>
          <w:sz w:val="20"/>
          <w:szCs w:val="20"/>
        </w:rPr>
        <w:t xml:space="preserve">o </w:t>
      </w:r>
      <w:r w:rsidR="008253F5" w:rsidRPr="00264CD2">
        <w:rPr>
          <w:rFonts w:ascii="Arial" w:hAnsi="Arial" w:cs="Arial"/>
          <w:i/>
          <w:sz w:val="20"/>
          <w:szCs w:val="20"/>
        </w:rPr>
        <w:t>4</w:t>
      </w:r>
      <w:r w:rsidR="009129FF" w:rsidRPr="00264CD2">
        <w:rPr>
          <w:rFonts w:ascii="Arial" w:hAnsi="Arial" w:cs="Arial"/>
          <w:i/>
          <w:sz w:val="20"/>
          <w:szCs w:val="20"/>
        </w:rPr>
        <w:t>5</w:t>
      </w:r>
      <w:r w:rsidR="008253F5" w:rsidRPr="00264CD2">
        <w:rPr>
          <w:rFonts w:ascii="Arial" w:hAnsi="Arial" w:cs="Arial"/>
          <w:i/>
          <w:sz w:val="20"/>
          <w:szCs w:val="20"/>
        </w:rPr>
        <w:t xml:space="preserve"> procent</w:t>
      </w:r>
      <w:r w:rsidR="009129FF" w:rsidRPr="00264CD2">
        <w:rPr>
          <w:rFonts w:ascii="Arial" w:hAnsi="Arial" w:cs="Arial"/>
          <w:i/>
          <w:sz w:val="20"/>
          <w:szCs w:val="20"/>
        </w:rPr>
        <w:t xml:space="preserve"> stojí kvalitní práce </w:t>
      </w:r>
      <w:r w:rsidR="001C5F3E" w:rsidRPr="00264CD2">
        <w:rPr>
          <w:rFonts w:ascii="Arial" w:hAnsi="Arial" w:cs="Arial"/>
          <w:i/>
          <w:sz w:val="20"/>
          <w:szCs w:val="20"/>
        </w:rPr>
        <w:t>naši</w:t>
      </w:r>
      <w:r w:rsidR="009129FF" w:rsidRPr="00264CD2">
        <w:rPr>
          <w:rFonts w:ascii="Arial" w:hAnsi="Arial" w:cs="Arial"/>
          <w:i/>
          <w:sz w:val="20"/>
          <w:szCs w:val="20"/>
        </w:rPr>
        <w:t>ch</w:t>
      </w:r>
      <w:r w:rsidR="008253F5" w:rsidRPr="00264CD2">
        <w:rPr>
          <w:rFonts w:ascii="Arial" w:hAnsi="Arial" w:cs="Arial"/>
          <w:i/>
          <w:sz w:val="20"/>
          <w:szCs w:val="20"/>
        </w:rPr>
        <w:t xml:space="preserve"> konzultantů</w:t>
      </w:r>
      <w:r w:rsidR="009129FF" w:rsidRPr="00264CD2">
        <w:rPr>
          <w:rFonts w:ascii="Arial" w:hAnsi="Arial" w:cs="Arial"/>
          <w:i/>
          <w:sz w:val="20"/>
          <w:szCs w:val="20"/>
        </w:rPr>
        <w:t xml:space="preserve"> i zaměstnanců</w:t>
      </w:r>
      <w:r w:rsidR="008253F5" w:rsidRPr="00264CD2">
        <w:rPr>
          <w:rFonts w:ascii="Arial" w:hAnsi="Arial" w:cs="Arial"/>
          <w:i/>
          <w:sz w:val="20"/>
          <w:szCs w:val="20"/>
        </w:rPr>
        <w:t xml:space="preserve">. </w:t>
      </w:r>
      <w:r w:rsidR="00A10E52" w:rsidRPr="00264CD2">
        <w:rPr>
          <w:rFonts w:ascii="Arial" w:hAnsi="Arial" w:cs="Arial"/>
          <w:i/>
          <w:sz w:val="20"/>
          <w:szCs w:val="20"/>
        </w:rPr>
        <w:t>Pozitivně se p</w:t>
      </w:r>
      <w:r w:rsidR="009129FF" w:rsidRPr="00264CD2">
        <w:rPr>
          <w:rFonts w:ascii="Arial" w:hAnsi="Arial" w:cs="Arial"/>
          <w:i/>
          <w:sz w:val="20"/>
          <w:szCs w:val="20"/>
        </w:rPr>
        <w:t>rojevuje také náš personální růst</w:t>
      </w:r>
      <w:r w:rsidR="00A10E52" w:rsidRPr="00264CD2">
        <w:rPr>
          <w:rFonts w:ascii="Arial" w:hAnsi="Arial" w:cs="Arial"/>
          <w:i/>
          <w:sz w:val="20"/>
          <w:szCs w:val="20"/>
        </w:rPr>
        <w:t xml:space="preserve">. </w:t>
      </w:r>
      <w:r w:rsidR="005266F0" w:rsidRPr="00264CD2">
        <w:rPr>
          <w:rFonts w:ascii="Arial" w:hAnsi="Arial" w:cs="Arial"/>
          <w:i/>
          <w:sz w:val="20"/>
          <w:szCs w:val="20"/>
        </w:rPr>
        <w:t>Od loňského roku nastupuje d</w:t>
      </w:r>
      <w:r w:rsidR="009129FF" w:rsidRPr="00264CD2">
        <w:rPr>
          <w:rFonts w:ascii="Arial" w:hAnsi="Arial" w:cs="Arial"/>
          <w:i/>
          <w:sz w:val="20"/>
          <w:szCs w:val="20"/>
        </w:rPr>
        <w:t xml:space="preserve">o naší společnosti </w:t>
      </w:r>
      <w:r w:rsidR="001F032E" w:rsidRPr="00264CD2">
        <w:rPr>
          <w:rFonts w:ascii="Arial" w:hAnsi="Arial" w:cs="Arial"/>
          <w:i/>
          <w:sz w:val="20"/>
          <w:szCs w:val="20"/>
        </w:rPr>
        <w:t>každý měsíc několik desítek</w:t>
      </w:r>
      <w:r w:rsidR="009129FF" w:rsidRPr="00264CD2">
        <w:rPr>
          <w:rFonts w:ascii="Arial" w:hAnsi="Arial" w:cs="Arial"/>
          <w:i/>
          <w:sz w:val="20"/>
          <w:szCs w:val="20"/>
        </w:rPr>
        <w:t xml:space="preserve"> nových </w:t>
      </w:r>
      <w:r w:rsidR="001F032E" w:rsidRPr="00264CD2">
        <w:rPr>
          <w:rFonts w:ascii="Arial" w:hAnsi="Arial" w:cs="Arial"/>
          <w:i/>
          <w:sz w:val="20"/>
          <w:szCs w:val="20"/>
        </w:rPr>
        <w:t>spolupracovníků. Ti se rekrutují</w:t>
      </w:r>
      <w:r w:rsidR="005266F0" w:rsidRPr="00264CD2">
        <w:rPr>
          <w:rFonts w:ascii="Arial" w:hAnsi="Arial" w:cs="Arial"/>
          <w:i/>
          <w:sz w:val="20"/>
          <w:szCs w:val="20"/>
        </w:rPr>
        <w:t xml:space="preserve"> jak</w:t>
      </w:r>
      <w:r w:rsidR="00264CD2" w:rsidRPr="00264CD2">
        <w:rPr>
          <w:rFonts w:ascii="Arial" w:hAnsi="Arial" w:cs="Arial"/>
          <w:i/>
          <w:sz w:val="20"/>
          <w:szCs w:val="20"/>
        </w:rPr>
        <w:t xml:space="preserve"> řad</w:t>
      </w:r>
      <w:r w:rsidR="001F032E" w:rsidRPr="00264CD2">
        <w:rPr>
          <w:rFonts w:ascii="Arial" w:hAnsi="Arial" w:cs="Arial"/>
          <w:i/>
          <w:sz w:val="20"/>
          <w:szCs w:val="20"/>
        </w:rPr>
        <w:t xml:space="preserve"> </w:t>
      </w:r>
      <w:r w:rsidR="005266F0" w:rsidRPr="00264CD2">
        <w:rPr>
          <w:rFonts w:ascii="Arial" w:hAnsi="Arial" w:cs="Arial"/>
          <w:i/>
          <w:sz w:val="20"/>
          <w:szCs w:val="20"/>
        </w:rPr>
        <w:t>z abso</w:t>
      </w:r>
      <w:r w:rsidR="00264CD2" w:rsidRPr="00264CD2">
        <w:rPr>
          <w:rFonts w:ascii="Arial" w:hAnsi="Arial" w:cs="Arial"/>
          <w:i/>
          <w:sz w:val="20"/>
          <w:szCs w:val="20"/>
        </w:rPr>
        <w:t xml:space="preserve">lventů vysokých škol, tak </w:t>
      </w:r>
      <w:r w:rsidR="005266F0" w:rsidRPr="00264CD2">
        <w:rPr>
          <w:rFonts w:ascii="Arial" w:hAnsi="Arial" w:cs="Arial"/>
          <w:i/>
          <w:sz w:val="20"/>
          <w:szCs w:val="20"/>
        </w:rPr>
        <w:t>zkušených lidí z korporátní sféry</w:t>
      </w:r>
      <w:r w:rsidR="005F60AE" w:rsidRPr="00264CD2">
        <w:rPr>
          <w:rFonts w:ascii="Arial" w:hAnsi="Arial" w:cs="Arial"/>
          <w:i/>
          <w:sz w:val="20"/>
          <w:szCs w:val="20"/>
        </w:rPr>
        <w:t xml:space="preserve"> a</w:t>
      </w:r>
      <w:r w:rsidR="001F032E" w:rsidRPr="00264CD2">
        <w:rPr>
          <w:rFonts w:ascii="Arial" w:hAnsi="Arial" w:cs="Arial"/>
          <w:i/>
          <w:sz w:val="20"/>
          <w:szCs w:val="20"/>
        </w:rPr>
        <w:t xml:space="preserve"> malých firem z jiných oborů. V</w:t>
      </w:r>
      <w:r w:rsidR="008253F5" w:rsidRPr="00264CD2">
        <w:rPr>
          <w:rFonts w:ascii="Arial" w:hAnsi="Arial" w:cs="Arial"/>
          <w:i/>
          <w:sz w:val="20"/>
          <w:szCs w:val="20"/>
        </w:rPr>
        <w:t>šichni</w:t>
      </w:r>
      <w:r w:rsidR="00A10E52" w:rsidRPr="00264CD2">
        <w:rPr>
          <w:rFonts w:ascii="Arial" w:hAnsi="Arial" w:cs="Arial"/>
          <w:i/>
          <w:sz w:val="20"/>
          <w:szCs w:val="20"/>
        </w:rPr>
        <w:t>, včetně našich</w:t>
      </w:r>
      <w:r w:rsidR="005266F0" w:rsidRPr="00264CD2">
        <w:rPr>
          <w:rFonts w:ascii="Arial" w:hAnsi="Arial" w:cs="Arial"/>
          <w:i/>
          <w:sz w:val="20"/>
          <w:szCs w:val="20"/>
        </w:rPr>
        <w:t xml:space="preserve"> franšízantů konceptu OK POINT, </w:t>
      </w:r>
      <w:r w:rsidR="001F032E" w:rsidRPr="00264CD2">
        <w:rPr>
          <w:rFonts w:ascii="Arial" w:hAnsi="Arial" w:cs="Arial"/>
          <w:i/>
          <w:sz w:val="20"/>
          <w:szCs w:val="20"/>
        </w:rPr>
        <w:t xml:space="preserve">jsme </w:t>
      </w:r>
      <w:r w:rsidR="001C5F3E" w:rsidRPr="00264CD2">
        <w:rPr>
          <w:rFonts w:ascii="Arial" w:hAnsi="Arial" w:cs="Arial"/>
          <w:i/>
          <w:sz w:val="20"/>
          <w:szCs w:val="20"/>
        </w:rPr>
        <w:t xml:space="preserve">maximálně </w:t>
      </w:r>
      <w:r w:rsidR="008253F5" w:rsidRPr="00264CD2">
        <w:rPr>
          <w:rFonts w:ascii="Arial" w:hAnsi="Arial" w:cs="Arial"/>
          <w:i/>
          <w:sz w:val="20"/>
          <w:szCs w:val="20"/>
        </w:rPr>
        <w:t xml:space="preserve">napnuli síly, abychom </w:t>
      </w:r>
      <w:r w:rsidR="00264CD2" w:rsidRPr="00264CD2">
        <w:rPr>
          <w:rFonts w:ascii="Arial" w:hAnsi="Arial" w:cs="Arial"/>
          <w:i/>
          <w:sz w:val="20"/>
          <w:szCs w:val="20"/>
        </w:rPr>
        <w:t xml:space="preserve">byli </w:t>
      </w:r>
      <w:r w:rsidR="001F032E" w:rsidRPr="00264CD2">
        <w:rPr>
          <w:rFonts w:ascii="Arial" w:hAnsi="Arial" w:cs="Arial"/>
          <w:i/>
          <w:sz w:val="20"/>
          <w:szCs w:val="20"/>
        </w:rPr>
        <w:t xml:space="preserve">v uplynulém </w:t>
      </w:r>
      <w:r w:rsidR="008253F5" w:rsidRPr="00264CD2">
        <w:rPr>
          <w:rFonts w:ascii="Arial" w:hAnsi="Arial" w:cs="Arial"/>
          <w:i/>
          <w:sz w:val="20"/>
          <w:szCs w:val="20"/>
        </w:rPr>
        <w:t>náročném období</w:t>
      </w:r>
      <w:r w:rsidR="00E64177" w:rsidRPr="00264CD2">
        <w:rPr>
          <w:rFonts w:ascii="Arial" w:hAnsi="Arial" w:cs="Arial"/>
          <w:i/>
          <w:sz w:val="20"/>
          <w:szCs w:val="20"/>
        </w:rPr>
        <w:t xml:space="preserve"> schopni</w:t>
      </w:r>
      <w:r w:rsidR="00650454" w:rsidRPr="00264CD2">
        <w:rPr>
          <w:rFonts w:ascii="Arial" w:hAnsi="Arial" w:cs="Arial"/>
          <w:i/>
          <w:sz w:val="20"/>
          <w:szCs w:val="20"/>
        </w:rPr>
        <w:t xml:space="preserve"> </w:t>
      </w:r>
      <w:r w:rsidR="001C5F3E" w:rsidRPr="00264CD2">
        <w:rPr>
          <w:rFonts w:ascii="Arial" w:hAnsi="Arial" w:cs="Arial"/>
          <w:i/>
          <w:sz w:val="20"/>
          <w:szCs w:val="20"/>
        </w:rPr>
        <w:t xml:space="preserve">pomoci </w:t>
      </w:r>
      <w:r w:rsidR="00650454" w:rsidRPr="00264CD2">
        <w:rPr>
          <w:rFonts w:ascii="Arial" w:hAnsi="Arial" w:cs="Arial"/>
          <w:i/>
          <w:sz w:val="20"/>
          <w:szCs w:val="20"/>
        </w:rPr>
        <w:t>klientům</w:t>
      </w:r>
      <w:r w:rsidR="001C5F3E" w:rsidRPr="00264CD2">
        <w:rPr>
          <w:rFonts w:ascii="Arial" w:hAnsi="Arial" w:cs="Arial"/>
          <w:i/>
          <w:sz w:val="20"/>
          <w:szCs w:val="20"/>
        </w:rPr>
        <w:t xml:space="preserve"> s řešením mnohdy náročných situací</w:t>
      </w:r>
      <w:r w:rsidR="00650454" w:rsidRPr="00264CD2">
        <w:rPr>
          <w:rFonts w:ascii="Arial" w:hAnsi="Arial" w:cs="Arial"/>
          <w:i/>
          <w:sz w:val="20"/>
          <w:szCs w:val="20"/>
        </w:rPr>
        <w:t xml:space="preserve">. </w:t>
      </w:r>
      <w:r w:rsidR="00E64177" w:rsidRPr="00264CD2">
        <w:rPr>
          <w:rFonts w:ascii="Arial" w:hAnsi="Arial" w:cs="Arial"/>
          <w:i/>
          <w:sz w:val="20"/>
          <w:szCs w:val="20"/>
        </w:rPr>
        <w:t xml:space="preserve">Za dobrými výsledky </w:t>
      </w:r>
      <w:r w:rsidR="001F032E" w:rsidRPr="00264CD2">
        <w:rPr>
          <w:rFonts w:ascii="Arial" w:hAnsi="Arial" w:cs="Arial"/>
          <w:i/>
          <w:sz w:val="20"/>
          <w:szCs w:val="20"/>
        </w:rPr>
        <w:t xml:space="preserve">jednoznačně </w:t>
      </w:r>
      <w:r w:rsidR="00E64177" w:rsidRPr="00264CD2">
        <w:rPr>
          <w:rFonts w:ascii="Arial" w:hAnsi="Arial" w:cs="Arial"/>
          <w:i/>
          <w:sz w:val="20"/>
          <w:szCs w:val="20"/>
        </w:rPr>
        <w:t xml:space="preserve">stojí </w:t>
      </w:r>
      <w:r w:rsidR="00264CD2" w:rsidRPr="00264CD2">
        <w:rPr>
          <w:rFonts w:ascii="Arial" w:hAnsi="Arial" w:cs="Arial"/>
          <w:i/>
          <w:sz w:val="20"/>
          <w:szCs w:val="20"/>
        </w:rPr>
        <w:t>i</w:t>
      </w:r>
      <w:r w:rsidR="00E64177" w:rsidRPr="00264CD2">
        <w:rPr>
          <w:rFonts w:ascii="Arial" w:hAnsi="Arial" w:cs="Arial"/>
          <w:i/>
          <w:sz w:val="20"/>
          <w:szCs w:val="20"/>
        </w:rPr>
        <w:t xml:space="preserve"> náš koncept poskytování služeb v oblasti financí a realit na jednom místě, který zůstává na trhu stále unikátní způsobem i rozsahem,“</w:t>
      </w:r>
      <w:r w:rsidR="00E64177" w:rsidRPr="00264CD2">
        <w:rPr>
          <w:rFonts w:ascii="Arial" w:hAnsi="Arial" w:cs="Arial"/>
          <w:sz w:val="20"/>
          <w:szCs w:val="20"/>
        </w:rPr>
        <w:t xml:space="preserve"> komentuje půlroční výsledky firmy její </w:t>
      </w:r>
      <w:r w:rsidR="00E64177" w:rsidRPr="00264CD2">
        <w:rPr>
          <w:rFonts w:ascii="Arial" w:hAnsi="Arial" w:cs="Arial"/>
          <w:b/>
          <w:sz w:val="20"/>
          <w:szCs w:val="20"/>
        </w:rPr>
        <w:t>zakladatel Petr Hrubý</w:t>
      </w:r>
      <w:r w:rsidR="00E64177" w:rsidRPr="00264CD2">
        <w:rPr>
          <w:rFonts w:ascii="Arial" w:hAnsi="Arial" w:cs="Arial"/>
          <w:sz w:val="20"/>
          <w:szCs w:val="20"/>
        </w:rPr>
        <w:t>.</w:t>
      </w:r>
    </w:p>
    <w:p w14:paraId="40F794FF" w14:textId="77777777" w:rsidR="00E843EC" w:rsidRPr="00264CD2" w:rsidRDefault="00E843EC" w:rsidP="003D22A4">
      <w:pPr>
        <w:jc w:val="both"/>
        <w:rPr>
          <w:rFonts w:ascii="Arial" w:hAnsi="Arial" w:cs="Arial"/>
          <w:sz w:val="20"/>
          <w:szCs w:val="20"/>
        </w:rPr>
      </w:pPr>
    </w:p>
    <w:p w14:paraId="43E7AAA3" w14:textId="7EBA2C4D" w:rsidR="00D67A6A" w:rsidRPr="00264CD2" w:rsidRDefault="001F032E" w:rsidP="003D22A4">
      <w:pPr>
        <w:jc w:val="both"/>
        <w:rPr>
          <w:rFonts w:ascii="Arial" w:hAnsi="Arial" w:cs="Arial"/>
          <w:sz w:val="20"/>
          <w:szCs w:val="20"/>
        </w:rPr>
      </w:pPr>
      <w:r w:rsidRPr="00264CD2">
        <w:rPr>
          <w:rFonts w:ascii="Arial" w:hAnsi="Arial" w:cs="Arial"/>
          <w:sz w:val="20"/>
          <w:szCs w:val="20"/>
        </w:rPr>
        <w:t xml:space="preserve">Právě propojení financí a realit se odráží i v růstu objemu zprostředkovaných úvěrů a realitních transakcí. </w:t>
      </w:r>
      <w:r w:rsidR="00D67A6A" w:rsidRPr="00264CD2">
        <w:rPr>
          <w:rFonts w:ascii="Arial" w:hAnsi="Arial" w:cs="Arial"/>
          <w:sz w:val="20"/>
          <w:szCs w:val="20"/>
        </w:rPr>
        <w:t>V</w:t>
      </w:r>
      <w:r w:rsidR="004972CA" w:rsidRPr="00264CD2">
        <w:rPr>
          <w:rFonts w:ascii="Arial" w:hAnsi="Arial" w:cs="Arial"/>
          <w:sz w:val="20"/>
          <w:szCs w:val="20"/>
        </w:rPr>
        <w:t xml:space="preserve"> letošním </w:t>
      </w:r>
      <w:r w:rsidR="00D67A6A" w:rsidRPr="00264CD2">
        <w:rPr>
          <w:rFonts w:ascii="Arial" w:hAnsi="Arial" w:cs="Arial"/>
          <w:sz w:val="20"/>
          <w:szCs w:val="20"/>
        </w:rPr>
        <w:t xml:space="preserve">prvním pololetí zprostředkovala společnost Broker Consulting </w:t>
      </w:r>
      <w:r w:rsidR="004972CA" w:rsidRPr="00264CD2">
        <w:rPr>
          <w:rFonts w:ascii="Arial" w:hAnsi="Arial" w:cs="Arial"/>
          <w:sz w:val="20"/>
          <w:szCs w:val="20"/>
        </w:rPr>
        <w:t xml:space="preserve">svým klientům </w:t>
      </w:r>
      <w:r w:rsidR="00D67A6A" w:rsidRPr="00264CD2">
        <w:rPr>
          <w:rFonts w:ascii="Arial" w:hAnsi="Arial" w:cs="Arial"/>
          <w:sz w:val="20"/>
          <w:szCs w:val="20"/>
        </w:rPr>
        <w:t xml:space="preserve">úvěry v celkové výši 13,1 miliardy korun. Ve srovnání se stejným obdobím </w:t>
      </w:r>
      <w:r w:rsidR="004972CA" w:rsidRPr="00264CD2">
        <w:rPr>
          <w:rFonts w:ascii="Arial" w:hAnsi="Arial" w:cs="Arial"/>
          <w:sz w:val="20"/>
          <w:szCs w:val="20"/>
        </w:rPr>
        <w:t>roku 2020</w:t>
      </w:r>
      <w:r w:rsidR="00D67A6A" w:rsidRPr="00264CD2">
        <w:rPr>
          <w:rFonts w:ascii="Arial" w:hAnsi="Arial" w:cs="Arial"/>
          <w:sz w:val="20"/>
          <w:szCs w:val="20"/>
        </w:rPr>
        <w:t xml:space="preserve"> tak objem úvěrů vzrostl o 93</w:t>
      </w:r>
      <w:r w:rsidR="00FB1C6A" w:rsidRPr="00264CD2">
        <w:rPr>
          <w:rFonts w:ascii="Arial" w:hAnsi="Arial" w:cs="Arial"/>
          <w:sz w:val="20"/>
          <w:szCs w:val="20"/>
        </w:rPr>
        <w:t xml:space="preserve"> </w:t>
      </w:r>
      <w:r w:rsidR="00D67A6A" w:rsidRPr="00264CD2">
        <w:rPr>
          <w:rFonts w:ascii="Arial" w:hAnsi="Arial" w:cs="Arial"/>
          <w:sz w:val="20"/>
          <w:szCs w:val="20"/>
        </w:rPr>
        <w:t xml:space="preserve">%, </w:t>
      </w:r>
      <w:r w:rsidR="006E2E3A" w:rsidRPr="00264CD2">
        <w:rPr>
          <w:rFonts w:ascii="Arial" w:hAnsi="Arial" w:cs="Arial"/>
          <w:sz w:val="20"/>
          <w:szCs w:val="20"/>
        </w:rPr>
        <w:t xml:space="preserve">přičemž u </w:t>
      </w:r>
      <w:r w:rsidR="00D67A6A" w:rsidRPr="00264CD2">
        <w:rPr>
          <w:rFonts w:ascii="Arial" w:hAnsi="Arial" w:cs="Arial"/>
          <w:sz w:val="20"/>
          <w:szCs w:val="20"/>
        </w:rPr>
        <w:t xml:space="preserve">hypotečních úvěrů </w:t>
      </w:r>
      <w:r w:rsidR="006E2E3A" w:rsidRPr="00264CD2">
        <w:rPr>
          <w:rFonts w:ascii="Arial" w:hAnsi="Arial" w:cs="Arial"/>
          <w:sz w:val="20"/>
          <w:szCs w:val="20"/>
        </w:rPr>
        <w:t xml:space="preserve">došlo k navýšení </w:t>
      </w:r>
      <w:r w:rsidR="00E64177" w:rsidRPr="00264CD2">
        <w:rPr>
          <w:rFonts w:ascii="Arial" w:hAnsi="Arial" w:cs="Arial"/>
          <w:sz w:val="20"/>
          <w:szCs w:val="20"/>
        </w:rPr>
        <w:t xml:space="preserve">dokonce </w:t>
      </w:r>
      <w:r w:rsidR="006E2E3A" w:rsidRPr="00264CD2">
        <w:rPr>
          <w:rFonts w:ascii="Arial" w:hAnsi="Arial" w:cs="Arial"/>
          <w:sz w:val="20"/>
          <w:szCs w:val="20"/>
        </w:rPr>
        <w:t xml:space="preserve">o </w:t>
      </w:r>
      <w:r w:rsidR="00D67A6A" w:rsidRPr="00264CD2">
        <w:rPr>
          <w:rFonts w:ascii="Arial" w:hAnsi="Arial" w:cs="Arial"/>
          <w:sz w:val="20"/>
          <w:szCs w:val="20"/>
        </w:rPr>
        <w:t xml:space="preserve">97 %. Ještě masivnějšího nárůstu společnost dosáhla u zprostředkovaných firemních úvěrů, jejichž půlroční objem </w:t>
      </w:r>
      <w:r w:rsidR="004972CA" w:rsidRPr="00264CD2">
        <w:rPr>
          <w:rFonts w:ascii="Arial" w:hAnsi="Arial" w:cs="Arial"/>
          <w:sz w:val="20"/>
          <w:szCs w:val="20"/>
        </w:rPr>
        <w:t>se meziročně zvýšil</w:t>
      </w:r>
      <w:r w:rsidR="00D67A6A" w:rsidRPr="00264CD2">
        <w:rPr>
          <w:rFonts w:ascii="Arial" w:hAnsi="Arial" w:cs="Arial"/>
          <w:sz w:val="20"/>
          <w:szCs w:val="20"/>
        </w:rPr>
        <w:t xml:space="preserve"> </w:t>
      </w:r>
      <w:r w:rsidR="006E2E3A" w:rsidRPr="00264CD2">
        <w:rPr>
          <w:rFonts w:ascii="Arial" w:hAnsi="Arial" w:cs="Arial"/>
          <w:sz w:val="20"/>
          <w:szCs w:val="20"/>
        </w:rPr>
        <w:t xml:space="preserve">téměř dvojnásobně, tj. </w:t>
      </w:r>
      <w:r w:rsidR="004972CA" w:rsidRPr="00264CD2">
        <w:rPr>
          <w:rFonts w:ascii="Arial" w:hAnsi="Arial" w:cs="Arial"/>
          <w:sz w:val="20"/>
          <w:szCs w:val="20"/>
        </w:rPr>
        <w:t xml:space="preserve">o </w:t>
      </w:r>
      <w:r w:rsidR="00D67A6A" w:rsidRPr="00264CD2">
        <w:rPr>
          <w:rFonts w:ascii="Arial" w:hAnsi="Arial" w:cs="Arial"/>
          <w:sz w:val="20"/>
          <w:szCs w:val="20"/>
        </w:rPr>
        <w:t xml:space="preserve">192 %. </w:t>
      </w:r>
    </w:p>
    <w:p w14:paraId="562569A4" w14:textId="0042E629" w:rsidR="00A84A60" w:rsidRPr="00264CD2" w:rsidRDefault="00A84A60" w:rsidP="003D22A4">
      <w:pPr>
        <w:jc w:val="both"/>
        <w:rPr>
          <w:rFonts w:ascii="Arial" w:hAnsi="Arial" w:cs="Arial"/>
          <w:sz w:val="20"/>
          <w:szCs w:val="20"/>
        </w:rPr>
      </w:pPr>
    </w:p>
    <w:p w14:paraId="3D690893" w14:textId="49DF45FB" w:rsidR="006E2E3A" w:rsidRPr="00264CD2" w:rsidRDefault="00C51242" w:rsidP="003D22A4">
      <w:pPr>
        <w:jc w:val="both"/>
        <w:rPr>
          <w:rFonts w:ascii="Arial" w:hAnsi="Arial" w:cs="Arial"/>
          <w:sz w:val="20"/>
          <w:szCs w:val="20"/>
        </w:rPr>
      </w:pPr>
      <w:r w:rsidRPr="00264CD2">
        <w:rPr>
          <w:rFonts w:ascii="Arial" w:hAnsi="Arial" w:cs="Arial"/>
          <w:sz w:val="20"/>
          <w:szCs w:val="20"/>
        </w:rPr>
        <w:t>Obdobně zdařile</w:t>
      </w:r>
      <w:r w:rsidR="00861771" w:rsidRPr="00264CD2">
        <w:rPr>
          <w:rFonts w:ascii="Arial" w:hAnsi="Arial" w:cs="Arial"/>
          <w:sz w:val="20"/>
          <w:szCs w:val="20"/>
        </w:rPr>
        <w:t xml:space="preserve"> zakončil</w:t>
      </w:r>
      <w:r w:rsidR="003D22A4" w:rsidRPr="00264CD2">
        <w:rPr>
          <w:rFonts w:ascii="Arial" w:hAnsi="Arial" w:cs="Arial"/>
          <w:sz w:val="20"/>
          <w:szCs w:val="20"/>
        </w:rPr>
        <w:t>a</w:t>
      </w:r>
      <w:r w:rsidR="00861771" w:rsidRPr="00264CD2">
        <w:rPr>
          <w:rFonts w:ascii="Arial" w:hAnsi="Arial" w:cs="Arial"/>
          <w:sz w:val="20"/>
          <w:szCs w:val="20"/>
        </w:rPr>
        <w:t xml:space="preserve"> </w:t>
      </w:r>
      <w:r w:rsidR="003D22A4" w:rsidRPr="00264CD2">
        <w:rPr>
          <w:rFonts w:ascii="Arial" w:hAnsi="Arial" w:cs="Arial"/>
          <w:sz w:val="20"/>
          <w:szCs w:val="20"/>
        </w:rPr>
        <w:t xml:space="preserve">firma </w:t>
      </w:r>
      <w:r w:rsidR="00861771" w:rsidRPr="00264CD2">
        <w:rPr>
          <w:rFonts w:ascii="Arial" w:hAnsi="Arial" w:cs="Arial"/>
          <w:sz w:val="20"/>
          <w:szCs w:val="20"/>
        </w:rPr>
        <w:t>první pololetí také v oblasti realit. Klientům pomohl</w:t>
      </w:r>
      <w:r w:rsidR="003D22A4" w:rsidRPr="00264CD2">
        <w:rPr>
          <w:rFonts w:ascii="Arial" w:hAnsi="Arial" w:cs="Arial"/>
          <w:sz w:val="20"/>
          <w:szCs w:val="20"/>
        </w:rPr>
        <w:t>a</w:t>
      </w:r>
      <w:r w:rsidR="00861771" w:rsidRPr="00264CD2">
        <w:rPr>
          <w:rFonts w:ascii="Arial" w:hAnsi="Arial" w:cs="Arial"/>
          <w:sz w:val="20"/>
          <w:szCs w:val="20"/>
        </w:rPr>
        <w:t xml:space="preserve"> uskutečnit realitní transakce </w:t>
      </w:r>
      <w:r w:rsidR="000454D8" w:rsidRPr="00264CD2">
        <w:rPr>
          <w:rFonts w:ascii="Arial" w:hAnsi="Arial" w:cs="Arial"/>
          <w:sz w:val="20"/>
          <w:szCs w:val="20"/>
        </w:rPr>
        <w:t xml:space="preserve">v celkové výši </w:t>
      </w:r>
      <w:r w:rsidR="00861771" w:rsidRPr="00264CD2">
        <w:rPr>
          <w:rFonts w:ascii="Arial" w:hAnsi="Arial" w:cs="Arial"/>
          <w:sz w:val="20"/>
          <w:szCs w:val="20"/>
        </w:rPr>
        <w:t xml:space="preserve">4,8 miliardy korun, </w:t>
      </w:r>
      <w:r w:rsidR="006E2E3A" w:rsidRPr="00264CD2">
        <w:rPr>
          <w:rFonts w:ascii="Arial" w:hAnsi="Arial" w:cs="Arial"/>
          <w:sz w:val="20"/>
          <w:szCs w:val="20"/>
        </w:rPr>
        <w:t>jejich objem tak</w:t>
      </w:r>
      <w:r w:rsidR="000454D8" w:rsidRPr="00264CD2">
        <w:rPr>
          <w:rFonts w:ascii="Arial" w:hAnsi="Arial" w:cs="Arial"/>
          <w:sz w:val="20"/>
          <w:szCs w:val="20"/>
        </w:rPr>
        <w:t xml:space="preserve"> v porovnání se stejným obdobím roku 2020 </w:t>
      </w:r>
      <w:r w:rsidR="006E2E3A" w:rsidRPr="00264CD2">
        <w:rPr>
          <w:rFonts w:ascii="Arial" w:hAnsi="Arial" w:cs="Arial"/>
          <w:sz w:val="20"/>
          <w:szCs w:val="20"/>
        </w:rPr>
        <w:t xml:space="preserve">vzrostl o </w:t>
      </w:r>
      <w:r w:rsidR="000454D8" w:rsidRPr="00264CD2">
        <w:rPr>
          <w:rFonts w:ascii="Arial" w:hAnsi="Arial" w:cs="Arial"/>
          <w:sz w:val="20"/>
          <w:szCs w:val="20"/>
        </w:rPr>
        <w:t>97</w:t>
      </w:r>
      <w:r w:rsidR="00FB1C6A" w:rsidRPr="00264CD2">
        <w:rPr>
          <w:rFonts w:ascii="Arial" w:hAnsi="Arial" w:cs="Arial"/>
          <w:sz w:val="20"/>
          <w:szCs w:val="20"/>
        </w:rPr>
        <w:t xml:space="preserve"> </w:t>
      </w:r>
      <w:r w:rsidR="000454D8" w:rsidRPr="00264CD2">
        <w:rPr>
          <w:rFonts w:ascii="Arial" w:hAnsi="Arial" w:cs="Arial"/>
          <w:sz w:val="20"/>
          <w:szCs w:val="20"/>
        </w:rPr>
        <w:t>%. Příznivá čísla potvrzují úspěšné etablování konceptu Finance.Reality.Spolu, který firma přestavila v</w:t>
      </w:r>
      <w:r w:rsidRPr="00264CD2">
        <w:rPr>
          <w:rFonts w:ascii="Arial" w:hAnsi="Arial" w:cs="Arial"/>
          <w:sz w:val="20"/>
          <w:szCs w:val="20"/>
        </w:rPr>
        <w:t> </w:t>
      </w:r>
      <w:r w:rsidR="000454D8" w:rsidRPr="00264CD2">
        <w:rPr>
          <w:rFonts w:ascii="Arial" w:hAnsi="Arial" w:cs="Arial"/>
          <w:sz w:val="20"/>
          <w:szCs w:val="20"/>
        </w:rPr>
        <w:t>roce</w:t>
      </w:r>
      <w:r w:rsidRPr="00264CD2">
        <w:rPr>
          <w:rFonts w:ascii="Arial" w:hAnsi="Arial" w:cs="Arial"/>
          <w:sz w:val="20"/>
          <w:szCs w:val="20"/>
        </w:rPr>
        <w:t xml:space="preserve"> </w:t>
      </w:r>
      <w:r w:rsidR="00650454" w:rsidRPr="00264CD2">
        <w:rPr>
          <w:rFonts w:ascii="Arial" w:hAnsi="Arial" w:cs="Arial"/>
          <w:sz w:val="20"/>
          <w:szCs w:val="20"/>
        </w:rPr>
        <w:t>2015</w:t>
      </w:r>
      <w:r w:rsidR="00357132" w:rsidRPr="00264CD2">
        <w:rPr>
          <w:rFonts w:ascii="Arial" w:hAnsi="Arial" w:cs="Arial"/>
          <w:sz w:val="20"/>
          <w:szCs w:val="20"/>
        </w:rPr>
        <w:t xml:space="preserve">. </w:t>
      </w:r>
      <w:r w:rsidRPr="00264CD2">
        <w:rPr>
          <w:rFonts w:ascii="Arial" w:hAnsi="Arial" w:cs="Arial"/>
          <w:sz w:val="20"/>
          <w:szCs w:val="20"/>
        </w:rPr>
        <w:t xml:space="preserve">Koncept </w:t>
      </w:r>
      <w:r w:rsidR="00357132" w:rsidRPr="00264CD2">
        <w:rPr>
          <w:rFonts w:ascii="Arial" w:hAnsi="Arial" w:cs="Arial"/>
          <w:sz w:val="20"/>
          <w:szCs w:val="20"/>
        </w:rPr>
        <w:t xml:space="preserve">nabízí </w:t>
      </w:r>
      <w:r w:rsidRPr="00264CD2">
        <w:rPr>
          <w:rFonts w:ascii="Arial" w:hAnsi="Arial" w:cs="Arial"/>
          <w:sz w:val="20"/>
          <w:szCs w:val="20"/>
        </w:rPr>
        <w:t xml:space="preserve">klientům </w:t>
      </w:r>
      <w:r w:rsidR="00357132" w:rsidRPr="00264CD2">
        <w:rPr>
          <w:rFonts w:ascii="Arial" w:hAnsi="Arial" w:cs="Arial"/>
          <w:sz w:val="20"/>
          <w:szCs w:val="20"/>
        </w:rPr>
        <w:t xml:space="preserve">možnost </w:t>
      </w:r>
      <w:r w:rsidRPr="00264CD2">
        <w:rPr>
          <w:rFonts w:ascii="Arial" w:hAnsi="Arial" w:cs="Arial"/>
          <w:sz w:val="20"/>
          <w:szCs w:val="20"/>
        </w:rPr>
        <w:t xml:space="preserve">vyřídit </w:t>
      </w:r>
      <w:r w:rsidR="00357132" w:rsidRPr="00264CD2">
        <w:rPr>
          <w:rFonts w:ascii="Arial" w:hAnsi="Arial" w:cs="Arial"/>
          <w:sz w:val="20"/>
          <w:szCs w:val="20"/>
        </w:rPr>
        <w:t xml:space="preserve">si </w:t>
      </w:r>
      <w:r w:rsidRPr="00264CD2">
        <w:rPr>
          <w:rFonts w:ascii="Arial" w:hAnsi="Arial" w:cs="Arial"/>
          <w:sz w:val="20"/>
          <w:szCs w:val="20"/>
        </w:rPr>
        <w:t>veškeré finanční a realitní záležitosti</w:t>
      </w:r>
      <w:r w:rsidR="00357132" w:rsidRPr="00264CD2">
        <w:rPr>
          <w:rFonts w:ascii="Arial" w:hAnsi="Arial" w:cs="Arial"/>
          <w:sz w:val="20"/>
          <w:szCs w:val="20"/>
        </w:rPr>
        <w:t xml:space="preserve"> pohodlně z jednoho místa. </w:t>
      </w:r>
    </w:p>
    <w:p w14:paraId="5EDD5D50" w14:textId="77777777" w:rsidR="006E2E3A" w:rsidRPr="00264CD2" w:rsidRDefault="006E2E3A" w:rsidP="003D22A4">
      <w:pPr>
        <w:jc w:val="both"/>
        <w:rPr>
          <w:rFonts w:ascii="Arial" w:hAnsi="Arial" w:cs="Arial"/>
          <w:sz w:val="20"/>
          <w:szCs w:val="20"/>
        </w:rPr>
      </w:pPr>
    </w:p>
    <w:p w14:paraId="65BE7029" w14:textId="192C81D8" w:rsidR="000454D8" w:rsidRPr="00264CD2" w:rsidRDefault="00357132" w:rsidP="003D22A4">
      <w:pPr>
        <w:jc w:val="both"/>
        <w:rPr>
          <w:rFonts w:ascii="Arial" w:hAnsi="Arial" w:cs="Arial"/>
          <w:sz w:val="20"/>
          <w:szCs w:val="20"/>
        </w:rPr>
      </w:pPr>
      <w:r w:rsidRPr="00264CD2">
        <w:rPr>
          <w:rFonts w:ascii="Arial" w:hAnsi="Arial" w:cs="Arial"/>
          <w:sz w:val="20"/>
          <w:szCs w:val="20"/>
        </w:rPr>
        <w:t xml:space="preserve">Dobré výsledky realitních obchodů jsou </w:t>
      </w:r>
      <w:r w:rsidR="00181BB4" w:rsidRPr="00264CD2">
        <w:rPr>
          <w:rFonts w:ascii="Arial" w:hAnsi="Arial" w:cs="Arial"/>
          <w:sz w:val="20"/>
          <w:szCs w:val="20"/>
        </w:rPr>
        <w:t xml:space="preserve">rovněž </w:t>
      </w:r>
      <w:r w:rsidRPr="00264CD2">
        <w:rPr>
          <w:rFonts w:ascii="Arial" w:hAnsi="Arial" w:cs="Arial"/>
          <w:sz w:val="20"/>
          <w:szCs w:val="20"/>
        </w:rPr>
        <w:t xml:space="preserve">dány intenzivnější spoluprací </w:t>
      </w:r>
      <w:r w:rsidR="00E64177" w:rsidRPr="00264CD2">
        <w:rPr>
          <w:rFonts w:ascii="Arial" w:hAnsi="Arial" w:cs="Arial"/>
          <w:sz w:val="20"/>
          <w:szCs w:val="20"/>
        </w:rPr>
        <w:t xml:space="preserve">Broker Consulting </w:t>
      </w:r>
      <w:r w:rsidRPr="00264CD2">
        <w:rPr>
          <w:rFonts w:ascii="Arial" w:hAnsi="Arial" w:cs="Arial"/>
          <w:sz w:val="20"/>
          <w:szCs w:val="20"/>
        </w:rPr>
        <w:t xml:space="preserve">s více než 100 developery napříč republikou. </w:t>
      </w:r>
      <w:r w:rsidR="006E2E3A" w:rsidRPr="00264CD2">
        <w:rPr>
          <w:rFonts w:ascii="Arial" w:hAnsi="Arial" w:cs="Arial"/>
          <w:sz w:val="20"/>
          <w:szCs w:val="20"/>
        </w:rPr>
        <w:t xml:space="preserve">Pro ně se spojení financí a realit </w:t>
      </w:r>
      <w:r w:rsidR="00181BB4" w:rsidRPr="00264CD2">
        <w:rPr>
          <w:rFonts w:ascii="Arial" w:hAnsi="Arial" w:cs="Arial"/>
          <w:sz w:val="20"/>
          <w:szCs w:val="20"/>
        </w:rPr>
        <w:t xml:space="preserve">stále </w:t>
      </w:r>
      <w:r w:rsidR="006E2E3A" w:rsidRPr="00264CD2">
        <w:rPr>
          <w:rFonts w:ascii="Arial" w:hAnsi="Arial" w:cs="Arial"/>
          <w:sz w:val="20"/>
          <w:szCs w:val="20"/>
        </w:rPr>
        <w:t xml:space="preserve">častěji stává hlavním </w:t>
      </w:r>
      <w:r w:rsidR="001C32FA" w:rsidRPr="00264CD2">
        <w:rPr>
          <w:rFonts w:ascii="Arial" w:hAnsi="Arial" w:cs="Arial"/>
          <w:sz w:val="20"/>
          <w:szCs w:val="20"/>
        </w:rPr>
        <w:t>motiv</w:t>
      </w:r>
      <w:r w:rsidR="006E2E3A" w:rsidRPr="00264CD2">
        <w:rPr>
          <w:rFonts w:ascii="Arial" w:hAnsi="Arial" w:cs="Arial"/>
          <w:sz w:val="20"/>
          <w:szCs w:val="20"/>
        </w:rPr>
        <w:t>em</w:t>
      </w:r>
      <w:r w:rsidR="001C32FA" w:rsidRPr="00264CD2">
        <w:rPr>
          <w:rFonts w:ascii="Arial" w:hAnsi="Arial" w:cs="Arial"/>
          <w:sz w:val="20"/>
          <w:szCs w:val="20"/>
        </w:rPr>
        <w:t xml:space="preserve"> ke spolupráci. Vedle</w:t>
      </w:r>
      <w:r w:rsidRPr="00264CD2">
        <w:rPr>
          <w:rFonts w:ascii="Arial" w:hAnsi="Arial" w:cs="Arial"/>
          <w:sz w:val="20"/>
          <w:szCs w:val="20"/>
        </w:rPr>
        <w:t xml:space="preserve"> administrativní, právní a marketingové podpory </w:t>
      </w:r>
      <w:r w:rsidR="00181BB4" w:rsidRPr="00264CD2">
        <w:rPr>
          <w:rFonts w:ascii="Arial" w:hAnsi="Arial" w:cs="Arial"/>
          <w:sz w:val="20"/>
          <w:szCs w:val="20"/>
        </w:rPr>
        <w:t>získávají</w:t>
      </w:r>
      <w:r w:rsidRPr="00264CD2">
        <w:rPr>
          <w:rFonts w:ascii="Arial" w:hAnsi="Arial" w:cs="Arial"/>
          <w:sz w:val="20"/>
          <w:szCs w:val="20"/>
        </w:rPr>
        <w:t xml:space="preserve"> jistotu, že kupující bude mít kompletní servis v zajištění financování. </w:t>
      </w:r>
      <w:r w:rsidR="001C32FA" w:rsidRPr="00264CD2">
        <w:rPr>
          <w:rFonts w:ascii="Arial" w:hAnsi="Arial" w:cs="Arial"/>
          <w:sz w:val="20"/>
          <w:szCs w:val="20"/>
        </w:rPr>
        <w:t>Potvrzením úspěšné spolupráce</w:t>
      </w:r>
      <w:r w:rsidR="006E2E3A" w:rsidRPr="00264CD2">
        <w:rPr>
          <w:rFonts w:ascii="Arial" w:hAnsi="Arial" w:cs="Arial"/>
          <w:sz w:val="20"/>
          <w:szCs w:val="20"/>
        </w:rPr>
        <w:t xml:space="preserve"> firmy s developery</w:t>
      </w:r>
      <w:r w:rsidR="001C32FA" w:rsidRPr="00264CD2">
        <w:rPr>
          <w:rFonts w:ascii="Arial" w:hAnsi="Arial" w:cs="Arial"/>
          <w:sz w:val="20"/>
          <w:szCs w:val="20"/>
        </w:rPr>
        <w:t xml:space="preserve"> je enormní nárůst objemu transakcí realizovaných v rámci developerských projektů, který v letošním prvním pololetí překonal loňský výsledek z téhož období o 1</w:t>
      </w:r>
      <w:r w:rsidR="00650454" w:rsidRPr="00264CD2">
        <w:rPr>
          <w:rFonts w:ascii="Arial" w:hAnsi="Arial" w:cs="Arial"/>
          <w:sz w:val="20"/>
          <w:szCs w:val="20"/>
        </w:rPr>
        <w:t>65</w:t>
      </w:r>
      <w:r w:rsidR="001C32FA" w:rsidRPr="00264CD2">
        <w:rPr>
          <w:rFonts w:ascii="Arial" w:hAnsi="Arial" w:cs="Arial"/>
          <w:sz w:val="20"/>
          <w:szCs w:val="20"/>
        </w:rPr>
        <w:t xml:space="preserve"> %.</w:t>
      </w:r>
    </w:p>
    <w:p w14:paraId="1BB4953E" w14:textId="2CCBDDE3" w:rsidR="00357132" w:rsidRPr="00264CD2" w:rsidRDefault="00357132" w:rsidP="003D22A4">
      <w:pPr>
        <w:jc w:val="both"/>
        <w:rPr>
          <w:rFonts w:ascii="Arial" w:hAnsi="Arial" w:cs="Arial"/>
          <w:sz w:val="20"/>
          <w:szCs w:val="20"/>
        </w:rPr>
      </w:pPr>
    </w:p>
    <w:p w14:paraId="240C079C" w14:textId="1FF3DFFB" w:rsidR="00181BB4" w:rsidRPr="00264CD2" w:rsidRDefault="00181BB4" w:rsidP="003D22A4">
      <w:pPr>
        <w:jc w:val="both"/>
        <w:rPr>
          <w:rFonts w:ascii="Arial" w:hAnsi="Arial" w:cs="Arial"/>
          <w:sz w:val="20"/>
          <w:szCs w:val="20"/>
        </w:rPr>
      </w:pPr>
      <w:r w:rsidRPr="00264CD2">
        <w:rPr>
          <w:rFonts w:ascii="Arial" w:hAnsi="Arial" w:cs="Arial"/>
          <w:sz w:val="20"/>
          <w:szCs w:val="20"/>
        </w:rPr>
        <w:t xml:space="preserve">Společnost Broker Consulting </w:t>
      </w:r>
      <w:r w:rsidR="005266F0" w:rsidRPr="00264CD2">
        <w:rPr>
          <w:rFonts w:ascii="Arial" w:hAnsi="Arial" w:cs="Arial"/>
          <w:sz w:val="20"/>
          <w:szCs w:val="20"/>
        </w:rPr>
        <w:t xml:space="preserve">posílila v první půli tohoto roku </w:t>
      </w:r>
      <w:r w:rsidRPr="00264CD2">
        <w:rPr>
          <w:rFonts w:ascii="Arial" w:hAnsi="Arial" w:cs="Arial"/>
          <w:sz w:val="20"/>
          <w:szCs w:val="20"/>
        </w:rPr>
        <w:t xml:space="preserve">také v oblasti </w:t>
      </w:r>
      <w:r w:rsidR="00A10E52" w:rsidRPr="00264CD2">
        <w:rPr>
          <w:rFonts w:ascii="Arial" w:hAnsi="Arial" w:cs="Arial"/>
          <w:sz w:val="20"/>
          <w:szCs w:val="20"/>
        </w:rPr>
        <w:t xml:space="preserve">zprostředkování </w:t>
      </w:r>
      <w:r w:rsidRPr="00264CD2">
        <w:rPr>
          <w:rFonts w:ascii="Arial" w:hAnsi="Arial" w:cs="Arial"/>
          <w:sz w:val="20"/>
          <w:szCs w:val="20"/>
        </w:rPr>
        <w:t xml:space="preserve">investičních </w:t>
      </w:r>
      <w:r w:rsidR="005266F0" w:rsidRPr="00264CD2">
        <w:rPr>
          <w:rFonts w:ascii="Arial" w:hAnsi="Arial" w:cs="Arial"/>
          <w:sz w:val="20"/>
          <w:szCs w:val="20"/>
        </w:rPr>
        <w:t xml:space="preserve">produktů. </w:t>
      </w:r>
      <w:r w:rsidR="00A10E52" w:rsidRPr="00264CD2">
        <w:rPr>
          <w:rFonts w:ascii="Arial" w:hAnsi="Arial" w:cs="Arial"/>
          <w:sz w:val="20"/>
          <w:szCs w:val="20"/>
        </w:rPr>
        <w:t>Obrat ze zprostředkování investic se meziročně zvýšil o</w:t>
      </w:r>
      <w:r w:rsidR="00FB1C6A" w:rsidRPr="00264CD2">
        <w:rPr>
          <w:rFonts w:ascii="Arial" w:hAnsi="Arial" w:cs="Arial"/>
          <w:sz w:val="20"/>
          <w:szCs w:val="20"/>
        </w:rPr>
        <w:t xml:space="preserve"> 30</w:t>
      </w:r>
      <w:r w:rsidR="00A10E52" w:rsidRPr="00264CD2">
        <w:rPr>
          <w:rFonts w:ascii="Arial" w:hAnsi="Arial" w:cs="Arial"/>
          <w:sz w:val="20"/>
          <w:szCs w:val="20"/>
        </w:rPr>
        <w:t xml:space="preserve"> %.</w:t>
      </w:r>
      <w:r w:rsidR="00FD486B" w:rsidRPr="00264CD2">
        <w:rPr>
          <w:rFonts w:ascii="Arial" w:hAnsi="Arial" w:cs="Arial"/>
          <w:sz w:val="20"/>
          <w:szCs w:val="20"/>
        </w:rPr>
        <w:t xml:space="preserve"> </w:t>
      </w:r>
    </w:p>
    <w:p w14:paraId="215DE4FD" w14:textId="77777777" w:rsidR="003D22A4" w:rsidRPr="00264CD2" w:rsidRDefault="003D22A4" w:rsidP="003D22A4">
      <w:pPr>
        <w:jc w:val="both"/>
        <w:rPr>
          <w:rFonts w:ascii="Arial" w:hAnsi="Arial" w:cs="Arial"/>
          <w:sz w:val="20"/>
          <w:szCs w:val="20"/>
        </w:rPr>
      </w:pPr>
    </w:p>
    <w:p w14:paraId="4F2B70FE" w14:textId="28F27C14" w:rsidR="003D22A4" w:rsidRPr="00264CD2" w:rsidRDefault="00E64177" w:rsidP="006E2E3A">
      <w:pPr>
        <w:jc w:val="both"/>
        <w:rPr>
          <w:rFonts w:ascii="Arial" w:hAnsi="Arial" w:cs="Arial"/>
          <w:sz w:val="20"/>
          <w:szCs w:val="20"/>
        </w:rPr>
      </w:pPr>
      <w:r w:rsidRPr="00264CD2">
        <w:rPr>
          <w:rFonts w:ascii="Arial" w:hAnsi="Arial" w:cs="Arial"/>
          <w:sz w:val="20"/>
          <w:szCs w:val="20"/>
        </w:rPr>
        <w:t>Firmě</w:t>
      </w:r>
      <w:r w:rsidR="003D22A4" w:rsidRPr="00264CD2">
        <w:rPr>
          <w:rFonts w:ascii="Arial" w:hAnsi="Arial" w:cs="Arial"/>
          <w:sz w:val="20"/>
          <w:szCs w:val="20"/>
        </w:rPr>
        <w:t xml:space="preserve"> se daří </w:t>
      </w:r>
      <w:r w:rsidR="009E6A0C" w:rsidRPr="00264CD2">
        <w:rPr>
          <w:rFonts w:ascii="Arial" w:hAnsi="Arial" w:cs="Arial"/>
          <w:sz w:val="20"/>
          <w:szCs w:val="20"/>
        </w:rPr>
        <w:t xml:space="preserve">velmi </w:t>
      </w:r>
      <w:r w:rsidR="003D22A4" w:rsidRPr="00264CD2">
        <w:rPr>
          <w:rFonts w:ascii="Arial" w:hAnsi="Arial" w:cs="Arial"/>
          <w:sz w:val="20"/>
          <w:szCs w:val="20"/>
        </w:rPr>
        <w:t xml:space="preserve">úspěšně </w:t>
      </w:r>
      <w:r w:rsidR="00A10E52" w:rsidRPr="00264CD2">
        <w:rPr>
          <w:rFonts w:ascii="Arial" w:hAnsi="Arial" w:cs="Arial"/>
          <w:sz w:val="20"/>
          <w:szCs w:val="20"/>
        </w:rPr>
        <w:t>provozovat</w:t>
      </w:r>
      <w:r w:rsidR="003D22A4" w:rsidRPr="00264CD2">
        <w:rPr>
          <w:rFonts w:ascii="Arial" w:hAnsi="Arial" w:cs="Arial"/>
          <w:sz w:val="20"/>
          <w:szCs w:val="20"/>
        </w:rPr>
        <w:t xml:space="preserve"> franšízový koncept OK POINT, který spustila v závěru roku 2015. V průběhu letošního prvního pololetí otevřela nové pobočky v Jablonci nad Nisou, Plzni a Ostr</w:t>
      </w:r>
      <w:r w:rsidRPr="00264CD2">
        <w:rPr>
          <w:rFonts w:ascii="Arial" w:hAnsi="Arial" w:cs="Arial"/>
          <w:sz w:val="20"/>
          <w:szCs w:val="20"/>
        </w:rPr>
        <w:t xml:space="preserve">avě-Porubě. </w:t>
      </w:r>
      <w:r w:rsidR="000D765A" w:rsidRPr="00264CD2">
        <w:rPr>
          <w:rFonts w:ascii="Arial" w:hAnsi="Arial" w:cs="Arial"/>
          <w:sz w:val="20"/>
          <w:szCs w:val="20"/>
        </w:rPr>
        <w:t>V současné době je pro klienty otevřeno 42 franšízových poboček, jejich další rozšíření je plánováno ještě do konce tohoto roku</w:t>
      </w:r>
      <w:r w:rsidR="003D22A4" w:rsidRPr="00264CD2">
        <w:rPr>
          <w:rFonts w:ascii="Arial" w:hAnsi="Arial" w:cs="Arial"/>
          <w:sz w:val="20"/>
          <w:szCs w:val="20"/>
        </w:rPr>
        <w:t xml:space="preserve">. </w:t>
      </w:r>
    </w:p>
    <w:p w14:paraId="47C8DD69" w14:textId="6B2E6328" w:rsidR="00FD486B" w:rsidRPr="00264CD2" w:rsidRDefault="00FD486B" w:rsidP="003D22A4">
      <w:pPr>
        <w:jc w:val="both"/>
        <w:rPr>
          <w:rFonts w:ascii="Arial" w:hAnsi="Arial" w:cs="Arial"/>
          <w:sz w:val="20"/>
          <w:szCs w:val="20"/>
        </w:rPr>
      </w:pPr>
    </w:p>
    <w:p w14:paraId="3FA2236C" w14:textId="56AA7D0B" w:rsidR="00FD486B" w:rsidRPr="00264CD2" w:rsidRDefault="00412E38" w:rsidP="003D22A4">
      <w:pPr>
        <w:jc w:val="both"/>
        <w:rPr>
          <w:rFonts w:ascii="Arial" w:hAnsi="Arial" w:cs="Arial"/>
          <w:b/>
          <w:sz w:val="20"/>
          <w:szCs w:val="20"/>
        </w:rPr>
      </w:pPr>
      <w:r w:rsidRPr="00264CD2">
        <w:rPr>
          <w:rFonts w:ascii="Arial" w:hAnsi="Arial" w:cs="Arial"/>
          <w:i/>
          <w:sz w:val="20"/>
          <w:szCs w:val="20"/>
        </w:rPr>
        <w:t xml:space="preserve">„Ve </w:t>
      </w:r>
      <w:r w:rsidR="00BD49C8" w:rsidRPr="00264CD2">
        <w:rPr>
          <w:rFonts w:ascii="Arial" w:hAnsi="Arial" w:cs="Arial"/>
          <w:i/>
          <w:sz w:val="20"/>
          <w:szCs w:val="20"/>
        </w:rPr>
        <w:t xml:space="preserve">druhé půli letošního roku </w:t>
      </w:r>
      <w:r w:rsidR="004950A4" w:rsidRPr="00264CD2">
        <w:rPr>
          <w:rFonts w:ascii="Arial" w:hAnsi="Arial" w:cs="Arial"/>
          <w:i/>
          <w:sz w:val="20"/>
          <w:szCs w:val="20"/>
        </w:rPr>
        <w:t>nás čeká cela řada výzev a úkolů. V</w:t>
      </w:r>
      <w:r w:rsidR="00BD49C8" w:rsidRPr="00264CD2">
        <w:rPr>
          <w:rFonts w:ascii="Arial" w:hAnsi="Arial" w:cs="Arial"/>
          <w:i/>
          <w:sz w:val="20"/>
          <w:szCs w:val="20"/>
        </w:rPr>
        <w:t xml:space="preserve">edle zkvalitňování </w:t>
      </w:r>
      <w:r w:rsidRPr="00264CD2">
        <w:rPr>
          <w:rFonts w:ascii="Arial" w:hAnsi="Arial" w:cs="Arial"/>
          <w:i/>
          <w:sz w:val="20"/>
          <w:szCs w:val="20"/>
        </w:rPr>
        <w:t xml:space="preserve">individuální </w:t>
      </w:r>
      <w:r w:rsidR="00BD49C8" w:rsidRPr="00264CD2">
        <w:rPr>
          <w:rFonts w:ascii="Arial" w:hAnsi="Arial" w:cs="Arial"/>
          <w:i/>
          <w:sz w:val="20"/>
          <w:szCs w:val="20"/>
        </w:rPr>
        <w:t>péče o klienty</w:t>
      </w:r>
      <w:r w:rsidR="004950A4" w:rsidRPr="00264CD2">
        <w:rPr>
          <w:rFonts w:ascii="Arial" w:hAnsi="Arial" w:cs="Arial"/>
          <w:i/>
          <w:sz w:val="20"/>
          <w:szCs w:val="20"/>
        </w:rPr>
        <w:t xml:space="preserve"> se</w:t>
      </w:r>
      <w:r w:rsidR="00BD49C8" w:rsidRPr="00264CD2">
        <w:rPr>
          <w:rFonts w:ascii="Arial" w:hAnsi="Arial" w:cs="Arial"/>
          <w:i/>
          <w:sz w:val="20"/>
          <w:szCs w:val="20"/>
        </w:rPr>
        <w:t xml:space="preserve"> </w:t>
      </w:r>
      <w:r w:rsidRPr="00264CD2">
        <w:rPr>
          <w:rFonts w:ascii="Arial" w:hAnsi="Arial" w:cs="Arial"/>
          <w:i/>
          <w:sz w:val="20"/>
          <w:szCs w:val="20"/>
        </w:rPr>
        <w:t xml:space="preserve">chceme soustředit na další rozvoj našeho úspěšného franšízového konceptu OK POINT. </w:t>
      </w:r>
      <w:r w:rsidR="00F7232B" w:rsidRPr="00264CD2">
        <w:rPr>
          <w:rFonts w:ascii="Arial" w:hAnsi="Arial" w:cs="Arial"/>
          <w:i/>
          <w:sz w:val="20"/>
          <w:szCs w:val="20"/>
        </w:rPr>
        <w:t xml:space="preserve">Velkou pozornost </w:t>
      </w:r>
      <w:r w:rsidR="00EB2623" w:rsidRPr="00264CD2">
        <w:rPr>
          <w:rFonts w:ascii="Arial" w:hAnsi="Arial" w:cs="Arial"/>
          <w:i/>
          <w:sz w:val="20"/>
          <w:szCs w:val="20"/>
        </w:rPr>
        <w:t xml:space="preserve">rovněž věnujeme </w:t>
      </w:r>
      <w:r w:rsidR="00F7232B" w:rsidRPr="00264CD2">
        <w:rPr>
          <w:rFonts w:ascii="Arial" w:hAnsi="Arial" w:cs="Arial"/>
          <w:i/>
          <w:sz w:val="20"/>
          <w:szCs w:val="20"/>
        </w:rPr>
        <w:t xml:space="preserve">získávání </w:t>
      </w:r>
      <w:r w:rsidR="00EB2623" w:rsidRPr="00264CD2">
        <w:rPr>
          <w:rFonts w:ascii="Arial" w:hAnsi="Arial" w:cs="Arial"/>
          <w:i/>
          <w:sz w:val="20"/>
          <w:szCs w:val="20"/>
        </w:rPr>
        <w:t xml:space="preserve">a zapracování </w:t>
      </w:r>
      <w:r w:rsidR="00F7232B" w:rsidRPr="00264CD2">
        <w:rPr>
          <w:rFonts w:ascii="Arial" w:hAnsi="Arial" w:cs="Arial"/>
          <w:i/>
          <w:sz w:val="20"/>
          <w:szCs w:val="20"/>
        </w:rPr>
        <w:t>nových kolegů a</w:t>
      </w:r>
      <w:r w:rsidR="004950A4" w:rsidRPr="00264CD2">
        <w:rPr>
          <w:rFonts w:ascii="Arial" w:hAnsi="Arial" w:cs="Arial"/>
          <w:i/>
          <w:sz w:val="20"/>
          <w:szCs w:val="20"/>
        </w:rPr>
        <w:t xml:space="preserve"> spolupracovníků,</w:t>
      </w:r>
      <w:r w:rsidR="009E6A0C" w:rsidRPr="00264CD2">
        <w:rPr>
          <w:rFonts w:ascii="Arial" w:hAnsi="Arial" w:cs="Arial"/>
          <w:i/>
          <w:sz w:val="20"/>
          <w:szCs w:val="20"/>
        </w:rPr>
        <w:t xml:space="preserve"> kteří budou mít k dispozic</w:t>
      </w:r>
      <w:r w:rsidR="006B3782" w:rsidRPr="00264CD2">
        <w:rPr>
          <w:rFonts w:ascii="Arial" w:hAnsi="Arial" w:cs="Arial"/>
          <w:i/>
          <w:sz w:val="20"/>
          <w:szCs w:val="20"/>
        </w:rPr>
        <w:t>i</w:t>
      </w:r>
      <w:r w:rsidR="009E6A0C" w:rsidRPr="00264CD2">
        <w:rPr>
          <w:rFonts w:ascii="Arial" w:hAnsi="Arial" w:cs="Arial"/>
          <w:i/>
          <w:sz w:val="20"/>
          <w:szCs w:val="20"/>
        </w:rPr>
        <w:t xml:space="preserve"> nové digitální nástroje</w:t>
      </w:r>
      <w:r w:rsidR="006B3782" w:rsidRPr="00264CD2">
        <w:rPr>
          <w:rFonts w:ascii="Arial" w:hAnsi="Arial" w:cs="Arial"/>
          <w:i/>
          <w:sz w:val="20"/>
          <w:szCs w:val="20"/>
        </w:rPr>
        <w:t>,</w:t>
      </w:r>
      <w:r w:rsidR="003D22A4" w:rsidRPr="00264CD2">
        <w:rPr>
          <w:rFonts w:ascii="Arial" w:hAnsi="Arial" w:cs="Arial"/>
          <w:sz w:val="20"/>
          <w:szCs w:val="20"/>
        </w:rPr>
        <w:t>“</w:t>
      </w:r>
      <w:r w:rsidRPr="00264CD2">
        <w:rPr>
          <w:rFonts w:ascii="Arial" w:hAnsi="Arial" w:cs="Arial"/>
          <w:sz w:val="20"/>
          <w:szCs w:val="20"/>
        </w:rPr>
        <w:t xml:space="preserve"> </w:t>
      </w:r>
      <w:r w:rsidR="009E6A0C" w:rsidRPr="00264CD2">
        <w:rPr>
          <w:rFonts w:ascii="Arial" w:hAnsi="Arial" w:cs="Arial"/>
          <w:sz w:val="20"/>
          <w:szCs w:val="20"/>
        </w:rPr>
        <w:t>odhaluje</w:t>
      </w:r>
      <w:r w:rsidR="004950A4" w:rsidRPr="00264CD2">
        <w:rPr>
          <w:rFonts w:ascii="Arial" w:hAnsi="Arial" w:cs="Arial"/>
          <w:sz w:val="20"/>
          <w:szCs w:val="20"/>
        </w:rPr>
        <w:t xml:space="preserve"> plány společnosti Broker Consulting pro zbytek roku její</w:t>
      </w:r>
      <w:r w:rsidRPr="00264CD2">
        <w:rPr>
          <w:rFonts w:ascii="Arial" w:hAnsi="Arial" w:cs="Arial"/>
          <w:b/>
          <w:sz w:val="20"/>
          <w:szCs w:val="20"/>
        </w:rPr>
        <w:t xml:space="preserve"> generální </w:t>
      </w:r>
      <w:r w:rsidR="009E6A0C" w:rsidRPr="00264CD2">
        <w:rPr>
          <w:rFonts w:ascii="Arial" w:hAnsi="Arial" w:cs="Arial"/>
          <w:b/>
          <w:sz w:val="20"/>
          <w:szCs w:val="20"/>
        </w:rPr>
        <w:t>ředitel</w:t>
      </w:r>
      <w:r w:rsidRPr="00264CD2">
        <w:rPr>
          <w:rFonts w:ascii="Arial" w:hAnsi="Arial" w:cs="Arial"/>
          <w:b/>
          <w:sz w:val="20"/>
          <w:szCs w:val="20"/>
        </w:rPr>
        <w:t xml:space="preserve"> Vilém Podliska.</w:t>
      </w:r>
      <w:r w:rsidR="00F7232B" w:rsidRPr="00264CD2">
        <w:rPr>
          <w:rFonts w:ascii="Arial" w:hAnsi="Arial" w:cs="Arial"/>
          <w:b/>
          <w:sz w:val="20"/>
          <w:szCs w:val="20"/>
        </w:rPr>
        <w:t xml:space="preserve"> </w:t>
      </w:r>
    </w:p>
    <w:p w14:paraId="66AF14AA" w14:textId="77777777" w:rsidR="00FB1C6A" w:rsidRPr="00BD0878" w:rsidRDefault="00FB1C6A" w:rsidP="003D22A4">
      <w:pPr>
        <w:jc w:val="both"/>
        <w:rPr>
          <w:rFonts w:ascii="Arial" w:hAnsi="Arial" w:cs="Arial"/>
          <w:bCs/>
          <w:sz w:val="20"/>
          <w:szCs w:val="20"/>
        </w:rPr>
      </w:pPr>
    </w:p>
    <w:p w14:paraId="0F3BA082" w14:textId="0E21820A" w:rsidR="00FB1C6A" w:rsidRPr="00264CD2" w:rsidRDefault="00FB1C6A" w:rsidP="003D22A4">
      <w:pPr>
        <w:jc w:val="both"/>
        <w:rPr>
          <w:rFonts w:ascii="Arial" w:hAnsi="Arial" w:cs="Arial"/>
          <w:b/>
          <w:sz w:val="20"/>
          <w:szCs w:val="20"/>
        </w:rPr>
      </w:pPr>
      <w:r w:rsidRPr="00BD0878">
        <w:rPr>
          <w:rFonts w:ascii="Arial" w:hAnsi="Arial" w:cs="Arial"/>
          <w:bCs/>
          <w:sz w:val="20"/>
          <w:szCs w:val="20"/>
        </w:rPr>
        <w:t>Širší skupina Broker Consulting</w:t>
      </w:r>
      <w:r w:rsidRPr="00264CD2">
        <w:rPr>
          <w:rFonts w:ascii="Arial" w:hAnsi="Arial" w:cs="Arial"/>
          <w:bCs/>
          <w:sz w:val="20"/>
          <w:szCs w:val="20"/>
        </w:rPr>
        <w:t xml:space="preserve">, do které patří kromě </w:t>
      </w:r>
      <w:proofErr w:type="gramStart"/>
      <w:r w:rsidRPr="00264CD2">
        <w:rPr>
          <w:rFonts w:ascii="Arial" w:hAnsi="Arial" w:cs="Arial"/>
          <w:bCs/>
          <w:sz w:val="20"/>
          <w:szCs w:val="20"/>
        </w:rPr>
        <w:t>Broker</w:t>
      </w:r>
      <w:proofErr w:type="gramEnd"/>
      <w:r w:rsidRPr="00264CD2">
        <w:rPr>
          <w:rFonts w:ascii="Arial" w:hAnsi="Arial" w:cs="Arial"/>
          <w:bCs/>
          <w:sz w:val="20"/>
          <w:szCs w:val="20"/>
        </w:rPr>
        <w:t xml:space="preserve"> Consulting a.s.</w:t>
      </w:r>
      <w:r w:rsidR="003D7A48">
        <w:rPr>
          <w:rFonts w:ascii="Arial" w:hAnsi="Arial" w:cs="Arial"/>
          <w:bCs/>
          <w:sz w:val="20"/>
          <w:szCs w:val="20"/>
        </w:rPr>
        <w:t>, Česká republika</w:t>
      </w:r>
      <w:r w:rsidRPr="00264CD2">
        <w:rPr>
          <w:rFonts w:ascii="Arial" w:hAnsi="Arial" w:cs="Arial"/>
          <w:bCs/>
          <w:sz w:val="20"/>
          <w:szCs w:val="20"/>
        </w:rPr>
        <w:t xml:space="preserve"> také například společnosti Broker Consulting Slovensko, Procredia, Prodomia, BC Real, MONECO Investiční společnost a další společnosti meziročně </w:t>
      </w:r>
      <w:r w:rsidRPr="00BD0878">
        <w:rPr>
          <w:rFonts w:ascii="Arial" w:hAnsi="Arial" w:cs="Arial"/>
          <w:bCs/>
          <w:sz w:val="20"/>
          <w:szCs w:val="20"/>
        </w:rPr>
        <w:t>po</w:t>
      </w:r>
      <w:r w:rsidR="00BD0878">
        <w:rPr>
          <w:rFonts w:ascii="Arial" w:hAnsi="Arial" w:cs="Arial"/>
          <w:bCs/>
          <w:sz w:val="20"/>
          <w:szCs w:val="20"/>
        </w:rPr>
        <w:t>sílila o 39 % na obrat 1,205 miliardy</w:t>
      </w:r>
      <w:r w:rsidRPr="00BD0878">
        <w:rPr>
          <w:rFonts w:ascii="Arial" w:hAnsi="Arial" w:cs="Arial"/>
          <w:bCs/>
          <w:sz w:val="20"/>
          <w:szCs w:val="20"/>
        </w:rPr>
        <w:t xml:space="preserve"> korun</w:t>
      </w:r>
      <w:r w:rsidRPr="00264CD2">
        <w:rPr>
          <w:rFonts w:ascii="Arial" w:hAnsi="Arial" w:cs="Arial"/>
          <w:bCs/>
          <w:sz w:val="20"/>
          <w:szCs w:val="20"/>
        </w:rPr>
        <w:t>.</w:t>
      </w:r>
    </w:p>
    <w:p w14:paraId="1CAB30E9" w14:textId="6E8009B2" w:rsidR="007960CF" w:rsidRPr="00264CD2" w:rsidRDefault="007960CF" w:rsidP="003D22A4">
      <w:pPr>
        <w:jc w:val="both"/>
        <w:rPr>
          <w:rFonts w:ascii="Arial" w:hAnsi="Arial" w:cs="Arial"/>
          <w:b/>
          <w:sz w:val="20"/>
          <w:szCs w:val="20"/>
        </w:rPr>
      </w:pPr>
    </w:p>
    <w:p w14:paraId="4100F490" w14:textId="77777777" w:rsidR="007960CF" w:rsidRPr="00264CD2" w:rsidRDefault="007960CF" w:rsidP="003D22A4">
      <w:pPr>
        <w:jc w:val="both"/>
        <w:rPr>
          <w:rFonts w:ascii="Arial" w:hAnsi="Arial" w:cs="Arial"/>
          <w:b/>
          <w:sz w:val="20"/>
          <w:szCs w:val="20"/>
        </w:rPr>
      </w:pPr>
    </w:p>
    <w:p w14:paraId="1A8DCDD6" w14:textId="4D1E5333" w:rsidR="00A84A60" w:rsidRPr="00264CD2" w:rsidRDefault="00A84A60" w:rsidP="003D22A4">
      <w:pPr>
        <w:pBdr>
          <w:bottom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</w:p>
    <w:p w14:paraId="1F6A97CF" w14:textId="574E903A" w:rsidR="00A84A60" w:rsidRPr="00264CD2" w:rsidRDefault="00A84A60" w:rsidP="00D67A6A">
      <w:pPr>
        <w:jc w:val="both"/>
        <w:rPr>
          <w:rFonts w:ascii="Arial" w:hAnsi="Arial" w:cs="Arial"/>
          <w:sz w:val="20"/>
          <w:szCs w:val="20"/>
        </w:rPr>
      </w:pPr>
    </w:p>
    <w:p w14:paraId="7BFFEB77" w14:textId="77777777" w:rsidR="00A84A60" w:rsidRPr="00264CD2" w:rsidRDefault="00A84A60" w:rsidP="00D67A6A">
      <w:pPr>
        <w:jc w:val="both"/>
        <w:rPr>
          <w:rFonts w:ascii="Arial" w:hAnsi="Arial" w:cs="Arial"/>
          <w:sz w:val="20"/>
          <w:szCs w:val="20"/>
        </w:rPr>
      </w:pPr>
    </w:p>
    <w:p w14:paraId="1C37628C" w14:textId="77777777" w:rsidR="00D67A6A" w:rsidRPr="00264CD2" w:rsidRDefault="00D67A6A" w:rsidP="00D67A6A">
      <w:pPr>
        <w:jc w:val="both"/>
        <w:rPr>
          <w:rFonts w:ascii="Arial" w:hAnsi="Arial" w:cs="Arial"/>
          <w:b/>
          <w:sz w:val="20"/>
          <w:szCs w:val="20"/>
        </w:rPr>
      </w:pPr>
      <w:r w:rsidRPr="00264CD2">
        <w:rPr>
          <w:rFonts w:ascii="Arial" w:hAnsi="Arial" w:cs="Arial"/>
          <w:b/>
          <w:sz w:val="20"/>
          <w:szCs w:val="20"/>
        </w:rPr>
        <w:t>O společnosti Broker Consulting</w:t>
      </w:r>
    </w:p>
    <w:p w14:paraId="20A0AA2A" w14:textId="5821A6D5" w:rsidR="00D67A6A" w:rsidRPr="00264CD2" w:rsidRDefault="00D67A6A" w:rsidP="00D67A6A">
      <w:pPr>
        <w:jc w:val="both"/>
        <w:rPr>
          <w:rFonts w:ascii="Arial" w:hAnsi="Arial" w:cs="Arial"/>
          <w:bCs/>
          <w:sz w:val="20"/>
          <w:szCs w:val="20"/>
        </w:rPr>
      </w:pPr>
      <w:r w:rsidRPr="00264CD2">
        <w:rPr>
          <w:rFonts w:ascii="Arial" w:hAnsi="Arial" w:cs="Arial"/>
          <w:bCs/>
          <w:sz w:val="20"/>
          <w:szCs w:val="20"/>
        </w:rPr>
        <w:t>Broker Consulting patří mezi nejvýznamnější společnosti poskytující finanční a realitní služby v České republice a na Slovensku. Svým klientům přináší nadstandardní nabídku finančních, bankovních a realitních služeb.</w:t>
      </w:r>
    </w:p>
    <w:p w14:paraId="04EECD3E" w14:textId="77777777" w:rsidR="00A84A60" w:rsidRDefault="00D67A6A" w:rsidP="00D67A6A">
      <w:pPr>
        <w:rPr>
          <w:rFonts w:ascii="Arial" w:hAnsi="Arial" w:cs="Arial"/>
          <w:bCs/>
          <w:sz w:val="20"/>
          <w:szCs w:val="20"/>
        </w:rPr>
      </w:pPr>
      <w:r w:rsidRPr="00264CD2">
        <w:rPr>
          <w:rFonts w:ascii="Arial" w:hAnsi="Arial" w:cs="Arial"/>
          <w:bCs/>
          <w:sz w:val="20"/>
          <w:szCs w:val="20"/>
        </w:rPr>
        <w:t xml:space="preserve">Od roku 1998 získala důvěru více než 600 000 klientů. Poskytuje také služby přes 4 000 firmám. Distribuci služeb </w:t>
      </w:r>
      <w:r w:rsidRPr="00264CD2">
        <w:rPr>
          <w:rFonts w:ascii="Arial" w:hAnsi="Arial" w:cs="Arial"/>
          <w:bCs/>
          <w:sz w:val="20"/>
          <w:szCs w:val="20"/>
        </w:rPr>
        <w:lastRenderedPageBreak/>
        <w:t xml:space="preserve">zajišťuje přibližně 2 000 konzultantů (profesionální konzultanti, zaměstnanci, konzultanti v zapracování v ČR i SR) ve více než 100 kancelářích a 42 franšízových pobočkách OK POINT. Společnost uvedla na český a slovenský trh řadu inovací. Jednalo se například o investice do otevřených podílových fondů se zamykáním zisků nebo unikátní produkty životního dopojištění, které umožňují pojistit smrt a invaliditu za zlomek obvyklých cen. Bankovní, finanční a realitní služby společně pak přináší franšízový koncept </w:t>
      </w:r>
      <w:r w:rsidRPr="00A84A60">
        <w:rPr>
          <w:rFonts w:ascii="Arial" w:hAnsi="Arial" w:cs="Arial"/>
          <w:bCs/>
          <w:sz w:val="20"/>
          <w:szCs w:val="20"/>
        </w:rPr>
        <w:t>OK POINT, který nabízí společnost Broker Consulting ve spolupráci s mBank a MONETA Money Bank.</w:t>
      </w:r>
    </w:p>
    <w:p w14:paraId="54E9946E" w14:textId="77777777" w:rsidR="00A84A60" w:rsidRDefault="00A84A60" w:rsidP="00D67A6A">
      <w:pPr>
        <w:rPr>
          <w:rFonts w:ascii="Arial" w:hAnsi="Arial" w:cs="Arial"/>
          <w:bCs/>
          <w:sz w:val="20"/>
          <w:szCs w:val="20"/>
        </w:rPr>
      </w:pPr>
    </w:p>
    <w:p w14:paraId="414701EB" w14:textId="77777777" w:rsidR="00D67A6A" w:rsidRPr="00A84A60" w:rsidRDefault="00D67A6A" w:rsidP="00D67A6A">
      <w:pPr>
        <w:jc w:val="both"/>
        <w:rPr>
          <w:rFonts w:ascii="Arial" w:hAnsi="Arial" w:cs="Arial"/>
          <w:sz w:val="20"/>
          <w:szCs w:val="20"/>
        </w:rPr>
      </w:pPr>
    </w:p>
    <w:p w14:paraId="7BEE5548" w14:textId="77777777" w:rsidR="00D67A6A" w:rsidRPr="00A84A60" w:rsidRDefault="00D67A6A" w:rsidP="00D67A6A">
      <w:pPr>
        <w:jc w:val="both"/>
        <w:rPr>
          <w:rFonts w:ascii="Arial" w:hAnsi="Arial" w:cs="Arial"/>
          <w:bCs/>
          <w:sz w:val="20"/>
          <w:szCs w:val="20"/>
        </w:rPr>
      </w:pPr>
    </w:p>
    <w:p w14:paraId="2AF609D0" w14:textId="77777777" w:rsidR="009057C8" w:rsidRPr="00EC23B6" w:rsidRDefault="009057C8" w:rsidP="003E050B">
      <w:pPr>
        <w:jc w:val="both"/>
        <w:rPr>
          <w:rFonts w:ascii="Arial" w:hAnsi="Arial" w:cs="Arial"/>
          <w:bCs/>
          <w:sz w:val="20"/>
          <w:szCs w:val="20"/>
        </w:rPr>
      </w:pPr>
    </w:p>
    <w:p w14:paraId="5C230B7A" w14:textId="77777777" w:rsidR="009057C8" w:rsidRPr="00EC23B6" w:rsidRDefault="009057C8" w:rsidP="009057C8">
      <w:pPr>
        <w:rPr>
          <w:rFonts w:ascii="Arial" w:eastAsia="Calibri" w:hAnsi="Arial" w:cs="Arial"/>
          <w:b/>
          <w:bCs/>
          <w:noProof/>
          <w:sz w:val="20"/>
          <w:szCs w:val="20"/>
        </w:rPr>
      </w:pPr>
      <w:r w:rsidRPr="00EC23B6">
        <w:rPr>
          <w:rFonts w:ascii="Arial" w:eastAsia="Calibri" w:hAnsi="Arial" w:cs="Arial"/>
          <w:b/>
          <w:bCs/>
          <w:noProof/>
          <w:sz w:val="20"/>
          <w:szCs w:val="20"/>
        </w:rPr>
        <w:t>Kontakt pro média:</w:t>
      </w:r>
    </w:p>
    <w:p w14:paraId="477C25A8" w14:textId="77777777" w:rsidR="009057C8" w:rsidRPr="00EC23B6" w:rsidRDefault="009057C8" w:rsidP="009057C8">
      <w:pPr>
        <w:rPr>
          <w:rFonts w:ascii="Arial" w:eastAsia="Calibri" w:hAnsi="Arial" w:cs="Arial"/>
          <w:b/>
          <w:bCs/>
          <w:noProof/>
          <w:sz w:val="18"/>
          <w:szCs w:val="18"/>
          <w:lang w:bidi="ar-SA"/>
        </w:rPr>
      </w:pPr>
      <w:r w:rsidRPr="00EC23B6">
        <w:rPr>
          <w:rFonts w:ascii="Arial" w:hAnsi="Arial" w:cs="Arial"/>
          <w:sz w:val="20"/>
        </w:rPr>
        <w:br/>
      </w:r>
      <w:r w:rsidRPr="00EC23B6">
        <w:rPr>
          <w:rFonts w:ascii="Arial" w:eastAsia="Calibri" w:hAnsi="Arial" w:cs="Arial"/>
          <w:b/>
          <w:bCs/>
          <w:noProof/>
          <w:sz w:val="18"/>
          <w:szCs w:val="18"/>
        </w:rPr>
        <w:t>Tereza Kunová</w:t>
      </w:r>
    </w:p>
    <w:p w14:paraId="00BD6BD0" w14:textId="77777777" w:rsidR="009057C8" w:rsidRPr="00EC23B6" w:rsidRDefault="009057C8" w:rsidP="009057C8">
      <w:pPr>
        <w:spacing w:after="225"/>
        <w:rPr>
          <w:rFonts w:ascii="Arial" w:eastAsia="Calibri" w:hAnsi="Arial" w:cs="Arial"/>
          <w:noProof/>
          <w:sz w:val="18"/>
          <w:szCs w:val="18"/>
        </w:rPr>
      </w:pPr>
      <w:r w:rsidRPr="00EC23B6">
        <w:rPr>
          <w:rFonts w:ascii="Arial" w:eastAsia="Calibri" w:hAnsi="Arial" w:cs="Arial"/>
          <w:noProof/>
          <w:sz w:val="18"/>
          <w:szCs w:val="18"/>
        </w:rPr>
        <w:t>Specialistka PR a externí komunikace</w:t>
      </w:r>
    </w:p>
    <w:p w14:paraId="7DDDAC80" w14:textId="77777777" w:rsidR="009057C8" w:rsidRPr="00EC23B6" w:rsidRDefault="009057C8" w:rsidP="009057C8">
      <w:pPr>
        <w:rPr>
          <w:rFonts w:ascii="Arial" w:eastAsia="Calibri" w:hAnsi="Arial" w:cs="Arial"/>
          <w:b/>
          <w:bCs/>
          <w:noProof/>
          <w:sz w:val="18"/>
          <w:szCs w:val="18"/>
        </w:rPr>
      </w:pPr>
      <w:r w:rsidRPr="00EC23B6">
        <w:rPr>
          <w:rFonts w:ascii="Arial" w:eastAsia="Calibri" w:hAnsi="Arial" w:cs="Arial"/>
          <w:b/>
          <w:bCs/>
          <w:noProof/>
          <w:sz w:val="18"/>
          <w:szCs w:val="18"/>
        </w:rPr>
        <w:t>Broker Consulting, a.s.,</w:t>
      </w:r>
    </w:p>
    <w:p w14:paraId="3C2FB592" w14:textId="77777777" w:rsidR="009057C8" w:rsidRPr="00EC23B6" w:rsidRDefault="009057C8" w:rsidP="009057C8">
      <w:pPr>
        <w:rPr>
          <w:rFonts w:ascii="Arial" w:eastAsia="Calibri" w:hAnsi="Arial" w:cs="Arial"/>
          <w:noProof/>
          <w:sz w:val="18"/>
          <w:szCs w:val="18"/>
        </w:rPr>
      </w:pPr>
      <w:r w:rsidRPr="00EC23B6">
        <w:rPr>
          <w:rFonts w:ascii="Arial" w:eastAsia="Calibri" w:hAnsi="Arial" w:cs="Arial"/>
          <w:noProof/>
          <w:sz w:val="18"/>
          <w:szCs w:val="18"/>
        </w:rPr>
        <w:t>Office Park Nové Butovice (Budova B)</w:t>
      </w:r>
      <w:r w:rsidRPr="00EC23B6">
        <w:rPr>
          <w:rFonts w:ascii="Arial" w:eastAsia="Calibri" w:hAnsi="Arial" w:cs="Arial"/>
          <w:noProof/>
          <w:sz w:val="18"/>
          <w:szCs w:val="18"/>
        </w:rPr>
        <w:br/>
        <w:t>Bucharova 1423/6, 158 00 Praha 5</w:t>
      </w:r>
    </w:p>
    <w:p w14:paraId="0D5565DA" w14:textId="77777777" w:rsidR="009057C8" w:rsidRPr="00EC23B6" w:rsidRDefault="009057C8" w:rsidP="009057C8">
      <w:pPr>
        <w:rPr>
          <w:rFonts w:ascii="Arial" w:eastAsia="Calibri" w:hAnsi="Arial" w:cs="Arial"/>
          <w:noProof/>
          <w:sz w:val="18"/>
          <w:szCs w:val="18"/>
        </w:rPr>
      </w:pPr>
      <w:r w:rsidRPr="00EC23B6">
        <w:rPr>
          <w:rFonts w:ascii="Arial" w:eastAsia="Calibri" w:hAnsi="Arial" w:cs="Arial"/>
          <w:noProof/>
          <w:sz w:val="18"/>
          <w:szCs w:val="18"/>
        </w:rPr>
        <w:t>mobil: +420 731 537 716</w:t>
      </w:r>
    </w:p>
    <w:p w14:paraId="20311E6F" w14:textId="77777777" w:rsidR="009057C8" w:rsidRPr="00EC23B6" w:rsidRDefault="009057C8" w:rsidP="009057C8">
      <w:pPr>
        <w:rPr>
          <w:rFonts w:ascii="Arial" w:eastAsia="Calibri" w:hAnsi="Arial" w:cs="Arial"/>
          <w:noProof/>
          <w:sz w:val="18"/>
          <w:szCs w:val="18"/>
        </w:rPr>
      </w:pPr>
      <w:r w:rsidRPr="00EC23B6">
        <w:rPr>
          <w:rFonts w:ascii="Arial" w:eastAsia="Calibri" w:hAnsi="Arial" w:cs="Arial"/>
          <w:noProof/>
          <w:sz w:val="18"/>
          <w:szCs w:val="18"/>
        </w:rPr>
        <w:t xml:space="preserve">e-mail: </w:t>
      </w:r>
      <w:hyperlink r:id="rId12" w:history="1">
        <w:r w:rsidRPr="00EC23B6">
          <w:rPr>
            <w:rStyle w:val="Hypertextovodkaz"/>
            <w:rFonts w:ascii="Arial" w:eastAsia="Calibri" w:hAnsi="Arial" w:cs="Arial"/>
            <w:noProof/>
            <w:sz w:val="18"/>
            <w:szCs w:val="18"/>
          </w:rPr>
          <w:t>tereza.kunova@bcas.cz</w:t>
        </w:r>
      </w:hyperlink>
      <w:r w:rsidRPr="00EC23B6">
        <w:rPr>
          <w:rFonts w:ascii="Arial" w:eastAsia="Calibri" w:hAnsi="Arial" w:cs="Arial"/>
          <w:noProof/>
          <w:sz w:val="18"/>
          <w:szCs w:val="18"/>
        </w:rPr>
        <w:t xml:space="preserve"> </w:t>
      </w:r>
    </w:p>
    <w:p w14:paraId="230A45C3" w14:textId="77777777" w:rsidR="009057C8" w:rsidRPr="00EC23B6" w:rsidRDefault="009057C8" w:rsidP="003E050B">
      <w:pPr>
        <w:jc w:val="both"/>
        <w:rPr>
          <w:rFonts w:ascii="Arial" w:hAnsi="Arial" w:cs="Arial"/>
          <w:bCs/>
          <w:sz w:val="20"/>
          <w:szCs w:val="20"/>
        </w:rPr>
      </w:pPr>
    </w:p>
    <w:sectPr w:rsidR="009057C8" w:rsidRPr="00EC23B6" w:rsidSect="001364B6">
      <w:type w:val="continuous"/>
      <w:pgSz w:w="11910" w:h="16840"/>
      <w:pgMar w:top="2127" w:right="740" w:bottom="1560" w:left="720" w:header="708" w:footer="2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5563FD" w14:textId="77777777" w:rsidR="00884E6E" w:rsidRDefault="00884E6E">
      <w:r>
        <w:separator/>
      </w:r>
    </w:p>
  </w:endnote>
  <w:endnote w:type="continuationSeparator" w:id="0">
    <w:p w14:paraId="4B70C714" w14:textId="77777777" w:rsidR="00884E6E" w:rsidRDefault="00884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015TEELig">
    <w:altName w:val="Times New Roman"/>
    <w:charset w:val="EE"/>
    <w:family w:val="auto"/>
    <w:pitch w:val="variable"/>
    <w:sig w:usb0="00000001" w:usb1="00002048" w:usb2="00000000" w:usb3="00000000" w:csb0="00000083" w:csb1="00000000"/>
  </w:font>
  <w:font w:name="F015TEEMed">
    <w:altName w:val="Times New Roman"/>
    <w:charset w:val="00"/>
    <w:family w:val="auto"/>
    <w:pitch w:val="variable"/>
    <w:sig w:usb0="00000001" w:usb1="00000000" w:usb2="00000000" w:usb3="00000000" w:csb0="0000008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98B52" w14:textId="77777777" w:rsidR="00D8513A" w:rsidRPr="00E17539" w:rsidRDefault="00D8513A">
    <w:pPr>
      <w:pStyle w:val="Zpat"/>
      <w:rPr>
        <w:rFonts w:ascii="Arial" w:hAnsi="Arial" w:cs="Arial"/>
        <w:color w:val="1D1D1B"/>
        <w:sz w:val="18"/>
        <w:szCs w:val="18"/>
      </w:rPr>
    </w:pPr>
  </w:p>
  <w:p w14:paraId="52B29E6E" w14:textId="69670953" w:rsidR="009057C8" w:rsidRPr="00D8513A" w:rsidRDefault="00E17539" w:rsidP="009057C8">
    <w:pPr>
      <w:spacing w:line="268" w:lineRule="auto"/>
      <w:ind w:left="720" w:right="38" w:firstLine="273"/>
      <w:rPr>
        <w:rFonts w:ascii="Arial" w:hAnsi="Arial" w:cs="Arial"/>
        <w:color w:val="1D1D1B"/>
        <w:sz w:val="18"/>
        <w:szCs w:val="18"/>
      </w:rPr>
    </w:pPr>
    <w:r w:rsidRPr="00D8513A">
      <w:rPr>
        <w:rFonts w:ascii="Arial" w:hAnsi="Arial" w:cs="Arial"/>
        <w:b/>
        <w:color w:val="1D1D1B"/>
        <w:sz w:val="18"/>
        <w:szCs w:val="18"/>
      </w:rPr>
      <w:tab/>
    </w:r>
    <w:r w:rsidR="00D8513A">
      <w:rPr>
        <w:rFonts w:ascii="F015TEEMed" w:hAnsi="F015TEEMed"/>
        <w:color w:val="1D1D1B"/>
      </w:rPr>
      <w:tab/>
    </w:r>
    <w:r w:rsidR="00D8513A">
      <w:rPr>
        <w:rFonts w:ascii="F015TEEMed" w:hAnsi="F015TEEMed"/>
        <w:color w:val="1D1D1B"/>
      </w:rPr>
      <w:tab/>
    </w:r>
  </w:p>
  <w:p w14:paraId="60B9A563" w14:textId="15248EFE" w:rsidR="00D8513A" w:rsidRPr="00D8513A" w:rsidRDefault="00D8513A" w:rsidP="00D8513A">
    <w:pPr>
      <w:spacing w:line="220" w:lineRule="exact"/>
      <w:ind w:left="403" w:firstLine="590"/>
      <w:rPr>
        <w:rFonts w:ascii="Arial" w:hAnsi="Arial" w:cs="Arial"/>
        <w:sz w:val="18"/>
        <w:szCs w:val="18"/>
      </w:rPr>
    </w:pPr>
    <w:r w:rsidRPr="00D8513A">
      <w:rPr>
        <w:rFonts w:ascii="Arial" w:hAnsi="Arial" w:cs="Arial"/>
        <w:color w:val="1D1D1B"/>
        <w:sz w:val="18"/>
        <w:szCs w:val="18"/>
      </w:rPr>
      <w:tab/>
    </w:r>
  </w:p>
  <w:p w14:paraId="4D0ABE7A" w14:textId="77777777" w:rsidR="00E17539" w:rsidRPr="00D8513A" w:rsidRDefault="00E17539" w:rsidP="00D8513A">
    <w:pPr>
      <w:spacing w:line="233" w:lineRule="exact"/>
      <w:ind w:left="993"/>
      <w:rPr>
        <w:rFonts w:ascii="Arial" w:hAnsi="Arial" w:cs="Arial"/>
        <w:sz w:val="18"/>
        <w:szCs w:val="18"/>
      </w:rPr>
    </w:pPr>
  </w:p>
  <w:p w14:paraId="303A344D" w14:textId="77777777" w:rsidR="00E17539" w:rsidRDefault="00E17539">
    <w:pPr>
      <w:pStyle w:val="Zpat"/>
    </w:pPr>
  </w:p>
  <w:p w14:paraId="43F5299E" w14:textId="77777777" w:rsidR="00D31127" w:rsidRDefault="00D31127">
    <w:pPr>
      <w:pStyle w:val="Zkladn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541CC" w14:textId="77777777" w:rsidR="009F59EE" w:rsidRDefault="009F59EE">
    <w:pPr>
      <w:pStyle w:val="Zpat"/>
    </w:pPr>
  </w:p>
  <w:p w14:paraId="03AA08BA" w14:textId="77777777" w:rsidR="00D80B6D" w:rsidRDefault="00D80B6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42E1F8" w14:textId="77777777" w:rsidR="00884E6E" w:rsidRDefault="00884E6E">
      <w:r>
        <w:separator/>
      </w:r>
    </w:p>
  </w:footnote>
  <w:footnote w:type="continuationSeparator" w:id="0">
    <w:p w14:paraId="77C1984B" w14:textId="77777777" w:rsidR="00884E6E" w:rsidRDefault="00884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41E22" w14:textId="52EF24AF" w:rsidR="00956FDD" w:rsidRDefault="00956FDD">
    <w:pPr>
      <w:pStyle w:val="Zhlav"/>
    </w:pPr>
    <w:r>
      <w:rPr>
        <w:noProof/>
        <w:lang w:bidi="ar-SA"/>
      </w:rPr>
      <w:drawing>
        <wp:anchor distT="152400" distB="152400" distL="152400" distR="152400" simplePos="0" relativeHeight="251670528" behindDoc="1" locked="0" layoutInCell="1" allowOverlap="1" wp14:anchorId="3B5F1C8D" wp14:editId="37DD6863">
          <wp:simplePos x="0" y="0"/>
          <wp:positionH relativeFrom="margin">
            <wp:posOffset>4905864</wp:posOffset>
          </wp:positionH>
          <wp:positionV relativeFrom="page">
            <wp:posOffset>319405</wp:posOffset>
          </wp:positionV>
          <wp:extent cx="1699261" cy="838200"/>
          <wp:effectExtent l="0" t="0" r="0" b="0"/>
          <wp:wrapNone/>
          <wp:docPr id="1" name="officeArt object" descr="BC_logo_slo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BC_logo_slog.png" descr="BC_logo_slog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9261" cy="838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88C73" w14:textId="77777777" w:rsidR="003F061B" w:rsidRDefault="003F061B" w:rsidP="003F061B">
    <w:pPr>
      <w:pStyle w:val="Zhlav"/>
      <w:rPr>
        <w:rStyle w:val="dn"/>
        <w:rFonts w:ascii="Arial" w:hAnsi="Arial"/>
        <w:sz w:val="20"/>
        <w:szCs w:val="20"/>
      </w:rPr>
    </w:pPr>
    <w:r>
      <w:rPr>
        <w:noProof/>
        <w:lang w:bidi="ar-SA"/>
      </w:rPr>
      <w:drawing>
        <wp:anchor distT="152400" distB="152400" distL="152400" distR="152400" simplePos="0" relativeHeight="251668480" behindDoc="1" locked="0" layoutInCell="1" allowOverlap="1" wp14:anchorId="7376DE10" wp14:editId="6FC660E8">
          <wp:simplePos x="0" y="0"/>
          <wp:positionH relativeFrom="margin">
            <wp:posOffset>4835378</wp:posOffset>
          </wp:positionH>
          <wp:positionV relativeFrom="page">
            <wp:posOffset>311785</wp:posOffset>
          </wp:positionV>
          <wp:extent cx="1699261" cy="838200"/>
          <wp:effectExtent l="0" t="0" r="0" b="0"/>
          <wp:wrapNone/>
          <wp:docPr id="8" name="officeArt object" descr="BC_logo_slo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BC_logo_slog.png" descr="BC_logo_slog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9261" cy="838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5AE0D1EC" w14:textId="77777777" w:rsidR="003F061B" w:rsidRDefault="003F061B" w:rsidP="003F061B">
    <w:pPr>
      <w:pStyle w:val="Zhlav"/>
      <w:rPr>
        <w:rStyle w:val="dn"/>
        <w:rFonts w:ascii="Arial" w:hAnsi="Arial"/>
        <w:sz w:val="20"/>
        <w:szCs w:val="20"/>
      </w:rPr>
    </w:pPr>
  </w:p>
  <w:p w14:paraId="7DE222C6" w14:textId="77777777" w:rsidR="003F061B" w:rsidRDefault="003F061B" w:rsidP="003F061B">
    <w:pPr>
      <w:pStyle w:val="Zhlav"/>
      <w:tabs>
        <w:tab w:val="clear" w:pos="4536"/>
        <w:tab w:val="clear" w:pos="9072"/>
        <w:tab w:val="left" w:pos="1836"/>
      </w:tabs>
      <w:rPr>
        <w:rStyle w:val="dn"/>
        <w:rFonts w:ascii="Arial" w:hAnsi="Arial"/>
        <w:sz w:val="20"/>
        <w:szCs w:val="20"/>
      </w:rPr>
    </w:pPr>
    <w:r>
      <w:rPr>
        <w:rStyle w:val="dn"/>
        <w:rFonts w:ascii="Arial" w:hAnsi="Arial"/>
        <w:sz w:val="20"/>
        <w:szCs w:val="20"/>
      </w:rPr>
      <w:tab/>
    </w:r>
  </w:p>
  <w:p w14:paraId="675CF02D" w14:textId="1E4B038E" w:rsidR="003F061B" w:rsidRDefault="00956FDD" w:rsidP="00956FDD">
    <w:pPr>
      <w:pStyle w:val="Zhlav"/>
      <w:tabs>
        <w:tab w:val="clear" w:pos="4536"/>
        <w:tab w:val="clear" w:pos="9072"/>
        <w:tab w:val="left" w:pos="1135"/>
      </w:tabs>
      <w:rPr>
        <w:rStyle w:val="dn"/>
        <w:rFonts w:ascii="Arial" w:hAnsi="Arial"/>
        <w:sz w:val="20"/>
        <w:szCs w:val="20"/>
      </w:rPr>
    </w:pPr>
    <w:r>
      <w:rPr>
        <w:rStyle w:val="dn"/>
        <w:rFonts w:ascii="Arial" w:hAnsi="Arial"/>
        <w:sz w:val="20"/>
        <w:szCs w:val="20"/>
      </w:rPr>
      <w:tab/>
    </w:r>
  </w:p>
  <w:p w14:paraId="52C5CD40" w14:textId="2F259738" w:rsidR="009F59EE" w:rsidRDefault="009F59EE" w:rsidP="009F59E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C0F06"/>
    <w:multiLevelType w:val="hybridMultilevel"/>
    <w:tmpl w:val="31B0B806"/>
    <w:lvl w:ilvl="0" w:tplc="3356DF0A">
      <w:numFmt w:val="bullet"/>
      <w:lvlText w:val=""/>
      <w:lvlJc w:val="left"/>
      <w:pPr>
        <w:ind w:left="341" w:hanging="211"/>
      </w:pPr>
      <w:rPr>
        <w:rFonts w:ascii="Wingdings" w:eastAsia="Wingdings" w:hAnsi="Wingdings" w:cs="Wingdings" w:hint="default"/>
        <w:color w:val="CD1719"/>
        <w:w w:val="100"/>
        <w:sz w:val="22"/>
        <w:szCs w:val="22"/>
        <w:lang w:val="cs-CZ" w:eastAsia="cs-CZ" w:bidi="cs-CZ"/>
      </w:rPr>
    </w:lvl>
    <w:lvl w:ilvl="1" w:tplc="1DF000FE">
      <w:numFmt w:val="bullet"/>
      <w:lvlText w:val="•"/>
      <w:lvlJc w:val="left"/>
      <w:pPr>
        <w:ind w:left="813" w:hanging="211"/>
      </w:pPr>
      <w:rPr>
        <w:rFonts w:hint="default"/>
        <w:lang w:val="cs-CZ" w:eastAsia="cs-CZ" w:bidi="cs-CZ"/>
      </w:rPr>
    </w:lvl>
    <w:lvl w:ilvl="2" w:tplc="80FCB91A">
      <w:numFmt w:val="bullet"/>
      <w:lvlText w:val="•"/>
      <w:lvlJc w:val="left"/>
      <w:pPr>
        <w:ind w:left="1286" w:hanging="211"/>
      </w:pPr>
      <w:rPr>
        <w:rFonts w:hint="default"/>
        <w:lang w:val="cs-CZ" w:eastAsia="cs-CZ" w:bidi="cs-CZ"/>
      </w:rPr>
    </w:lvl>
    <w:lvl w:ilvl="3" w:tplc="95182F9E">
      <w:numFmt w:val="bullet"/>
      <w:lvlText w:val="•"/>
      <w:lvlJc w:val="left"/>
      <w:pPr>
        <w:ind w:left="1760" w:hanging="211"/>
      </w:pPr>
      <w:rPr>
        <w:rFonts w:hint="default"/>
        <w:lang w:val="cs-CZ" w:eastAsia="cs-CZ" w:bidi="cs-CZ"/>
      </w:rPr>
    </w:lvl>
    <w:lvl w:ilvl="4" w:tplc="46A6BAA6">
      <w:numFmt w:val="bullet"/>
      <w:lvlText w:val="•"/>
      <w:lvlJc w:val="left"/>
      <w:pPr>
        <w:ind w:left="2233" w:hanging="211"/>
      </w:pPr>
      <w:rPr>
        <w:rFonts w:hint="default"/>
        <w:lang w:val="cs-CZ" w:eastAsia="cs-CZ" w:bidi="cs-CZ"/>
      </w:rPr>
    </w:lvl>
    <w:lvl w:ilvl="5" w:tplc="EDF4598C">
      <w:numFmt w:val="bullet"/>
      <w:lvlText w:val="•"/>
      <w:lvlJc w:val="left"/>
      <w:pPr>
        <w:ind w:left="2707" w:hanging="211"/>
      </w:pPr>
      <w:rPr>
        <w:rFonts w:hint="default"/>
        <w:lang w:val="cs-CZ" w:eastAsia="cs-CZ" w:bidi="cs-CZ"/>
      </w:rPr>
    </w:lvl>
    <w:lvl w:ilvl="6" w:tplc="EAA42A0A">
      <w:numFmt w:val="bullet"/>
      <w:lvlText w:val="•"/>
      <w:lvlJc w:val="left"/>
      <w:pPr>
        <w:ind w:left="3180" w:hanging="211"/>
      </w:pPr>
      <w:rPr>
        <w:rFonts w:hint="default"/>
        <w:lang w:val="cs-CZ" w:eastAsia="cs-CZ" w:bidi="cs-CZ"/>
      </w:rPr>
    </w:lvl>
    <w:lvl w:ilvl="7" w:tplc="24E25A2C">
      <w:numFmt w:val="bullet"/>
      <w:lvlText w:val="•"/>
      <w:lvlJc w:val="left"/>
      <w:pPr>
        <w:ind w:left="3654" w:hanging="211"/>
      </w:pPr>
      <w:rPr>
        <w:rFonts w:hint="default"/>
        <w:lang w:val="cs-CZ" w:eastAsia="cs-CZ" w:bidi="cs-CZ"/>
      </w:rPr>
    </w:lvl>
    <w:lvl w:ilvl="8" w:tplc="A382597A">
      <w:numFmt w:val="bullet"/>
      <w:lvlText w:val="•"/>
      <w:lvlJc w:val="left"/>
      <w:pPr>
        <w:ind w:left="4127" w:hanging="211"/>
      </w:pPr>
      <w:rPr>
        <w:rFonts w:hint="default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127"/>
    <w:rsid w:val="00007E9F"/>
    <w:rsid w:val="00010D04"/>
    <w:rsid w:val="000120DE"/>
    <w:rsid w:val="000248BA"/>
    <w:rsid w:val="00026F23"/>
    <w:rsid w:val="00030741"/>
    <w:rsid w:val="000311F1"/>
    <w:rsid w:val="00031728"/>
    <w:rsid w:val="00032315"/>
    <w:rsid w:val="00032D94"/>
    <w:rsid w:val="000374D7"/>
    <w:rsid w:val="000454D8"/>
    <w:rsid w:val="0005423A"/>
    <w:rsid w:val="00054619"/>
    <w:rsid w:val="0006554C"/>
    <w:rsid w:val="00076D45"/>
    <w:rsid w:val="00092A12"/>
    <w:rsid w:val="00094C65"/>
    <w:rsid w:val="000A3384"/>
    <w:rsid w:val="000A77DA"/>
    <w:rsid w:val="000C799E"/>
    <w:rsid w:val="000D692C"/>
    <w:rsid w:val="000D765A"/>
    <w:rsid w:val="000E1A16"/>
    <w:rsid w:val="000E26AE"/>
    <w:rsid w:val="000E41EB"/>
    <w:rsid w:val="000F0758"/>
    <w:rsid w:val="000F396E"/>
    <w:rsid w:val="000F3B07"/>
    <w:rsid w:val="000F6249"/>
    <w:rsid w:val="00104AD0"/>
    <w:rsid w:val="001064B6"/>
    <w:rsid w:val="00117D51"/>
    <w:rsid w:val="00121C71"/>
    <w:rsid w:val="0012713E"/>
    <w:rsid w:val="0013044E"/>
    <w:rsid w:val="00130B20"/>
    <w:rsid w:val="00131DF9"/>
    <w:rsid w:val="00131F7B"/>
    <w:rsid w:val="0013512D"/>
    <w:rsid w:val="001364B6"/>
    <w:rsid w:val="00137003"/>
    <w:rsid w:val="001432DB"/>
    <w:rsid w:val="00144692"/>
    <w:rsid w:val="00144C68"/>
    <w:rsid w:val="001479CE"/>
    <w:rsid w:val="00150E36"/>
    <w:rsid w:val="001550FB"/>
    <w:rsid w:val="00155CCB"/>
    <w:rsid w:val="001708F8"/>
    <w:rsid w:val="00170B59"/>
    <w:rsid w:val="00177E6B"/>
    <w:rsid w:val="00181BB4"/>
    <w:rsid w:val="00193DA2"/>
    <w:rsid w:val="0019501C"/>
    <w:rsid w:val="001A54DD"/>
    <w:rsid w:val="001A5870"/>
    <w:rsid w:val="001A6E5F"/>
    <w:rsid w:val="001B1C05"/>
    <w:rsid w:val="001B7271"/>
    <w:rsid w:val="001C32FA"/>
    <w:rsid w:val="001C4374"/>
    <w:rsid w:val="001C5F3E"/>
    <w:rsid w:val="001D42AC"/>
    <w:rsid w:val="001E00DB"/>
    <w:rsid w:val="001E2A7A"/>
    <w:rsid w:val="001F032E"/>
    <w:rsid w:val="00203B3D"/>
    <w:rsid w:val="002108A4"/>
    <w:rsid w:val="002223AD"/>
    <w:rsid w:val="00235340"/>
    <w:rsid w:val="00241313"/>
    <w:rsid w:val="00242112"/>
    <w:rsid w:val="00246007"/>
    <w:rsid w:val="00251B9D"/>
    <w:rsid w:val="0025264B"/>
    <w:rsid w:val="0025526B"/>
    <w:rsid w:val="00256CDD"/>
    <w:rsid w:val="00264CD2"/>
    <w:rsid w:val="00267872"/>
    <w:rsid w:val="00270DB3"/>
    <w:rsid w:val="002734C4"/>
    <w:rsid w:val="00275A59"/>
    <w:rsid w:val="0028347F"/>
    <w:rsid w:val="00284068"/>
    <w:rsid w:val="002975D8"/>
    <w:rsid w:val="00297A3F"/>
    <w:rsid w:val="002A63E5"/>
    <w:rsid w:val="002B5023"/>
    <w:rsid w:val="002C0BB2"/>
    <w:rsid w:val="002C6596"/>
    <w:rsid w:val="002E595A"/>
    <w:rsid w:val="002F47C4"/>
    <w:rsid w:val="00300AFB"/>
    <w:rsid w:val="00312713"/>
    <w:rsid w:val="003128F8"/>
    <w:rsid w:val="003209EF"/>
    <w:rsid w:val="00320A26"/>
    <w:rsid w:val="003216A2"/>
    <w:rsid w:val="00323662"/>
    <w:rsid w:val="00324A94"/>
    <w:rsid w:val="00330918"/>
    <w:rsid w:val="00340975"/>
    <w:rsid w:val="00346334"/>
    <w:rsid w:val="00347557"/>
    <w:rsid w:val="00357132"/>
    <w:rsid w:val="003577CE"/>
    <w:rsid w:val="00362ABC"/>
    <w:rsid w:val="00363F70"/>
    <w:rsid w:val="00364AC3"/>
    <w:rsid w:val="00372216"/>
    <w:rsid w:val="00373E95"/>
    <w:rsid w:val="0037601E"/>
    <w:rsid w:val="0038398B"/>
    <w:rsid w:val="00384C67"/>
    <w:rsid w:val="0038737E"/>
    <w:rsid w:val="00392F65"/>
    <w:rsid w:val="00393DFA"/>
    <w:rsid w:val="00394A06"/>
    <w:rsid w:val="003A3FC0"/>
    <w:rsid w:val="003B3739"/>
    <w:rsid w:val="003B43AA"/>
    <w:rsid w:val="003D22A4"/>
    <w:rsid w:val="003D7A48"/>
    <w:rsid w:val="003E050B"/>
    <w:rsid w:val="003E294B"/>
    <w:rsid w:val="003F061B"/>
    <w:rsid w:val="003F4069"/>
    <w:rsid w:val="003F5EB9"/>
    <w:rsid w:val="003F73C3"/>
    <w:rsid w:val="00404480"/>
    <w:rsid w:val="0040621B"/>
    <w:rsid w:val="00412E38"/>
    <w:rsid w:val="004213A6"/>
    <w:rsid w:val="004222B0"/>
    <w:rsid w:val="00423831"/>
    <w:rsid w:val="00426673"/>
    <w:rsid w:val="00427B33"/>
    <w:rsid w:val="00430B47"/>
    <w:rsid w:val="004310AE"/>
    <w:rsid w:val="00434BC6"/>
    <w:rsid w:val="00445D0A"/>
    <w:rsid w:val="00445E76"/>
    <w:rsid w:val="00451FBB"/>
    <w:rsid w:val="0045531F"/>
    <w:rsid w:val="0046226D"/>
    <w:rsid w:val="00480831"/>
    <w:rsid w:val="00491B34"/>
    <w:rsid w:val="004950A4"/>
    <w:rsid w:val="00496574"/>
    <w:rsid w:val="004972CA"/>
    <w:rsid w:val="00497659"/>
    <w:rsid w:val="004B0729"/>
    <w:rsid w:val="004B29A0"/>
    <w:rsid w:val="004C4480"/>
    <w:rsid w:val="004C45C3"/>
    <w:rsid w:val="004D39C0"/>
    <w:rsid w:val="004D7C7E"/>
    <w:rsid w:val="004E1627"/>
    <w:rsid w:val="004E581D"/>
    <w:rsid w:val="004F3261"/>
    <w:rsid w:val="004F5C5B"/>
    <w:rsid w:val="004F6074"/>
    <w:rsid w:val="0050646A"/>
    <w:rsid w:val="00520287"/>
    <w:rsid w:val="00521D66"/>
    <w:rsid w:val="00523B23"/>
    <w:rsid w:val="005266F0"/>
    <w:rsid w:val="00531D18"/>
    <w:rsid w:val="00533350"/>
    <w:rsid w:val="005439F6"/>
    <w:rsid w:val="0054700E"/>
    <w:rsid w:val="005520D1"/>
    <w:rsid w:val="0055350F"/>
    <w:rsid w:val="00553D10"/>
    <w:rsid w:val="00555BBD"/>
    <w:rsid w:val="00567866"/>
    <w:rsid w:val="00581E61"/>
    <w:rsid w:val="00587B4C"/>
    <w:rsid w:val="00594CCA"/>
    <w:rsid w:val="005B13F7"/>
    <w:rsid w:val="005C1BA5"/>
    <w:rsid w:val="005D1BB8"/>
    <w:rsid w:val="005E7CFD"/>
    <w:rsid w:val="005F34D7"/>
    <w:rsid w:val="005F60AE"/>
    <w:rsid w:val="006026CF"/>
    <w:rsid w:val="006046F4"/>
    <w:rsid w:val="0061257E"/>
    <w:rsid w:val="00620E42"/>
    <w:rsid w:val="00621074"/>
    <w:rsid w:val="00622222"/>
    <w:rsid w:val="006377E9"/>
    <w:rsid w:val="006408F8"/>
    <w:rsid w:val="00642CE6"/>
    <w:rsid w:val="006473DA"/>
    <w:rsid w:val="00647E81"/>
    <w:rsid w:val="00650454"/>
    <w:rsid w:val="00650D9C"/>
    <w:rsid w:val="00661912"/>
    <w:rsid w:val="006662EE"/>
    <w:rsid w:val="00667B93"/>
    <w:rsid w:val="006727D9"/>
    <w:rsid w:val="0067391F"/>
    <w:rsid w:val="0068120C"/>
    <w:rsid w:val="00681566"/>
    <w:rsid w:val="006825A0"/>
    <w:rsid w:val="006A1B50"/>
    <w:rsid w:val="006A46CC"/>
    <w:rsid w:val="006A73DB"/>
    <w:rsid w:val="006B111F"/>
    <w:rsid w:val="006B3782"/>
    <w:rsid w:val="006B3D5C"/>
    <w:rsid w:val="006C115B"/>
    <w:rsid w:val="006C3C40"/>
    <w:rsid w:val="006C6899"/>
    <w:rsid w:val="006C7733"/>
    <w:rsid w:val="006D0172"/>
    <w:rsid w:val="006D0FD8"/>
    <w:rsid w:val="006D2759"/>
    <w:rsid w:val="006D6FA7"/>
    <w:rsid w:val="006E1F02"/>
    <w:rsid w:val="006E2E3A"/>
    <w:rsid w:val="006F0460"/>
    <w:rsid w:val="006F262E"/>
    <w:rsid w:val="006F7C4F"/>
    <w:rsid w:val="00721D5B"/>
    <w:rsid w:val="00725F77"/>
    <w:rsid w:val="00731789"/>
    <w:rsid w:val="0073392D"/>
    <w:rsid w:val="00735B10"/>
    <w:rsid w:val="00736A80"/>
    <w:rsid w:val="00737912"/>
    <w:rsid w:val="00737D4B"/>
    <w:rsid w:val="00744B46"/>
    <w:rsid w:val="00752A0D"/>
    <w:rsid w:val="00756CB4"/>
    <w:rsid w:val="00761591"/>
    <w:rsid w:val="007660FA"/>
    <w:rsid w:val="0078049F"/>
    <w:rsid w:val="007919C9"/>
    <w:rsid w:val="007960CF"/>
    <w:rsid w:val="007A1939"/>
    <w:rsid w:val="007A21D6"/>
    <w:rsid w:val="007A56FE"/>
    <w:rsid w:val="007B0579"/>
    <w:rsid w:val="007B0DF8"/>
    <w:rsid w:val="007B144F"/>
    <w:rsid w:val="007C0C48"/>
    <w:rsid w:val="007D548E"/>
    <w:rsid w:val="007F0521"/>
    <w:rsid w:val="007F39FB"/>
    <w:rsid w:val="00800E01"/>
    <w:rsid w:val="0080704C"/>
    <w:rsid w:val="00813D38"/>
    <w:rsid w:val="008169D1"/>
    <w:rsid w:val="00821411"/>
    <w:rsid w:val="008253F5"/>
    <w:rsid w:val="0083124B"/>
    <w:rsid w:val="00861771"/>
    <w:rsid w:val="00876968"/>
    <w:rsid w:val="008835B3"/>
    <w:rsid w:val="00884E6E"/>
    <w:rsid w:val="008853EF"/>
    <w:rsid w:val="00895D46"/>
    <w:rsid w:val="008966FB"/>
    <w:rsid w:val="008A04D3"/>
    <w:rsid w:val="008B603D"/>
    <w:rsid w:val="008C24AB"/>
    <w:rsid w:val="008D35DD"/>
    <w:rsid w:val="008D3D3B"/>
    <w:rsid w:val="008D5477"/>
    <w:rsid w:val="008D6EC3"/>
    <w:rsid w:val="008E0B1C"/>
    <w:rsid w:val="008E5004"/>
    <w:rsid w:val="009057C8"/>
    <w:rsid w:val="009129FF"/>
    <w:rsid w:val="00913370"/>
    <w:rsid w:val="00915ADA"/>
    <w:rsid w:val="00916D7C"/>
    <w:rsid w:val="0093229B"/>
    <w:rsid w:val="0093589F"/>
    <w:rsid w:val="009427B5"/>
    <w:rsid w:val="00943AD5"/>
    <w:rsid w:val="009466E8"/>
    <w:rsid w:val="00953CD0"/>
    <w:rsid w:val="009541FF"/>
    <w:rsid w:val="00954BBE"/>
    <w:rsid w:val="00956FDD"/>
    <w:rsid w:val="00960235"/>
    <w:rsid w:val="009676B8"/>
    <w:rsid w:val="00974CE4"/>
    <w:rsid w:val="009754AE"/>
    <w:rsid w:val="009917A7"/>
    <w:rsid w:val="00997A87"/>
    <w:rsid w:val="009A1910"/>
    <w:rsid w:val="009A5F05"/>
    <w:rsid w:val="009A60E8"/>
    <w:rsid w:val="009C003A"/>
    <w:rsid w:val="009C0ECA"/>
    <w:rsid w:val="009D556F"/>
    <w:rsid w:val="009D6940"/>
    <w:rsid w:val="009E317D"/>
    <w:rsid w:val="009E4CC6"/>
    <w:rsid w:val="009E5A56"/>
    <w:rsid w:val="009E6A0C"/>
    <w:rsid w:val="009E7340"/>
    <w:rsid w:val="009E77B4"/>
    <w:rsid w:val="009F003A"/>
    <w:rsid w:val="009F162B"/>
    <w:rsid w:val="009F2CB2"/>
    <w:rsid w:val="009F59EE"/>
    <w:rsid w:val="009F733A"/>
    <w:rsid w:val="00A00614"/>
    <w:rsid w:val="00A045D3"/>
    <w:rsid w:val="00A10E52"/>
    <w:rsid w:val="00A11FB1"/>
    <w:rsid w:val="00A12BB8"/>
    <w:rsid w:val="00A14DF3"/>
    <w:rsid w:val="00A17222"/>
    <w:rsid w:val="00A17C70"/>
    <w:rsid w:val="00A310D5"/>
    <w:rsid w:val="00A3181A"/>
    <w:rsid w:val="00A36D79"/>
    <w:rsid w:val="00A44C14"/>
    <w:rsid w:val="00A46367"/>
    <w:rsid w:val="00A519BA"/>
    <w:rsid w:val="00A75DC0"/>
    <w:rsid w:val="00A8473E"/>
    <w:rsid w:val="00A84A60"/>
    <w:rsid w:val="00A861F6"/>
    <w:rsid w:val="00A86C55"/>
    <w:rsid w:val="00A86EEE"/>
    <w:rsid w:val="00A942EE"/>
    <w:rsid w:val="00AA1C17"/>
    <w:rsid w:val="00AA2ADB"/>
    <w:rsid w:val="00AA3C5C"/>
    <w:rsid w:val="00AC149A"/>
    <w:rsid w:val="00AC66A4"/>
    <w:rsid w:val="00AD1F6F"/>
    <w:rsid w:val="00AD2AA1"/>
    <w:rsid w:val="00AE08AD"/>
    <w:rsid w:val="00AE1134"/>
    <w:rsid w:val="00B166D7"/>
    <w:rsid w:val="00B223B3"/>
    <w:rsid w:val="00B244B9"/>
    <w:rsid w:val="00B3070C"/>
    <w:rsid w:val="00B3074F"/>
    <w:rsid w:val="00B33387"/>
    <w:rsid w:val="00B33634"/>
    <w:rsid w:val="00B336F5"/>
    <w:rsid w:val="00B43417"/>
    <w:rsid w:val="00B447D9"/>
    <w:rsid w:val="00B500BA"/>
    <w:rsid w:val="00B530B4"/>
    <w:rsid w:val="00B63346"/>
    <w:rsid w:val="00B64FA8"/>
    <w:rsid w:val="00B65A3B"/>
    <w:rsid w:val="00B66253"/>
    <w:rsid w:val="00B6790C"/>
    <w:rsid w:val="00B821D7"/>
    <w:rsid w:val="00B95EBA"/>
    <w:rsid w:val="00BA709B"/>
    <w:rsid w:val="00BB0B1D"/>
    <w:rsid w:val="00BB55C4"/>
    <w:rsid w:val="00BB6E6E"/>
    <w:rsid w:val="00BC30D1"/>
    <w:rsid w:val="00BC659F"/>
    <w:rsid w:val="00BD0878"/>
    <w:rsid w:val="00BD2962"/>
    <w:rsid w:val="00BD49C8"/>
    <w:rsid w:val="00BD5367"/>
    <w:rsid w:val="00BE34DD"/>
    <w:rsid w:val="00BE6D8F"/>
    <w:rsid w:val="00C004C6"/>
    <w:rsid w:val="00C0156C"/>
    <w:rsid w:val="00C02A6D"/>
    <w:rsid w:val="00C05433"/>
    <w:rsid w:val="00C14976"/>
    <w:rsid w:val="00C210E8"/>
    <w:rsid w:val="00C222E1"/>
    <w:rsid w:val="00C314FE"/>
    <w:rsid w:val="00C325F0"/>
    <w:rsid w:val="00C327A4"/>
    <w:rsid w:val="00C360DC"/>
    <w:rsid w:val="00C411C6"/>
    <w:rsid w:val="00C51242"/>
    <w:rsid w:val="00C52CAE"/>
    <w:rsid w:val="00C5625D"/>
    <w:rsid w:val="00C64B40"/>
    <w:rsid w:val="00C709A8"/>
    <w:rsid w:val="00C73B2D"/>
    <w:rsid w:val="00C74211"/>
    <w:rsid w:val="00C75E94"/>
    <w:rsid w:val="00C8311C"/>
    <w:rsid w:val="00C85FB6"/>
    <w:rsid w:val="00C90DC9"/>
    <w:rsid w:val="00C935C4"/>
    <w:rsid w:val="00CA1BD9"/>
    <w:rsid w:val="00CB16BA"/>
    <w:rsid w:val="00CB3490"/>
    <w:rsid w:val="00CB6CA8"/>
    <w:rsid w:val="00CC1A1C"/>
    <w:rsid w:val="00CC2465"/>
    <w:rsid w:val="00CC420A"/>
    <w:rsid w:val="00CD3324"/>
    <w:rsid w:val="00CD458F"/>
    <w:rsid w:val="00CE0608"/>
    <w:rsid w:val="00CE660D"/>
    <w:rsid w:val="00D01832"/>
    <w:rsid w:val="00D023E9"/>
    <w:rsid w:val="00D0584E"/>
    <w:rsid w:val="00D0667A"/>
    <w:rsid w:val="00D07086"/>
    <w:rsid w:val="00D12A22"/>
    <w:rsid w:val="00D251BC"/>
    <w:rsid w:val="00D31127"/>
    <w:rsid w:val="00D32117"/>
    <w:rsid w:val="00D339D8"/>
    <w:rsid w:val="00D363FC"/>
    <w:rsid w:val="00D46609"/>
    <w:rsid w:val="00D470DC"/>
    <w:rsid w:val="00D502DC"/>
    <w:rsid w:val="00D67A6A"/>
    <w:rsid w:val="00D800FE"/>
    <w:rsid w:val="00D80B6D"/>
    <w:rsid w:val="00D8513A"/>
    <w:rsid w:val="00D861B1"/>
    <w:rsid w:val="00DA47F7"/>
    <w:rsid w:val="00DA59FF"/>
    <w:rsid w:val="00DC1DA6"/>
    <w:rsid w:val="00DC49D5"/>
    <w:rsid w:val="00DD4530"/>
    <w:rsid w:val="00DE1A07"/>
    <w:rsid w:val="00DE58E9"/>
    <w:rsid w:val="00DE693B"/>
    <w:rsid w:val="00DE6A74"/>
    <w:rsid w:val="00E10A2A"/>
    <w:rsid w:val="00E12613"/>
    <w:rsid w:val="00E14759"/>
    <w:rsid w:val="00E17539"/>
    <w:rsid w:val="00E30CA0"/>
    <w:rsid w:val="00E53D67"/>
    <w:rsid w:val="00E56B0B"/>
    <w:rsid w:val="00E64177"/>
    <w:rsid w:val="00E67800"/>
    <w:rsid w:val="00E70966"/>
    <w:rsid w:val="00E80F46"/>
    <w:rsid w:val="00E81991"/>
    <w:rsid w:val="00E843EC"/>
    <w:rsid w:val="00E92D9D"/>
    <w:rsid w:val="00E9666C"/>
    <w:rsid w:val="00EA0F5B"/>
    <w:rsid w:val="00EB03B8"/>
    <w:rsid w:val="00EB03E7"/>
    <w:rsid w:val="00EB2623"/>
    <w:rsid w:val="00EB2708"/>
    <w:rsid w:val="00EC23B6"/>
    <w:rsid w:val="00EC643E"/>
    <w:rsid w:val="00ED5B3E"/>
    <w:rsid w:val="00EE1F5F"/>
    <w:rsid w:val="00EE7041"/>
    <w:rsid w:val="00F0040C"/>
    <w:rsid w:val="00F1727F"/>
    <w:rsid w:val="00F20285"/>
    <w:rsid w:val="00F275B4"/>
    <w:rsid w:val="00F4458C"/>
    <w:rsid w:val="00F44AEB"/>
    <w:rsid w:val="00F45620"/>
    <w:rsid w:val="00F46A84"/>
    <w:rsid w:val="00F52865"/>
    <w:rsid w:val="00F575C6"/>
    <w:rsid w:val="00F6166F"/>
    <w:rsid w:val="00F672C1"/>
    <w:rsid w:val="00F7232B"/>
    <w:rsid w:val="00F739AD"/>
    <w:rsid w:val="00F758EC"/>
    <w:rsid w:val="00F76C54"/>
    <w:rsid w:val="00F90831"/>
    <w:rsid w:val="00F9110D"/>
    <w:rsid w:val="00F91686"/>
    <w:rsid w:val="00F92B15"/>
    <w:rsid w:val="00F92CE3"/>
    <w:rsid w:val="00F92D66"/>
    <w:rsid w:val="00F93861"/>
    <w:rsid w:val="00FA366F"/>
    <w:rsid w:val="00FA6489"/>
    <w:rsid w:val="00FB091A"/>
    <w:rsid w:val="00FB11F2"/>
    <w:rsid w:val="00FB1C6A"/>
    <w:rsid w:val="00FB44F0"/>
    <w:rsid w:val="00FB551F"/>
    <w:rsid w:val="00FB73D7"/>
    <w:rsid w:val="00FC0E4C"/>
    <w:rsid w:val="00FC1301"/>
    <w:rsid w:val="00FC7F27"/>
    <w:rsid w:val="00FD14D5"/>
    <w:rsid w:val="00FD3F50"/>
    <w:rsid w:val="00FD486B"/>
    <w:rsid w:val="00FE3A37"/>
    <w:rsid w:val="00FF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1920B6"/>
  <w15:docId w15:val="{E3372840-0219-4C59-AE16-2133D824C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F015TEELig" w:eastAsia="F015TEELig" w:hAnsi="F015TEELig" w:cs="F015TEELig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130"/>
      <w:outlineLvl w:val="0"/>
    </w:pPr>
    <w:rPr>
      <w:sz w:val="32"/>
      <w:szCs w:val="32"/>
    </w:rPr>
  </w:style>
  <w:style w:type="paragraph" w:styleId="Nadpis2">
    <w:name w:val="heading 2"/>
    <w:basedOn w:val="Normln"/>
    <w:uiPriority w:val="1"/>
    <w:qFormat/>
    <w:pPr>
      <w:spacing w:before="97"/>
      <w:ind w:left="2851"/>
      <w:outlineLvl w:val="1"/>
    </w:pPr>
    <w:rPr>
      <w:rFonts w:ascii="F015TEEMed" w:eastAsia="F015TEEMed" w:hAnsi="F015TEEMed" w:cs="F015TEEMed"/>
      <w:sz w:val="28"/>
      <w:szCs w:val="28"/>
    </w:rPr>
  </w:style>
  <w:style w:type="paragraph" w:styleId="Nadpis3">
    <w:name w:val="heading 3"/>
    <w:basedOn w:val="Normln"/>
    <w:uiPriority w:val="1"/>
    <w:qFormat/>
    <w:pPr>
      <w:ind w:left="161"/>
      <w:jc w:val="center"/>
      <w:outlineLvl w:val="2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</w:style>
  <w:style w:type="paragraph" w:styleId="Odstavecseseznamem">
    <w:name w:val="List Paragraph"/>
    <w:basedOn w:val="Normln"/>
    <w:uiPriority w:val="1"/>
    <w:qFormat/>
    <w:pPr>
      <w:ind w:left="341" w:right="38" w:hanging="211"/>
    </w:pPr>
  </w:style>
  <w:style w:type="paragraph" w:customStyle="1" w:styleId="TableParagraph">
    <w:name w:val="Table Paragraph"/>
    <w:basedOn w:val="Normln"/>
    <w:uiPriority w:val="1"/>
    <w:qFormat/>
    <w:pPr>
      <w:spacing w:before="8" w:line="178" w:lineRule="exact"/>
      <w:ind w:left="56"/>
      <w:jc w:val="center"/>
    </w:pPr>
  </w:style>
  <w:style w:type="paragraph" w:styleId="Normlnweb">
    <w:name w:val="Normal (Web)"/>
    <w:basedOn w:val="Normln"/>
    <w:uiPriority w:val="99"/>
    <w:semiHidden/>
    <w:unhideWhenUsed/>
    <w:rsid w:val="009E317D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bidi="ar-SA"/>
    </w:rPr>
  </w:style>
  <w:style w:type="paragraph" w:styleId="Zhlav">
    <w:name w:val="header"/>
    <w:basedOn w:val="Normln"/>
    <w:link w:val="ZhlavChar"/>
    <w:unhideWhenUsed/>
    <w:rsid w:val="00B65A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65A3B"/>
    <w:rPr>
      <w:rFonts w:ascii="F015TEELig" w:eastAsia="F015TEELig" w:hAnsi="F015TEELig" w:cs="F015TEELig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B65A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65A3B"/>
    <w:rPr>
      <w:rFonts w:ascii="F015TEELig" w:eastAsia="F015TEELig" w:hAnsi="F015TEELig" w:cs="F015TEELig"/>
      <w:lang w:val="cs-CZ" w:eastAsia="cs-CZ" w:bidi="cs-CZ"/>
    </w:rPr>
  </w:style>
  <w:style w:type="character" w:styleId="Hypertextovodkaz">
    <w:name w:val="Hyperlink"/>
    <w:basedOn w:val="Standardnpsmoodstavce"/>
    <w:uiPriority w:val="99"/>
    <w:unhideWhenUsed/>
    <w:rsid w:val="000374D7"/>
    <w:rPr>
      <w:color w:val="0000FF" w:themeColor="hyperlink"/>
      <w:u w:val="single"/>
    </w:rPr>
  </w:style>
  <w:style w:type="paragraph" w:styleId="Bezmezer">
    <w:name w:val="No Spacing"/>
    <w:link w:val="BezmezerChar"/>
    <w:uiPriority w:val="1"/>
    <w:qFormat/>
    <w:rsid w:val="00D80B6D"/>
    <w:pPr>
      <w:widowControl/>
      <w:autoSpaceDE/>
      <w:autoSpaceDN/>
    </w:pPr>
    <w:rPr>
      <w:rFonts w:eastAsiaTheme="minorEastAsia"/>
      <w:lang w:val="cs-CZ"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D80B6D"/>
    <w:rPr>
      <w:rFonts w:eastAsiaTheme="minorEastAsia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D80B6D"/>
    <w:rPr>
      <w:rFonts w:ascii="F015TEELig" w:eastAsia="F015TEELig" w:hAnsi="F015TEELig" w:cs="F015TEELig"/>
      <w:lang w:val="cs-CZ" w:eastAsia="cs-CZ" w:bidi="cs-CZ"/>
    </w:rPr>
  </w:style>
  <w:style w:type="character" w:customStyle="1" w:styleId="dn">
    <w:name w:val="Žádný"/>
    <w:rsid w:val="00D80B6D"/>
    <w:rPr>
      <w:lang w:val="de-DE"/>
    </w:rPr>
  </w:style>
  <w:style w:type="character" w:styleId="Odkaznakoment">
    <w:name w:val="annotation reference"/>
    <w:basedOn w:val="Standardnpsmoodstavce"/>
    <w:uiPriority w:val="99"/>
    <w:semiHidden/>
    <w:unhideWhenUsed/>
    <w:rsid w:val="001351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512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512D"/>
    <w:rPr>
      <w:rFonts w:ascii="F015TEELig" w:eastAsia="F015TEELig" w:hAnsi="F015TEELig" w:cs="F015TEELig"/>
      <w:sz w:val="20"/>
      <w:szCs w:val="20"/>
      <w:lang w:val="cs-CZ"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51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512D"/>
    <w:rPr>
      <w:rFonts w:ascii="F015TEELig" w:eastAsia="F015TEELig" w:hAnsi="F015TEELig" w:cs="F015TEELig"/>
      <w:b/>
      <w:bCs/>
      <w:sz w:val="20"/>
      <w:szCs w:val="20"/>
      <w:lang w:val="cs-CZ"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512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512D"/>
    <w:rPr>
      <w:rFonts w:ascii="Segoe UI" w:eastAsia="F015TEELig" w:hAnsi="Segoe UI" w:cs="Segoe UI"/>
      <w:sz w:val="18"/>
      <w:szCs w:val="18"/>
      <w:lang w:val="cs-CZ" w:eastAsia="cs-CZ" w:bidi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120DE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480831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6790C"/>
    <w:pPr>
      <w:widowControl/>
      <w:numPr>
        <w:ilvl w:val="1"/>
      </w:numPr>
      <w:autoSpaceDE/>
      <w:autoSpaceDN/>
      <w:spacing w:after="160" w:line="259" w:lineRule="auto"/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  <w:lang w:eastAsia="en-US" w:bidi="ar-SA"/>
    </w:rPr>
  </w:style>
  <w:style w:type="character" w:customStyle="1" w:styleId="PodnadpisChar">
    <w:name w:val="Podnadpis Char"/>
    <w:basedOn w:val="Standardnpsmoodstavce"/>
    <w:link w:val="Podnadpis"/>
    <w:uiPriority w:val="11"/>
    <w:rsid w:val="00B6790C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  <w:lang w:val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67A6A"/>
    <w:pPr>
      <w:widowControl/>
      <w:autoSpaceDE/>
      <w:autoSpaceDN/>
    </w:pPr>
    <w:rPr>
      <w:rFonts w:ascii="Calibri" w:eastAsiaTheme="minorHAnsi" w:hAnsi="Calibri" w:cs="Calibri"/>
      <w:lang w:eastAsia="en-US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67A6A"/>
    <w:rPr>
      <w:rFonts w:ascii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4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74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ereza.kunova@bcas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FBB21-327C-483E-A7B7-94E0766B7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799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Viola Baštýřová</dc:creator>
  <cp:lastModifiedBy>Tereza Kunová</cp:lastModifiedBy>
  <cp:revision>11</cp:revision>
  <cp:lastPrinted>2021-02-02T12:49:00Z</cp:lastPrinted>
  <dcterms:created xsi:type="dcterms:W3CDTF">2021-07-29T17:05:00Z</dcterms:created>
  <dcterms:modified xsi:type="dcterms:W3CDTF">2021-08-11T06:41:00Z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2019-08-08T00:00:00Z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2019-08-12T00:00:00Z</vt:filetime>
  </property>
</Properties>
</file>