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4DBE9" w14:textId="6E0639B0" w:rsidR="00677C07" w:rsidRDefault="00677C07">
      <w:pPr>
        <w:rPr>
          <w:highlight w:val="yellow"/>
        </w:rPr>
      </w:pPr>
    </w:p>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121A6802"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2A1185">
            <w:rPr>
              <w:rFonts w:ascii="Arial" w:hAnsi="Arial" w:cs="Arial"/>
              <w:b/>
              <w:color w:val="1D1D1B"/>
              <w:sz w:val="24"/>
            </w:rPr>
            <w:t>INDEX HYPOTEČNÍCH ÚVĚRŮ</w:t>
          </w:r>
          <w:r w:rsidRPr="004B5797">
            <w:rPr>
              <w:rFonts w:ascii="Arial" w:hAnsi="Arial" w:cs="Arial"/>
              <w:color w:val="1D1D1B"/>
              <w:sz w:val="24"/>
            </w:rPr>
            <w:t xml:space="preserve">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15233C16" w14:textId="77777777" w:rsidR="00D80B6D" w:rsidRPr="004B5797" w:rsidRDefault="00D80B6D" w:rsidP="00D80B6D">
          <w:pPr>
            <w:spacing w:before="230"/>
            <w:ind w:left="165"/>
            <w:jc w:val="center"/>
            <w:rPr>
              <w:rFonts w:ascii="Arial" w:hAnsi="Arial" w:cs="Arial"/>
              <w:color w:val="CD1719"/>
              <w:sz w:val="24"/>
            </w:rPr>
          </w:pPr>
          <w:r w:rsidRPr="002A1185">
            <w:rPr>
              <w:rFonts w:ascii="Arial" w:hAnsi="Arial" w:cs="Arial"/>
              <w:color w:val="1D1D1B"/>
              <w:sz w:val="24"/>
            </w:rPr>
            <w:t>INDEX PODÍLOVÝCH FONDŮ</w:t>
          </w:r>
          <w:r w:rsidRPr="004B5797">
            <w:rPr>
              <w:rFonts w:ascii="Arial" w:hAnsi="Arial" w:cs="Arial"/>
              <w:color w:val="1D1D1B"/>
              <w:sz w:val="24"/>
            </w:rPr>
            <w:t xml:space="preserve"> </w:t>
          </w:r>
          <w:r w:rsidRPr="004B5797">
            <w:rPr>
              <w:rFonts w:ascii="Arial" w:hAnsi="Arial" w:cs="Arial"/>
              <w:color w:val="CD1719"/>
              <w:sz w:val="24"/>
            </w:rPr>
            <w:t>|</w:t>
          </w:r>
          <w:r w:rsidRPr="004B5797">
            <w:rPr>
              <w:rFonts w:ascii="Arial" w:hAnsi="Arial" w:cs="Arial"/>
              <w:color w:val="1D1D1B"/>
              <w:sz w:val="24"/>
            </w:rPr>
            <w:t xml:space="preserve"> INDEX TYPICKÉHO INVESTORA </w:t>
          </w:r>
        </w:p>
        <w:p w14:paraId="03C4DE47" w14:textId="77777777" w:rsidR="0009776B"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INDEX VOLNÝCH PENĚZ DOMÁCNOSTÍ </w:t>
          </w:r>
        </w:p>
        <w:p w14:paraId="32900BCE" w14:textId="77777777" w:rsidR="00D80B6D"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POV INDEX </w:t>
          </w:r>
        </w:p>
        <w:p w14:paraId="5B21B8A6" w14:textId="77777777" w:rsidR="00D80B6D" w:rsidRPr="009F2CEE" w:rsidRDefault="00D80B6D" w:rsidP="00D80B6D">
          <w:pPr>
            <w:spacing w:before="230"/>
            <w:ind w:left="165"/>
            <w:jc w:val="center"/>
            <w:rPr>
              <w:rFonts w:ascii="Arial" w:hAnsi="Arial" w:cs="Arial"/>
              <w:color w:val="CD1719"/>
              <w:sz w:val="24"/>
            </w:rPr>
          </w:pPr>
          <w:r w:rsidRPr="009F2CEE">
            <w:rPr>
              <w:rFonts w:ascii="Arial" w:hAnsi="Arial" w:cs="Arial"/>
              <w:color w:val="1D1D1B"/>
              <w:sz w:val="24"/>
            </w:rPr>
            <w:t xml:space="preserve">INDEX SPOTŘEBITELSKÝCH ÚVĚRŮ </w:t>
          </w:r>
          <w:r w:rsidRPr="009F2CEE">
            <w:rPr>
              <w:rFonts w:ascii="Arial" w:hAnsi="Arial" w:cs="Arial"/>
              <w:color w:val="CD1719"/>
              <w:sz w:val="24"/>
            </w:rPr>
            <w:t xml:space="preserve"> </w:t>
          </w:r>
        </w:p>
        <w:p w14:paraId="37B597D7" w14:textId="77777777" w:rsidR="00032D94" w:rsidRPr="004B5797" w:rsidRDefault="00D80B6D" w:rsidP="00D80B6D">
          <w:pPr>
            <w:spacing w:before="240" w:line="288" w:lineRule="exact"/>
            <w:ind w:left="162"/>
            <w:jc w:val="center"/>
            <w:rPr>
              <w:rFonts w:ascii="Arial" w:hAnsi="Arial" w:cs="Arial"/>
              <w:color w:val="1D1D1B"/>
              <w:sz w:val="24"/>
            </w:rPr>
          </w:pPr>
          <w:r w:rsidRPr="004B5797">
            <w:rPr>
              <w:rFonts w:ascii="Arial" w:hAnsi="Arial" w:cs="Arial"/>
              <w:color w:val="1D1D1B"/>
              <w:sz w:val="24"/>
            </w:rPr>
            <w:t xml:space="preserve">INDEX FINANČNÍ GRAMOTNOSTI </w:t>
          </w:r>
        </w:p>
        <w:p w14:paraId="4C8EDD49" w14:textId="77777777" w:rsidR="00D80B6D" w:rsidRPr="004B5797" w:rsidRDefault="00D80B6D" w:rsidP="00D80B6D">
          <w:pPr>
            <w:spacing w:before="240" w:line="288" w:lineRule="exact"/>
            <w:ind w:left="162"/>
            <w:jc w:val="center"/>
            <w:rPr>
              <w:rFonts w:ascii="Arial" w:hAnsi="Arial" w:cs="Arial"/>
              <w:sz w:val="24"/>
            </w:rPr>
          </w:pPr>
          <w:r w:rsidRPr="004B5797">
            <w:rPr>
              <w:rFonts w:ascii="Arial" w:hAnsi="Arial" w:cs="Arial"/>
              <w:color w:val="1D1D1B"/>
              <w:sz w:val="24"/>
            </w:rPr>
            <w:t>INDEX OČEKÁVANÝCH CEN PŘI PRODEJI NEMOVITOSTI</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3891EFEA"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40</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w:t>
          </w:r>
          <w:proofErr w:type="spellStart"/>
          <w:r w:rsidRPr="00FC2522">
            <w:rPr>
              <w:rFonts w:ascii="Arial" w:hAnsi="Arial" w:cs="Arial"/>
              <w:sz w:val="18"/>
            </w:rPr>
            <w:t>mBank</w:t>
          </w:r>
          <w:proofErr w:type="spellEnd"/>
          <w:r w:rsidRPr="00FC2522">
            <w:rPr>
              <w:rFonts w:ascii="Arial" w:hAnsi="Arial" w:cs="Arial"/>
              <w:sz w:val="18"/>
            </w:rPr>
            <w:t xml:space="preserve"> a MONETA Money Bank. </w:t>
          </w:r>
          <w:proofErr w:type="spellStart"/>
          <w:r w:rsidRPr="00FC2522">
            <w:rPr>
              <w:rStyle w:val="dn"/>
              <w:rFonts w:ascii="Arial" w:hAnsi="Arial" w:cs="Arial"/>
              <w:sz w:val="18"/>
              <w:szCs w:val="18"/>
            </w:rPr>
            <w:t>Více</w:t>
          </w:r>
          <w:proofErr w:type="spellEnd"/>
          <w:r w:rsidRPr="00FC2522">
            <w:rPr>
              <w:rStyle w:val="dn"/>
              <w:rFonts w:ascii="Arial" w:hAnsi="Arial" w:cs="Arial"/>
              <w:sz w:val="18"/>
              <w:szCs w:val="18"/>
            </w:rPr>
            <w:t xml:space="preserve"> na </w:t>
          </w:r>
          <w:hyperlink r:id="rId9" w:history="1">
            <w:r w:rsidR="007B232E" w:rsidRPr="00F6177F">
              <w:rPr>
                <w:rStyle w:val="Hypertextovodkaz"/>
                <w:rFonts w:ascii="Arial" w:hAnsi="Arial" w:cs="Arial"/>
                <w:sz w:val="18"/>
                <w:szCs w:val="18"/>
              </w:rPr>
              <w:t>bcas.cz</w:t>
            </w:r>
          </w:hyperlink>
          <w:r w:rsidRPr="007B232E">
            <w:rPr>
              <w:rStyle w:val="Hypertextovodkaz"/>
              <w:rFonts w:ascii="Arial" w:hAnsi="Arial" w:cs="Arial"/>
              <w:sz w:val="18"/>
              <w:szCs w:val="18"/>
              <w:u w:val="none"/>
            </w:rPr>
            <w:t xml:space="preserve">, </w:t>
          </w:r>
          <w:hyperlink r:id="rId10" w:history="1">
            <w:r w:rsidR="007B232E" w:rsidRPr="00F6177F">
              <w:rPr>
                <w:rStyle w:val="Hypertextovodkaz"/>
                <w:rFonts w:ascii="Arial" w:hAnsi="Arial" w:cs="Arial"/>
                <w:sz w:val="18"/>
                <w:szCs w:val="18"/>
              </w:rPr>
              <w:t>okpointy.cz</w:t>
            </w:r>
          </w:hyperlink>
          <w:r w:rsidR="007B232E" w:rsidRPr="007B232E">
            <w:rPr>
              <w:rStyle w:val="Hypertextovodkaz"/>
              <w:rFonts w:ascii="Arial" w:hAnsi="Arial" w:cs="Arial"/>
              <w:color w:val="FF0000"/>
              <w:sz w:val="18"/>
              <w:szCs w:val="18"/>
              <w:u w:val="none"/>
            </w:rPr>
            <w:t xml:space="preserve">, </w:t>
          </w:r>
          <w:hyperlink r:id="rId11" w:history="1">
            <w:r w:rsidR="007B232E" w:rsidRPr="007B232E">
              <w:rPr>
                <w:rStyle w:val="Hypertextovodkaz"/>
                <w:rFonts w:ascii="Arial" w:hAnsi="Arial" w:cs="Arial"/>
                <w:sz w:val="18"/>
                <w:szCs w:val="18"/>
              </w:rPr>
              <w:t>okpoint.tv</w:t>
            </w:r>
          </w:hyperlink>
          <w:r w:rsidRPr="00FC2522">
            <w:rPr>
              <w:rStyle w:val="dn"/>
              <w:rFonts w:ascii="Arial" w:hAnsi="Arial" w:cs="Arial"/>
              <w:sz w:val="18"/>
              <w:szCs w:val="18"/>
            </w:rPr>
            <w:t xml:space="preserve"> a na </w:t>
          </w:r>
          <w:hyperlink r:id="rId12" w:history="1">
            <w:r w:rsidRPr="007B232E">
              <w:rPr>
                <w:rStyle w:val="Hypertextovodkaz"/>
                <w:rFonts w:ascii="Arial" w:hAnsi="Arial" w:cs="Arial"/>
                <w:sz w:val="18"/>
                <w:szCs w:val="18"/>
              </w:rPr>
              <w:t>realityspolu.cz</w:t>
            </w:r>
          </w:hyperlink>
          <w:r w:rsidR="007B232E" w:rsidRPr="007B232E">
            <w:rPr>
              <w:rStyle w:val="Hypertextovodkaz"/>
              <w:rFonts w:ascii="Arial" w:hAnsi="Arial" w:cs="Arial"/>
              <w:color w:val="FF0000"/>
              <w:sz w:val="18"/>
              <w:szCs w:val="18"/>
              <w:u w:val="none"/>
            </w:rPr>
            <w:t xml:space="preserve">. </w:t>
          </w:r>
          <w:proofErr w:type="spellStart"/>
          <w:r w:rsidRPr="00FC2522">
            <w:rPr>
              <w:rStyle w:val="dn"/>
              <w:rFonts w:ascii="Arial" w:hAnsi="Arial" w:cs="Arial"/>
              <w:sz w:val="18"/>
              <w:szCs w:val="18"/>
            </w:rPr>
            <w:t>Navštivte</w:t>
          </w:r>
          <w:proofErr w:type="spellEnd"/>
          <w:r w:rsidRPr="00FC2522">
            <w:rPr>
              <w:rStyle w:val="dn"/>
              <w:rFonts w:ascii="Arial" w:hAnsi="Arial" w:cs="Arial"/>
              <w:sz w:val="18"/>
              <w:szCs w:val="18"/>
            </w:rPr>
            <w:t xml:space="preserve"> </w:t>
          </w:r>
          <w:proofErr w:type="spellStart"/>
          <w:r w:rsidRPr="00FC2522">
            <w:rPr>
              <w:rStyle w:val="dn"/>
              <w:rFonts w:ascii="Arial" w:hAnsi="Arial" w:cs="Arial"/>
              <w:sz w:val="18"/>
              <w:szCs w:val="18"/>
            </w:rPr>
            <w:t>také</w:t>
          </w:r>
          <w:proofErr w:type="spellEnd"/>
          <w:r w:rsidRPr="00FC2522">
            <w:rPr>
              <w:rStyle w:val="dn"/>
              <w:rFonts w:ascii="Arial" w:hAnsi="Arial" w:cs="Arial"/>
              <w:sz w:val="18"/>
              <w:szCs w:val="18"/>
            </w:rPr>
            <w:t xml:space="preserve"> </w:t>
          </w:r>
          <w:proofErr w:type="spellStart"/>
          <w:r w:rsidRPr="00FC2522">
            <w:rPr>
              <w:rStyle w:val="dn"/>
              <w:rFonts w:ascii="Arial" w:hAnsi="Arial" w:cs="Arial"/>
              <w:sz w:val="18"/>
              <w:szCs w:val="18"/>
            </w:rPr>
            <w:t>náš</w:t>
          </w:r>
          <w:proofErr w:type="spellEnd"/>
          <w:r w:rsidRPr="00FC2522">
            <w:rPr>
              <w:rStyle w:val="dn"/>
              <w:rFonts w:ascii="Arial" w:hAnsi="Arial" w:cs="Arial"/>
              <w:sz w:val="18"/>
              <w:szCs w:val="18"/>
            </w:rPr>
            <w:t xml:space="preserve"> </w:t>
          </w:r>
          <w:hyperlink r:id="rId13" w:history="1">
            <w:r w:rsidRPr="007B232E">
              <w:rPr>
                <w:rStyle w:val="Hypertextovodkaz"/>
                <w:rFonts w:ascii="Arial" w:hAnsi="Arial" w:cs="Arial"/>
                <w:color w:val="0066FF"/>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4" w:history="1">
            <w:r w:rsidRPr="007B232E">
              <w:rPr>
                <w:rStyle w:val="Hypertextovodkaz"/>
                <w:rFonts w:ascii="Arial" w:hAnsi="Arial" w:cs="Arial"/>
                <w:color w:val="0066FF"/>
                <w:sz w:val="18"/>
                <w:szCs w:val="18"/>
              </w:rPr>
              <w:t>LinkedIN</w:t>
            </w:r>
          </w:hyperlink>
          <w:r w:rsidRPr="00FC2522">
            <w:rPr>
              <w:rStyle w:val="dn"/>
              <w:rFonts w:ascii="Arial" w:hAnsi="Arial" w:cs="Arial"/>
              <w:sz w:val="18"/>
              <w:szCs w:val="18"/>
            </w:rPr>
            <w:t xml:space="preserve"> Broker Consulting a </w:t>
          </w:r>
          <w:hyperlink r:id="rId15" w:history="1">
            <w:r w:rsidRPr="007B232E">
              <w:rPr>
                <w:rStyle w:val="Hypertextovodkaz"/>
                <w:rFonts w:ascii="Arial" w:hAnsi="Arial" w:cs="Arial"/>
                <w:color w:val="0066FF"/>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6" w:history="1">
            <w:r w:rsidRPr="007B232E">
              <w:rPr>
                <w:rStyle w:val="Hypertextovodkaz"/>
                <w:rFonts w:ascii="Arial" w:hAnsi="Arial" w:cs="Arial"/>
                <w:color w:val="0066FF"/>
                <w:sz w:val="18"/>
                <w:szCs w:val="18"/>
              </w:rPr>
              <w:t>LinkedI</w:t>
            </w:r>
          </w:hyperlink>
          <w:r w:rsidRPr="007B232E">
            <w:rPr>
              <w:rStyle w:val="Hypertextovodkaz"/>
              <w:rFonts w:ascii="Arial" w:hAnsi="Arial" w:cs="Arial"/>
              <w:color w:val="0066FF"/>
              <w:sz w:val="18"/>
              <w:szCs w:val="18"/>
            </w:rPr>
            <w:t>N</w:t>
          </w:r>
          <w:r w:rsidRPr="007B232E">
            <w:rPr>
              <w:rStyle w:val="dn"/>
              <w:rFonts w:ascii="Arial" w:hAnsi="Arial" w:cs="Arial"/>
              <w:color w:val="0066FF"/>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7"/>
              <w:footerReference w:type="default" r:id="rId18"/>
              <w:pgSz w:w="11910" w:h="16840"/>
              <w:pgMar w:top="960" w:right="740" w:bottom="0" w:left="720" w:header="708" w:footer="708" w:gutter="0"/>
              <w:cols w:space="708"/>
            </w:sectPr>
          </w:pPr>
        </w:p>
        <w:p w14:paraId="35539C65" w14:textId="1251B28C" w:rsidR="00D31127" w:rsidRPr="00FC2522" w:rsidRDefault="00481D66" w:rsidP="0025264B">
          <w:pPr>
            <w:rPr>
              <w:rFonts w:ascii="Arial" w:hAnsi="Arial" w:cs="Arial"/>
              <w:b/>
              <w:sz w:val="20"/>
              <w:szCs w:val="20"/>
              <w:highlight w:val="yellow"/>
            </w:rPr>
            <w:sectPr w:rsidR="00D31127" w:rsidRPr="00FC2522"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45655022" w14:textId="77777777" w:rsidR="0073009C" w:rsidRDefault="0073009C" w:rsidP="001675AF">
      <w:pPr>
        <w:jc w:val="center"/>
        <w:rPr>
          <w:rFonts w:ascii="Arial" w:hAnsi="Arial" w:cs="Arial"/>
          <w:b/>
          <w:sz w:val="24"/>
          <w:szCs w:val="24"/>
        </w:rPr>
      </w:pPr>
    </w:p>
    <w:p w14:paraId="303CCAEC" w14:textId="77777777" w:rsidR="00CC0CB0" w:rsidRDefault="00CC0CB0" w:rsidP="001675AF">
      <w:pPr>
        <w:jc w:val="center"/>
        <w:rPr>
          <w:rFonts w:ascii="Arial" w:hAnsi="Arial" w:cs="Arial"/>
          <w:b/>
          <w:sz w:val="24"/>
          <w:szCs w:val="24"/>
        </w:rPr>
      </w:pPr>
    </w:p>
    <w:p w14:paraId="428A29B0" w14:textId="1E8EE814" w:rsidR="00982987" w:rsidRPr="00435115" w:rsidRDefault="00E52CEE" w:rsidP="001675AF">
      <w:pPr>
        <w:jc w:val="center"/>
        <w:rPr>
          <w:rFonts w:ascii="Arial" w:hAnsi="Arial" w:cs="Arial"/>
          <w:b/>
          <w:sz w:val="20"/>
          <w:szCs w:val="20"/>
        </w:rPr>
      </w:pPr>
      <w:r>
        <w:rPr>
          <w:rFonts w:ascii="Arial" w:hAnsi="Arial" w:cs="Arial"/>
          <w:b/>
          <w:sz w:val="24"/>
          <w:szCs w:val="24"/>
        </w:rPr>
        <w:t xml:space="preserve">Růst úroků z hypotečních úvěrů nabírá rychlejší tempo, </w:t>
      </w:r>
      <w:r w:rsidR="002B6F4E">
        <w:rPr>
          <w:rFonts w:ascii="Arial" w:hAnsi="Arial" w:cs="Arial"/>
          <w:b/>
          <w:sz w:val="24"/>
          <w:szCs w:val="24"/>
        </w:rPr>
        <w:t xml:space="preserve">v dubnu </w:t>
      </w:r>
      <w:r>
        <w:rPr>
          <w:rFonts w:ascii="Arial" w:hAnsi="Arial" w:cs="Arial"/>
          <w:b/>
          <w:sz w:val="24"/>
          <w:szCs w:val="24"/>
        </w:rPr>
        <w:t xml:space="preserve">jejich průměrná hodnota poskočila o </w:t>
      </w:r>
      <w:r w:rsidR="00736FB9" w:rsidRPr="00736FB9">
        <w:rPr>
          <w:rFonts w:ascii="Arial" w:hAnsi="Arial" w:cs="Arial"/>
          <w:b/>
          <w:sz w:val="24"/>
          <w:szCs w:val="24"/>
        </w:rPr>
        <w:t>0,</w:t>
      </w:r>
      <w:r w:rsidRPr="00736FB9">
        <w:rPr>
          <w:rFonts w:ascii="Arial" w:hAnsi="Arial" w:cs="Arial"/>
          <w:b/>
          <w:sz w:val="24"/>
          <w:szCs w:val="24"/>
        </w:rPr>
        <w:t>12 procentních</w:t>
      </w:r>
      <w:r>
        <w:rPr>
          <w:rFonts w:ascii="Arial" w:hAnsi="Arial" w:cs="Arial"/>
          <w:b/>
          <w:sz w:val="24"/>
          <w:szCs w:val="24"/>
        </w:rPr>
        <w:t xml:space="preserve"> bodů na 2,12 %</w:t>
      </w:r>
      <w:r w:rsidR="00A719A5" w:rsidRPr="00435115">
        <w:rPr>
          <w:rFonts w:ascii="Arial" w:hAnsi="Arial" w:cs="Arial"/>
          <w:b/>
          <w:sz w:val="24"/>
          <w:szCs w:val="24"/>
        </w:rPr>
        <w:t xml:space="preserve"> </w:t>
      </w:r>
    </w:p>
    <w:p w14:paraId="7467897D" w14:textId="4CCE2F85" w:rsidR="00C23E32" w:rsidRDefault="00C23E32" w:rsidP="00B27178">
      <w:pPr>
        <w:jc w:val="both"/>
        <w:rPr>
          <w:rFonts w:ascii="Arial" w:hAnsi="Arial" w:cs="Arial"/>
          <w:b/>
          <w:sz w:val="20"/>
          <w:szCs w:val="20"/>
        </w:rPr>
      </w:pPr>
    </w:p>
    <w:p w14:paraId="1809EC78" w14:textId="77777777" w:rsidR="00CC0CB0" w:rsidRDefault="00CC0CB0" w:rsidP="00CA7CAF">
      <w:pPr>
        <w:jc w:val="both"/>
        <w:rPr>
          <w:rFonts w:ascii="Arial" w:hAnsi="Arial" w:cs="Arial"/>
          <w:i/>
          <w:sz w:val="20"/>
          <w:szCs w:val="20"/>
        </w:rPr>
      </w:pPr>
    </w:p>
    <w:p w14:paraId="0AAA3F8D" w14:textId="6F8763C7" w:rsidR="00FF6F67" w:rsidRPr="00FF6F67" w:rsidRDefault="00E6319B" w:rsidP="00CA7CAF">
      <w:pPr>
        <w:jc w:val="both"/>
        <w:rPr>
          <w:rFonts w:ascii="Arial" w:eastAsia="Times New Roman" w:hAnsi="Arial" w:cs="Arial"/>
          <w:b/>
          <w:sz w:val="20"/>
          <w:szCs w:val="20"/>
        </w:rPr>
      </w:pPr>
      <w:r w:rsidRPr="00140987">
        <w:rPr>
          <w:rFonts w:ascii="Arial" w:hAnsi="Arial" w:cs="Arial"/>
          <w:i/>
          <w:sz w:val="20"/>
          <w:szCs w:val="20"/>
        </w:rPr>
        <w:t xml:space="preserve">Praha, </w:t>
      </w:r>
      <w:r w:rsidR="002D3534" w:rsidRPr="00140987">
        <w:rPr>
          <w:rFonts w:ascii="Arial" w:hAnsi="Arial" w:cs="Arial"/>
          <w:i/>
          <w:sz w:val="20"/>
          <w:szCs w:val="20"/>
        </w:rPr>
        <w:t>1</w:t>
      </w:r>
      <w:r w:rsidR="0020207A">
        <w:rPr>
          <w:rFonts w:ascii="Arial" w:hAnsi="Arial" w:cs="Arial"/>
          <w:i/>
          <w:sz w:val="20"/>
          <w:szCs w:val="20"/>
        </w:rPr>
        <w:t>8</w:t>
      </w:r>
      <w:bookmarkStart w:id="0" w:name="_GoBack"/>
      <w:bookmarkEnd w:id="0"/>
      <w:r w:rsidR="00F84A4F" w:rsidRPr="00140987">
        <w:rPr>
          <w:rFonts w:ascii="Arial" w:hAnsi="Arial" w:cs="Arial"/>
          <w:i/>
          <w:sz w:val="20"/>
          <w:szCs w:val="20"/>
        </w:rPr>
        <w:t>.</w:t>
      </w:r>
      <w:r w:rsidRPr="00140987">
        <w:rPr>
          <w:rFonts w:ascii="Arial" w:hAnsi="Arial" w:cs="Arial"/>
          <w:i/>
          <w:sz w:val="20"/>
          <w:szCs w:val="20"/>
        </w:rPr>
        <w:t xml:space="preserve"> </w:t>
      </w:r>
      <w:r w:rsidR="00D47B55">
        <w:rPr>
          <w:rFonts w:ascii="Arial" w:hAnsi="Arial" w:cs="Arial"/>
          <w:i/>
          <w:sz w:val="20"/>
          <w:szCs w:val="20"/>
        </w:rPr>
        <w:t>května</w:t>
      </w:r>
      <w:r w:rsidRPr="00140987">
        <w:rPr>
          <w:rFonts w:ascii="Arial" w:hAnsi="Arial" w:cs="Arial"/>
          <w:i/>
          <w:sz w:val="20"/>
          <w:szCs w:val="20"/>
        </w:rPr>
        <w:t xml:space="preserve"> 2021</w:t>
      </w:r>
      <w:r w:rsidRPr="00140987">
        <w:rPr>
          <w:rFonts w:ascii="Arial" w:hAnsi="Arial" w:cs="Arial"/>
          <w:sz w:val="20"/>
          <w:szCs w:val="20"/>
        </w:rPr>
        <w:t xml:space="preserve"> </w:t>
      </w:r>
      <w:r w:rsidR="000851AC" w:rsidRPr="00140987">
        <w:rPr>
          <w:rFonts w:ascii="Arial" w:hAnsi="Arial" w:cs="Arial"/>
          <w:sz w:val="20"/>
          <w:szCs w:val="20"/>
        </w:rPr>
        <w:t>–</w:t>
      </w:r>
      <w:r w:rsidR="000851AC" w:rsidRPr="00140987">
        <w:rPr>
          <w:rFonts w:ascii="Arial" w:hAnsi="Arial" w:cs="Arial"/>
          <w:b/>
          <w:sz w:val="20"/>
          <w:szCs w:val="20"/>
        </w:rPr>
        <w:t xml:space="preserve"> </w:t>
      </w:r>
      <w:r w:rsidR="00434C5D">
        <w:rPr>
          <w:rFonts w:ascii="Arial" w:hAnsi="Arial" w:cs="Arial"/>
          <w:b/>
          <w:sz w:val="20"/>
          <w:szCs w:val="20"/>
        </w:rPr>
        <w:t xml:space="preserve">Dubnové </w:t>
      </w:r>
      <w:r w:rsidR="00434C5D" w:rsidRPr="00BA1D82">
        <w:rPr>
          <w:rFonts w:ascii="Arial" w:hAnsi="Arial" w:cs="Arial"/>
          <w:b/>
          <w:sz w:val="20"/>
          <w:szCs w:val="20"/>
        </w:rPr>
        <w:t xml:space="preserve">výsledky </w:t>
      </w:r>
      <w:r w:rsidR="00434C5D" w:rsidRPr="00BA1D82">
        <w:rPr>
          <w:rFonts w:ascii="Arial" w:hAnsi="Arial" w:cs="Arial"/>
          <w:b/>
          <w:bCs/>
          <w:sz w:val="20"/>
          <w:szCs w:val="20"/>
          <w:shd w:val="clear" w:color="auto" w:fill="FFFFFF"/>
        </w:rPr>
        <w:t xml:space="preserve">Broker Consulting Indexu hypotečních úvěrů </w:t>
      </w:r>
      <w:r w:rsidR="00BA1D82">
        <w:rPr>
          <w:rFonts w:ascii="Arial" w:hAnsi="Arial" w:cs="Arial"/>
          <w:b/>
          <w:bCs/>
          <w:sz w:val="20"/>
          <w:szCs w:val="20"/>
          <w:shd w:val="clear" w:color="auto" w:fill="FFFFFF"/>
        </w:rPr>
        <w:t xml:space="preserve">naplno </w:t>
      </w:r>
      <w:r w:rsidR="00434C5D" w:rsidRPr="00BA1D82">
        <w:rPr>
          <w:rFonts w:ascii="Arial" w:hAnsi="Arial" w:cs="Arial"/>
          <w:b/>
          <w:bCs/>
          <w:sz w:val="20"/>
          <w:szCs w:val="20"/>
          <w:shd w:val="clear" w:color="auto" w:fill="FFFFFF"/>
        </w:rPr>
        <w:t>odráž</w:t>
      </w:r>
      <w:r w:rsidR="00CB7254">
        <w:rPr>
          <w:rFonts w:ascii="Arial" w:hAnsi="Arial" w:cs="Arial"/>
          <w:b/>
          <w:bCs/>
          <w:sz w:val="20"/>
          <w:szCs w:val="20"/>
          <w:shd w:val="clear" w:color="auto" w:fill="FFFFFF"/>
        </w:rPr>
        <w:t>ej</w:t>
      </w:r>
      <w:r w:rsidR="00434C5D" w:rsidRPr="00BA1D82">
        <w:rPr>
          <w:rFonts w:ascii="Arial" w:hAnsi="Arial" w:cs="Arial"/>
          <w:b/>
          <w:bCs/>
          <w:sz w:val="20"/>
          <w:szCs w:val="20"/>
          <w:shd w:val="clear" w:color="auto" w:fill="FFFFFF"/>
        </w:rPr>
        <w:t xml:space="preserve">í </w:t>
      </w:r>
      <w:r w:rsidR="00434C5D" w:rsidRPr="00BA1D82">
        <w:rPr>
          <w:rFonts w:ascii="Arial" w:eastAsia="Times New Roman" w:hAnsi="Arial" w:cs="Arial"/>
          <w:b/>
          <w:sz w:val="20"/>
          <w:szCs w:val="20"/>
        </w:rPr>
        <w:t xml:space="preserve">avizované </w:t>
      </w:r>
      <w:r w:rsidR="006A150C">
        <w:rPr>
          <w:rFonts w:ascii="Arial" w:eastAsia="Times New Roman" w:hAnsi="Arial" w:cs="Arial"/>
          <w:b/>
          <w:sz w:val="20"/>
          <w:szCs w:val="20"/>
        </w:rPr>
        <w:t>zvyšování</w:t>
      </w:r>
      <w:r w:rsidR="006A150C" w:rsidRPr="00BA1D82">
        <w:rPr>
          <w:rFonts w:ascii="Arial" w:eastAsia="Times New Roman" w:hAnsi="Arial" w:cs="Arial"/>
          <w:b/>
          <w:sz w:val="20"/>
          <w:szCs w:val="20"/>
        </w:rPr>
        <w:t xml:space="preserve"> </w:t>
      </w:r>
      <w:r w:rsidR="00434C5D" w:rsidRPr="00BA1D82">
        <w:rPr>
          <w:rFonts w:ascii="Arial" w:eastAsia="Times New Roman" w:hAnsi="Arial" w:cs="Arial"/>
          <w:b/>
          <w:sz w:val="20"/>
          <w:szCs w:val="20"/>
        </w:rPr>
        <w:t xml:space="preserve">úrokových sazeb. </w:t>
      </w:r>
      <w:r w:rsidR="006A150C">
        <w:rPr>
          <w:rFonts w:ascii="Arial" w:eastAsia="Times New Roman" w:hAnsi="Arial" w:cs="Arial"/>
          <w:b/>
          <w:sz w:val="20"/>
          <w:szCs w:val="20"/>
        </w:rPr>
        <w:t>Průměrné sazby</w:t>
      </w:r>
      <w:r w:rsidR="00FF6F67" w:rsidRPr="00BA1D82">
        <w:rPr>
          <w:rFonts w:ascii="Arial" w:eastAsia="Times New Roman" w:hAnsi="Arial" w:cs="Arial"/>
          <w:b/>
          <w:sz w:val="20"/>
          <w:szCs w:val="20"/>
        </w:rPr>
        <w:t xml:space="preserve"> </w:t>
      </w:r>
      <w:r w:rsidR="006A150C">
        <w:rPr>
          <w:rFonts w:ascii="Arial" w:eastAsia="Times New Roman" w:hAnsi="Arial" w:cs="Arial"/>
          <w:b/>
          <w:sz w:val="20"/>
          <w:szCs w:val="20"/>
        </w:rPr>
        <w:t xml:space="preserve">se </w:t>
      </w:r>
      <w:r w:rsidR="00FF6F67" w:rsidRPr="00BA1D82">
        <w:rPr>
          <w:rFonts w:ascii="Arial" w:eastAsia="Times New Roman" w:hAnsi="Arial" w:cs="Arial"/>
          <w:b/>
          <w:sz w:val="20"/>
          <w:szCs w:val="20"/>
        </w:rPr>
        <w:t xml:space="preserve">oproti březnu </w:t>
      </w:r>
      <w:r w:rsidR="006A150C">
        <w:rPr>
          <w:rFonts w:ascii="Arial" w:eastAsia="Times New Roman" w:hAnsi="Arial" w:cs="Arial"/>
          <w:b/>
          <w:sz w:val="20"/>
          <w:szCs w:val="20"/>
        </w:rPr>
        <w:t xml:space="preserve">zvýšily </w:t>
      </w:r>
      <w:r w:rsidR="00FF6F67" w:rsidRPr="00BA1D82">
        <w:rPr>
          <w:rFonts w:ascii="Arial" w:eastAsia="Times New Roman" w:hAnsi="Arial" w:cs="Arial"/>
          <w:b/>
          <w:sz w:val="20"/>
          <w:szCs w:val="20"/>
        </w:rPr>
        <w:t xml:space="preserve">o </w:t>
      </w:r>
      <w:r w:rsidR="00736FB9">
        <w:rPr>
          <w:rFonts w:ascii="Arial" w:eastAsia="Times New Roman" w:hAnsi="Arial" w:cs="Arial"/>
          <w:b/>
          <w:sz w:val="20"/>
          <w:szCs w:val="20"/>
        </w:rPr>
        <w:t>0,</w:t>
      </w:r>
      <w:r w:rsidR="00FF6F67" w:rsidRPr="00BA1D82">
        <w:rPr>
          <w:rFonts w:ascii="Arial" w:eastAsia="Times New Roman" w:hAnsi="Arial" w:cs="Arial"/>
          <w:b/>
          <w:sz w:val="20"/>
          <w:szCs w:val="20"/>
        </w:rPr>
        <w:t>12 procentních</w:t>
      </w:r>
      <w:r w:rsidR="00BA1D82" w:rsidRPr="00BA1D82">
        <w:rPr>
          <w:rFonts w:ascii="Arial" w:eastAsia="Times New Roman" w:hAnsi="Arial" w:cs="Arial"/>
          <w:b/>
          <w:sz w:val="20"/>
          <w:szCs w:val="20"/>
        </w:rPr>
        <w:t xml:space="preserve"> bodů na 2,12 %. </w:t>
      </w:r>
      <w:r w:rsidR="002D3534">
        <w:rPr>
          <w:rFonts w:ascii="Arial" w:eastAsia="Times New Roman" w:hAnsi="Arial" w:cs="Arial"/>
          <w:b/>
          <w:sz w:val="20"/>
          <w:szCs w:val="20"/>
        </w:rPr>
        <w:t>Jejich r</w:t>
      </w:r>
      <w:r w:rsidR="00FF6F67" w:rsidRPr="00BA1D82">
        <w:rPr>
          <w:rFonts w:ascii="Arial" w:eastAsia="Times New Roman" w:hAnsi="Arial" w:cs="Arial"/>
          <w:b/>
          <w:sz w:val="20"/>
          <w:szCs w:val="20"/>
        </w:rPr>
        <w:t>ůst tak nabírá rychlejší tempo</w:t>
      </w:r>
      <w:r w:rsidR="00FF6F67">
        <w:rPr>
          <w:rFonts w:ascii="Arial" w:eastAsia="Times New Roman" w:hAnsi="Arial" w:cs="Arial"/>
          <w:b/>
          <w:sz w:val="20"/>
          <w:szCs w:val="20"/>
        </w:rPr>
        <w:t xml:space="preserve">, které </w:t>
      </w:r>
      <w:r w:rsidR="00BA1D82">
        <w:rPr>
          <w:rFonts w:ascii="Arial" w:eastAsia="Times New Roman" w:hAnsi="Arial" w:cs="Arial"/>
          <w:b/>
          <w:sz w:val="20"/>
          <w:szCs w:val="20"/>
        </w:rPr>
        <w:t xml:space="preserve">v podobě zdražení měsíčních splátek pocítí </w:t>
      </w:r>
      <w:r w:rsidR="002D3534">
        <w:rPr>
          <w:rFonts w:ascii="Arial" w:eastAsia="Times New Roman" w:hAnsi="Arial" w:cs="Arial"/>
          <w:b/>
          <w:sz w:val="20"/>
          <w:szCs w:val="20"/>
        </w:rPr>
        <w:t xml:space="preserve">nejen </w:t>
      </w:r>
      <w:r w:rsidR="00BA1D82">
        <w:rPr>
          <w:rFonts w:ascii="Arial" w:eastAsia="Times New Roman" w:hAnsi="Arial" w:cs="Arial"/>
          <w:b/>
          <w:sz w:val="20"/>
          <w:szCs w:val="20"/>
        </w:rPr>
        <w:t>klienti</w:t>
      </w:r>
      <w:r w:rsidR="006A150C">
        <w:rPr>
          <w:rFonts w:ascii="Arial" w:eastAsia="Times New Roman" w:hAnsi="Arial" w:cs="Arial"/>
          <w:b/>
          <w:sz w:val="20"/>
          <w:szCs w:val="20"/>
        </w:rPr>
        <w:t xml:space="preserve">, </w:t>
      </w:r>
      <w:r w:rsidR="002D3534">
        <w:rPr>
          <w:rFonts w:ascii="Arial" w:eastAsia="Times New Roman" w:hAnsi="Arial" w:cs="Arial"/>
          <w:b/>
          <w:sz w:val="20"/>
          <w:szCs w:val="20"/>
        </w:rPr>
        <w:t xml:space="preserve">kteří si chtějí vzít hypotéku, ale i ti </w:t>
      </w:r>
      <w:r w:rsidR="006A150C">
        <w:rPr>
          <w:rFonts w:ascii="Arial" w:eastAsia="Times New Roman" w:hAnsi="Arial" w:cs="Arial"/>
          <w:b/>
          <w:sz w:val="20"/>
          <w:szCs w:val="20"/>
        </w:rPr>
        <w:t xml:space="preserve">stávající, kterým končí fixace úrokové sazby. </w:t>
      </w:r>
    </w:p>
    <w:p w14:paraId="2742174A" w14:textId="41A765C7" w:rsidR="00C9156E" w:rsidRPr="00795D79" w:rsidRDefault="00C9156E" w:rsidP="00CA7CAF">
      <w:pPr>
        <w:tabs>
          <w:tab w:val="left" w:pos="2411"/>
        </w:tabs>
        <w:jc w:val="both"/>
        <w:rPr>
          <w:rFonts w:ascii="Arial" w:hAnsi="Arial" w:cs="Arial"/>
          <w:i/>
          <w:color w:val="FF0000"/>
          <w:sz w:val="20"/>
          <w:szCs w:val="20"/>
        </w:rPr>
      </w:pPr>
    </w:p>
    <w:p w14:paraId="67F4C004" w14:textId="02D693BC" w:rsidR="00BA1D82" w:rsidRDefault="00795D79" w:rsidP="004B5104">
      <w:pPr>
        <w:jc w:val="both"/>
        <w:rPr>
          <w:rFonts w:ascii="Arial" w:eastAsia="Times New Roman" w:hAnsi="Arial" w:cs="Arial"/>
          <w:b/>
          <w:sz w:val="20"/>
          <w:szCs w:val="20"/>
        </w:rPr>
      </w:pPr>
      <w:r w:rsidRPr="00795D79">
        <w:rPr>
          <w:rFonts w:ascii="Arial" w:eastAsia="Times New Roman" w:hAnsi="Arial" w:cs="Arial"/>
          <w:i/>
          <w:sz w:val="20"/>
          <w:szCs w:val="20"/>
        </w:rPr>
        <w:t>„</w:t>
      </w:r>
      <w:r w:rsidR="006A150C">
        <w:rPr>
          <w:rFonts w:ascii="Arial" w:eastAsia="Times New Roman" w:hAnsi="Arial" w:cs="Arial"/>
          <w:i/>
          <w:sz w:val="20"/>
          <w:szCs w:val="20"/>
        </w:rPr>
        <w:t>Vývoj úrokových sazeb v p</w:t>
      </w:r>
      <w:r w:rsidR="00BA1D82" w:rsidRPr="00795D79">
        <w:rPr>
          <w:rFonts w:ascii="Arial" w:eastAsia="Times New Roman" w:hAnsi="Arial" w:cs="Arial"/>
          <w:i/>
          <w:sz w:val="20"/>
          <w:szCs w:val="20"/>
        </w:rPr>
        <w:t>oslední</w:t>
      </w:r>
      <w:r w:rsidR="006A150C">
        <w:rPr>
          <w:rFonts w:ascii="Arial" w:eastAsia="Times New Roman" w:hAnsi="Arial" w:cs="Arial"/>
          <w:i/>
          <w:sz w:val="20"/>
          <w:szCs w:val="20"/>
        </w:rPr>
        <w:t>ch</w:t>
      </w:r>
      <w:r w:rsidR="00BA1D82" w:rsidRPr="00795D79">
        <w:rPr>
          <w:rFonts w:ascii="Arial" w:eastAsia="Times New Roman" w:hAnsi="Arial" w:cs="Arial"/>
          <w:i/>
          <w:sz w:val="20"/>
          <w:szCs w:val="20"/>
        </w:rPr>
        <w:t xml:space="preserve"> měsíc</w:t>
      </w:r>
      <w:r w:rsidR="006A150C">
        <w:rPr>
          <w:rFonts w:ascii="Arial" w:eastAsia="Times New Roman" w:hAnsi="Arial" w:cs="Arial"/>
          <w:i/>
          <w:sz w:val="20"/>
          <w:szCs w:val="20"/>
        </w:rPr>
        <w:t>ích</w:t>
      </w:r>
      <w:r w:rsidR="00BA1D82" w:rsidRPr="00795D79">
        <w:rPr>
          <w:rFonts w:ascii="Arial" w:eastAsia="Times New Roman" w:hAnsi="Arial" w:cs="Arial"/>
          <w:i/>
          <w:sz w:val="20"/>
          <w:szCs w:val="20"/>
        </w:rPr>
        <w:t xml:space="preserve"> jasně potvrdil, že sazbám pod 2 % definitivně odzvonilo.</w:t>
      </w:r>
      <w:r>
        <w:rPr>
          <w:rFonts w:ascii="Arial" w:eastAsia="Times New Roman" w:hAnsi="Arial" w:cs="Arial"/>
          <w:i/>
          <w:sz w:val="20"/>
          <w:szCs w:val="20"/>
        </w:rPr>
        <w:t xml:space="preserve"> </w:t>
      </w:r>
      <w:r w:rsidR="006A150C">
        <w:rPr>
          <w:rFonts w:ascii="Arial" w:eastAsia="Times New Roman" w:hAnsi="Arial" w:cs="Arial"/>
          <w:i/>
          <w:sz w:val="20"/>
          <w:szCs w:val="20"/>
        </w:rPr>
        <w:t>Už v dubnu se začal</w:t>
      </w:r>
      <w:r w:rsidR="002D3534">
        <w:rPr>
          <w:rFonts w:ascii="Arial" w:eastAsia="Times New Roman" w:hAnsi="Arial" w:cs="Arial"/>
          <w:i/>
          <w:sz w:val="20"/>
          <w:szCs w:val="20"/>
        </w:rPr>
        <w:t>y</w:t>
      </w:r>
      <w:r w:rsidR="006A150C">
        <w:rPr>
          <w:rFonts w:ascii="Arial" w:eastAsia="Times New Roman" w:hAnsi="Arial" w:cs="Arial"/>
          <w:i/>
          <w:sz w:val="20"/>
          <w:szCs w:val="20"/>
        </w:rPr>
        <w:t xml:space="preserve"> pomalu zv</w:t>
      </w:r>
      <w:r w:rsidR="00A7372B">
        <w:rPr>
          <w:rFonts w:ascii="Arial" w:eastAsia="Times New Roman" w:hAnsi="Arial" w:cs="Arial"/>
          <w:i/>
          <w:sz w:val="20"/>
          <w:szCs w:val="20"/>
        </w:rPr>
        <w:t>eda</w:t>
      </w:r>
      <w:r w:rsidR="006A150C">
        <w:rPr>
          <w:rFonts w:ascii="Arial" w:eastAsia="Times New Roman" w:hAnsi="Arial" w:cs="Arial"/>
          <w:i/>
          <w:sz w:val="20"/>
          <w:szCs w:val="20"/>
        </w:rPr>
        <w:t xml:space="preserve">t, </w:t>
      </w:r>
      <w:r w:rsidR="00A7372B">
        <w:rPr>
          <w:rFonts w:ascii="Arial" w:eastAsia="Times New Roman" w:hAnsi="Arial" w:cs="Arial"/>
          <w:i/>
          <w:sz w:val="20"/>
          <w:szCs w:val="20"/>
        </w:rPr>
        <w:t>nicméně</w:t>
      </w:r>
      <w:r w:rsidR="006A150C">
        <w:rPr>
          <w:rFonts w:ascii="Arial" w:eastAsia="Times New Roman" w:hAnsi="Arial" w:cs="Arial"/>
          <w:i/>
          <w:sz w:val="20"/>
          <w:szCs w:val="20"/>
        </w:rPr>
        <w:t xml:space="preserve"> o</w:t>
      </w:r>
      <w:r>
        <w:rPr>
          <w:rFonts w:ascii="Arial" w:eastAsia="Times New Roman" w:hAnsi="Arial" w:cs="Arial"/>
          <w:i/>
          <w:sz w:val="20"/>
          <w:szCs w:val="20"/>
        </w:rPr>
        <w:t>d počátku května</w:t>
      </w:r>
      <w:r w:rsidR="00BA1D82" w:rsidRPr="00795D79">
        <w:rPr>
          <w:rFonts w:ascii="Arial" w:eastAsia="Times New Roman" w:hAnsi="Arial" w:cs="Arial"/>
          <w:i/>
          <w:sz w:val="20"/>
          <w:szCs w:val="20"/>
        </w:rPr>
        <w:t xml:space="preserve"> </w:t>
      </w:r>
      <w:r w:rsidRPr="00795D79">
        <w:rPr>
          <w:rFonts w:ascii="Arial" w:eastAsia="Times New Roman" w:hAnsi="Arial" w:cs="Arial"/>
          <w:i/>
          <w:sz w:val="20"/>
          <w:szCs w:val="20"/>
        </w:rPr>
        <w:t xml:space="preserve">nabírá </w:t>
      </w:r>
      <w:r>
        <w:rPr>
          <w:rFonts w:ascii="Arial" w:eastAsia="Times New Roman" w:hAnsi="Arial" w:cs="Arial"/>
          <w:i/>
          <w:sz w:val="20"/>
          <w:szCs w:val="20"/>
        </w:rPr>
        <w:t>j</w:t>
      </w:r>
      <w:r w:rsidRPr="00795D79">
        <w:rPr>
          <w:rFonts w:ascii="Arial" w:eastAsia="Times New Roman" w:hAnsi="Arial" w:cs="Arial"/>
          <w:i/>
          <w:sz w:val="20"/>
          <w:szCs w:val="20"/>
        </w:rPr>
        <w:t>ejich růst stále větší obrátk</w:t>
      </w:r>
      <w:r w:rsidR="002D3534">
        <w:rPr>
          <w:rFonts w:ascii="Arial" w:eastAsia="Times New Roman" w:hAnsi="Arial" w:cs="Arial"/>
          <w:i/>
          <w:sz w:val="20"/>
          <w:szCs w:val="20"/>
        </w:rPr>
        <w:t>y</w:t>
      </w:r>
      <w:r w:rsidR="008D1E94">
        <w:rPr>
          <w:rFonts w:ascii="Arial" w:eastAsia="Times New Roman" w:hAnsi="Arial" w:cs="Arial"/>
          <w:i/>
          <w:sz w:val="20"/>
          <w:szCs w:val="20"/>
        </w:rPr>
        <w:t>.</w:t>
      </w:r>
      <w:r w:rsidRPr="00795D79">
        <w:rPr>
          <w:rFonts w:ascii="Arial" w:eastAsia="Times New Roman" w:hAnsi="Arial" w:cs="Arial"/>
          <w:i/>
          <w:sz w:val="20"/>
          <w:szCs w:val="20"/>
        </w:rPr>
        <w:t xml:space="preserve"> </w:t>
      </w:r>
      <w:r w:rsidR="006A150C">
        <w:rPr>
          <w:rFonts w:ascii="Arial" w:eastAsia="Times New Roman" w:hAnsi="Arial" w:cs="Arial"/>
          <w:i/>
          <w:sz w:val="20"/>
          <w:szCs w:val="20"/>
        </w:rPr>
        <w:t>D</w:t>
      </w:r>
      <w:r w:rsidRPr="00795D79">
        <w:rPr>
          <w:rFonts w:ascii="Arial" w:eastAsia="Times New Roman" w:hAnsi="Arial" w:cs="Arial"/>
          <w:i/>
          <w:sz w:val="20"/>
          <w:szCs w:val="20"/>
        </w:rPr>
        <w:t xml:space="preserve">nes už se diskuze nevede o tom, kdy se sazby začnou zvyšovat, ale </w:t>
      </w:r>
      <w:r>
        <w:rPr>
          <w:rFonts w:ascii="Arial" w:eastAsia="Times New Roman" w:hAnsi="Arial" w:cs="Arial"/>
          <w:i/>
          <w:sz w:val="20"/>
          <w:szCs w:val="20"/>
        </w:rPr>
        <w:t xml:space="preserve">o tom, </w:t>
      </w:r>
      <w:r w:rsidRPr="00795D79">
        <w:rPr>
          <w:rFonts w:ascii="Arial" w:eastAsia="Times New Roman" w:hAnsi="Arial" w:cs="Arial"/>
          <w:i/>
          <w:sz w:val="20"/>
          <w:szCs w:val="20"/>
        </w:rPr>
        <w:t>kdy se jejich zvyšování zastaví,“</w:t>
      </w:r>
      <w:r>
        <w:rPr>
          <w:rFonts w:ascii="Arial" w:eastAsia="Times New Roman" w:hAnsi="Arial" w:cs="Arial"/>
          <w:b/>
          <w:sz w:val="20"/>
          <w:szCs w:val="20"/>
        </w:rPr>
        <w:t xml:space="preserve"> </w:t>
      </w:r>
      <w:r w:rsidRPr="00795D79">
        <w:rPr>
          <w:rFonts w:ascii="Arial" w:eastAsia="Times New Roman" w:hAnsi="Arial" w:cs="Arial"/>
          <w:sz w:val="20"/>
          <w:szCs w:val="20"/>
        </w:rPr>
        <w:t>komentuje aktuální vývoj</w:t>
      </w:r>
      <w:r>
        <w:rPr>
          <w:rFonts w:ascii="Arial" w:eastAsia="Times New Roman" w:hAnsi="Arial" w:cs="Arial"/>
          <w:b/>
          <w:sz w:val="20"/>
          <w:szCs w:val="20"/>
        </w:rPr>
        <w:t xml:space="preserve"> Martin Novák, hlavní analytik Broker Consulting</w:t>
      </w:r>
      <w:r w:rsidRPr="00CB4952">
        <w:rPr>
          <w:rFonts w:ascii="Arial" w:eastAsia="Times New Roman" w:hAnsi="Arial" w:cs="Arial"/>
          <w:b/>
          <w:sz w:val="20"/>
          <w:szCs w:val="20"/>
        </w:rPr>
        <w:t>.</w:t>
      </w:r>
    </w:p>
    <w:p w14:paraId="054A1B04" w14:textId="1EF8309E" w:rsidR="004D4D9F" w:rsidRDefault="004D4D9F" w:rsidP="004B5104">
      <w:pPr>
        <w:jc w:val="both"/>
        <w:rPr>
          <w:rFonts w:ascii="Arial" w:eastAsia="Times New Roman" w:hAnsi="Arial" w:cs="Arial"/>
          <w:sz w:val="20"/>
          <w:szCs w:val="20"/>
        </w:rPr>
      </w:pPr>
    </w:p>
    <w:p w14:paraId="06FB102C" w14:textId="153AB4DF" w:rsidR="004D4D9F" w:rsidRDefault="00795D79" w:rsidP="004B5104">
      <w:pPr>
        <w:jc w:val="both"/>
        <w:rPr>
          <w:rFonts w:ascii="Arial" w:eastAsia="Times New Roman" w:hAnsi="Arial" w:cs="Arial"/>
          <w:b/>
          <w:sz w:val="20"/>
          <w:szCs w:val="20"/>
        </w:rPr>
      </w:pPr>
      <w:r>
        <w:rPr>
          <w:rFonts w:ascii="Arial" w:eastAsia="Times New Roman" w:hAnsi="Arial" w:cs="Arial"/>
          <w:b/>
          <w:sz w:val="20"/>
          <w:szCs w:val="20"/>
        </w:rPr>
        <w:t>Velká změna n</w:t>
      </w:r>
      <w:r w:rsidR="004D4D9F" w:rsidRPr="004D4D9F">
        <w:rPr>
          <w:rFonts w:ascii="Arial" w:eastAsia="Times New Roman" w:hAnsi="Arial" w:cs="Arial"/>
          <w:b/>
          <w:sz w:val="20"/>
          <w:szCs w:val="20"/>
        </w:rPr>
        <w:t xml:space="preserve">a </w:t>
      </w:r>
      <w:r>
        <w:rPr>
          <w:rFonts w:ascii="Arial" w:eastAsia="Times New Roman" w:hAnsi="Arial" w:cs="Arial"/>
          <w:b/>
          <w:sz w:val="20"/>
          <w:szCs w:val="20"/>
        </w:rPr>
        <w:t xml:space="preserve">hypotečním </w:t>
      </w:r>
      <w:r w:rsidR="004D4D9F" w:rsidRPr="004D4D9F">
        <w:rPr>
          <w:rFonts w:ascii="Arial" w:eastAsia="Times New Roman" w:hAnsi="Arial" w:cs="Arial"/>
          <w:b/>
          <w:sz w:val="20"/>
          <w:szCs w:val="20"/>
        </w:rPr>
        <w:t xml:space="preserve">trhu </w:t>
      </w:r>
    </w:p>
    <w:p w14:paraId="577FAF9F" w14:textId="77777777" w:rsidR="004D4D9F" w:rsidRPr="00434C5D" w:rsidRDefault="004D4D9F" w:rsidP="004B5104">
      <w:pPr>
        <w:jc w:val="both"/>
        <w:rPr>
          <w:rFonts w:ascii="Arial" w:eastAsia="Times New Roman" w:hAnsi="Arial" w:cs="Arial"/>
          <w:sz w:val="20"/>
          <w:szCs w:val="20"/>
        </w:rPr>
      </w:pPr>
    </w:p>
    <w:p w14:paraId="68A8166E" w14:textId="31F409FE" w:rsidR="004D4D9F" w:rsidRPr="00434C5D" w:rsidRDefault="004D4D9F" w:rsidP="004B5104">
      <w:pPr>
        <w:jc w:val="both"/>
        <w:rPr>
          <w:rFonts w:ascii="Arial" w:eastAsia="Times New Roman" w:hAnsi="Arial" w:cs="Arial"/>
          <w:sz w:val="20"/>
          <w:szCs w:val="20"/>
        </w:rPr>
      </w:pPr>
      <w:r w:rsidRPr="00434C5D">
        <w:rPr>
          <w:rFonts w:ascii="Arial" w:eastAsia="Times New Roman" w:hAnsi="Arial" w:cs="Arial"/>
          <w:sz w:val="20"/>
          <w:szCs w:val="20"/>
        </w:rPr>
        <w:t xml:space="preserve">Tou je bezpochyby skokový </w:t>
      </w:r>
      <w:r w:rsidR="004B5104">
        <w:rPr>
          <w:rFonts w:ascii="Arial" w:eastAsia="Times New Roman" w:hAnsi="Arial" w:cs="Arial"/>
          <w:sz w:val="20"/>
          <w:szCs w:val="20"/>
        </w:rPr>
        <w:t>ná</w:t>
      </w:r>
      <w:r w:rsidRPr="00434C5D">
        <w:rPr>
          <w:rFonts w:ascii="Arial" w:eastAsia="Times New Roman" w:hAnsi="Arial" w:cs="Arial"/>
          <w:sz w:val="20"/>
          <w:szCs w:val="20"/>
        </w:rPr>
        <w:t>růst úrokových sazeb u většiny velkých i malých poskytovatelů napříč celým</w:t>
      </w:r>
      <w:r w:rsidR="00A7372B">
        <w:rPr>
          <w:rFonts w:ascii="Arial" w:eastAsia="Times New Roman" w:hAnsi="Arial" w:cs="Arial"/>
          <w:sz w:val="20"/>
          <w:szCs w:val="20"/>
        </w:rPr>
        <w:t xml:space="preserve"> hypotečním</w:t>
      </w:r>
      <w:r w:rsidRPr="00434C5D">
        <w:rPr>
          <w:rFonts w:ascii="Arial" w:eastAsia="Times New Roman" w:hAnsi="Arial" w:cs="Arial"/>
          <w:sz w:val="20"/>
          <w:szCs w:val="20"/>
        </w:rPr>
        <w:t xml:space="preserve"> trhem. Až do konce dubna se spíše jednalo o kosmetické úpravy</w:t>
      </w:r>
      <w:r w:rsidR="00795D79">
        <w:rPr>
          <w:rFonts w:ascii="Arial" w:eastAsia="Times New Roman" w:hAnsi="Arial" w:cs="Arial"/>
          <w:sz w:val="20"/>
          <w:szCs w:val="20"/>
        </w:rPr>
        <w:t xml:space="preserve"> úrokových</w:t>
      </w:r>
      <w:r w:rsidR="00903020">
        <w:rPr>
          <w:rFonts w:ascii="Arial" w:eastAsia="Times New Roman" w:hAnsi="Arial" w:cs="Arial"/>
          <w:sz w:val="20"/>
          <w:szCs w:val="20"/>
        </w:rPr>
        <w:t xml:space="preserve"> lístků, jejichž výsledkem byl nárůst</w:t>
      </w:r>
      <w:r w:rsidR="00434C5D">
        <w:rPr>
          <w:rFonts w:ascii="Arial" w:eastAsia="Times New Roman" w:hAnsi="Arial" w:cs="Arial"/>
          <w:sz w:val="20"/>
          <w:szCs w:val="20"/>
        </w:rPr>
        <w:t xml:space="preserve"> </w:t>
      </w:r>
      <w:r w:rsidR="00795D79">
        <w:rPr>
          <w:rFonts w:ascii="Arial" w:eastAsia="Times New Roman" w:hAnsi="Arial" w:cs="Arial"/>
          <w:sz w:val="20"/>
          <w:szCs w:val="20"/>
        </w:rPr>
        <w:t xml:space="preserve">nanejvýš </w:t>
      </w:r>
      <w:r w:rsidR="00434C5D">
        <w:rPr>
          <w:rFonts w:ascii="Arial" w:eastAsia="Times New Roman" w:hAnsi="Arial" w:cs="Arial"/>
          <w:sz w:val="20"/>
          <w:szCs w:val="20"/>
        </w:rPr>
        <w:t>o 0,</w:t>
      </w:r>
      <w:r w:rsidR="00677C07">
        <w:rPr>
          <w:rFonts w:ascii="Arial" w:eastAsia="Times New Roman" w:hAnsi="Arial" w:cs="Arial"/>
          <w:sz w:val="20"/>
          <w:szCs w:val="20"/>
        </w:rPr>
        <w:t>1</w:t>
      </w:r>
      <w:r w:rsidR="00434C5D">
        <w:rPr>
          <w:rFonts w:ascii="Arial" w:eastAsia="Times New Roman" w:hAnsi="Arial" w:cs="Arial"/>
          <w:sz w:val="20"/>
          <w:szCs w:val="20"/>
        </w:rPr>
        <w:t xml:space="preserve"> procentního bodu</w:t>
      </w:r>
      <w:r w:rsidRPr="00434C5D">
        <w:rPr>
          <w:rFonts w:ascii="Arial" w:eastAsia="Times New Roman" w:hAnsi="Arial" w:cs="Arial"/>
          <w:sz w:val="20"/>
          <w:szCs w:val="20"/>
        </w:rPr>
        <w:t>,</w:t>
      </w:r>
      <w:r w:rsidR="00795D79">
        <w:rPr>
          <w:rFonts w:ascii="Arial" w:eastAsia="Times New Roman" w:hAnsi="Arial" w:cs="Arial"/>
          <w:sz w:val="20"/>
          <w:szCs w:val="20"/>
        </w:rPr>
        <w:t xml:space="preserve"> navíc pouze </w:t>
      </w:r>
      <w:r w:rsidRPr="00434C5D">
        <w:rPr>
          <w:rFonts w:ascii="Arial" w:eastAsia="Times New Roman" w:hAnsi="Arial" w:cs="Arial"/>
          <w:sz w:val="20"/>
          <w:szCs w:val="20"/>
        </w:rPr>
        <w:t>u delších fixací. Nyní však poskytovatelé úvěrů začínají jeden po druhém zvedat úrokové sazby o něco razantněji</w:t>
      </w:r>
      <w:r w:rsidR="00795D79">
        <w:rPr>
          <w:rFonts w:ascii="Arial" w:eastAsia="Times New Roman" w:hAnsi="Arial" w:cs="Arial"/>
          <w:sz w:val="20"/>
          <w:szCs w:val="20"/>
        </w:rPr>
        <w:t xml:space="preserve"> a</w:t>
      </w:r>
      <w:r w:rsidRPr="00434C5D">
        <w:rPr>
          <w:rFonts w:ascii="Arial" w:eastAsia="Times New Roman" w:hAnsi="Arial" w:cs="Arial"/>
          <w:sz w:val="20"/>
          <w:szCs w:val="20"/>
        </w:rPr>
        <w:t xml:space="preserve"> někteří z nich současně přistupují i k úpravě systému slev na těchto sazbách. </w:t>
      </w:r>
    </w:p>
    <w:p w14:paraId="13715C39" w14:textId="3E1490CF" w:rsidR="004D4D9F" w:rsidRDefault="004D4D9F" w:rsidP="004B5104">
      <w:pPr>
        <w:jc w:val="both"/>
        <w:rPr>
          <w:rFonts w:ascii="Arial" w:eastAsia="Times New Roman" w:hAnsi="Arial" w:cs="Arial"/>
          <w:sz w:val="20"/>
          <w:szCs w:val="20"/>
        </w:rPr>
      </w:pPr>
    </w:p>
    <w:p w14:paraId="360436E8" w14:textId="208BB9CC" w:rsidR="00434C5D" w:rsidRDefault="00434C5D" w:rsidP="004B5104">
      <w:pPr>
        <w:jc w:val="both"/>
        <w:rPr>
          <w:rFonts w:ascii="Arial" w:eastAsia="Times New Roman" w:hAnsi="Arial" w:cs="Arial"/>
          <w:b/>
          <w:sz w:val="20"/>
          <w:szCs w:val="20"/>
        </w:rPr>
      </w:pPr>
      <w:r w:rsidRPr="00434C5D">
        <w:rPr>
          <w:rFonts w:ascii="Arial" w:eastAsia="Times New Roman" w:hAnsi="Arial" w:cs="Arial"/>
          <w:b/>
          <w:sz w:val="20"/>
          <w:szCs w:val="20"/>
        </w:rPr>
        <w:t xml:space="preserve">Zdražení splátek </w:t>
      </w:r>
      <w:r>
        <w:rPr>
          <w:rFonts w:ascii="Arial" w:eastAsia="Times New Roman" w:hAnsi="Arial" w:cs="Arial"/>
          <w:b/>
          <w:sz w:val="20"/>
          <w:szCs w:val="20"/>
        </w:rPr>
        <w:t xml:space="preserve">hypotéky i </w:t>
      </w:r>
      <w:r w:rsidRPr="00434C5D">
        <w:rPr>
          <w:rFonts w:ascii="Arial" w:eastAsia="Times New Roman" w:hAnsi="Arial" w:cs="Arial"/>
          <w:b/>
          <w:sz w:val="20"/>
          <w:szCs w:val="20"/>
        </w:rPr>
        <w:t xml:space="preserve">o 500 korun </w:t>
      </w:r>
      <w:r>
        <w:rPr>
          <w:rFonts w:ascii="Arial" w:eastAsia="Times New Roman" w:hAnsi="Arial" w:cs="Arial"/>
          <w:b/>
          <w:sz w:val="20"/>
          <w:szCs w:val="20"/>
        </w:rPr>
        <w:t>měsíčně</w:t>
      </w:r>
    </w:p>
    <w:p w14:paraId="3D31CDEB" w14:textId="77777777" w:rsidR="00434C5D" w:rsidRPr="00434C5D" w:rsidRDefault="00434C5D" w:rsidP="004B5104">
      <w:pPr>
        <w:jc w:val="both"/>
        <w:rPr>
          <w:rFonts w:ascii="Arial" w:eastAsia="Times New Roman" w:hAnsi="Arial" w:cs="Arial"/>
          <w:b/>
          <w:sz w:val="20"/>
          <w:szCs w:val="20"/>
        </w:rPr>
      </w:pPr>
    </w:p>
    <w:p w14:paraId="26FB0026" w14:textId="4B181FE3" w:rsidR="004D4D9F" w:rsidRDefault="004D4D9F" w:rsidP="004B5104">
      <w:pPr>
        <w:jc w:val="both"/>
        <w:rPr>
          <w:rFonts w:ascii="Arial" w:eastAsia="Times New Roman" w:hAnsi="Arial" w:cs="Arial"/>
          <w:sz w:val="20"/>
          <w:szCs w:val="20"/>
        </w:rPr>
      </w:pPr>
      <w:r w:rsidRPr="00434C5D">
        <w:rPr>
          <w:rFonts w:ascii="Arial" w:eastAsia="Times New Roman" w:hAnsi="Arial" w:cs="Arial"/>
          <w:sz w:val="20"/>
          <w:szCs w:val="20"/>
        </w:rPr>
        <w:t xml:space="preserve">Pro klienty </w:t>
      </w:r>
      <w:r w:rsidR="00795D79">
        <w:rPr>
          <w:rFonts w:ascii="Arial" w:eastAsia="Times New Roman" w:hAnsi="Arial" w:cs="Arial"/>
          <w:sz w:val="20"/>
          <w:szCs w:val="20"/>
        </w:rPr>
        <w:t xml:space="preserve">tato změna znamená </w:t>
      </w:r>
      <w:r w:rsidRPr="00434C5D">
        <w:rPr>
          <w:rFonts w:ascii="Arial" w:eastAsia="Times New Roman" w:hAnsi="Arial" w:cs="Arial"/>
          <w:sz w:val="20"/>
          <w:szCs w:val="20"/>
        </w:rPr>
        <w:t xml:space="preserve">jediné </w:t>
      </w:r>
      <w:r w:rsidR="00795D79" w:rsidRPr="00140987">
        <w:rPr>
          <w:rFonts w:ascii="Arial" w:hAnsi="Arial" w:cs="Arial"/>
          <w:sz w:val="20"/>
          <w:szCs w:val="20"/>
        </w:rPr>
        <w:t>–</w:t>
      </w:r>
      <w:r w:rsidR="00224E6E">
        <w:rPr>
          <w:rFonts w:ascii="Arial" w:hAnsi="Arial" w:cs="Arial"/>
          <w:sz w:val="20"/>
          <w:szCs w:val="20"/>
        </w:rPr>
        <w:t xml:space="preserve"> </w:t>
      </w:r>
      <w:r w:rsidR="005875EC">
        <w:rPr>
          <w:rFonts w:ascii="Arial" w:hAnsi="Arial" w:cs="Arial"/>
          <w:sz w:val="20"/>
          <w:szCs w:val="20"/>
        </w:rPr>
        <w:t>vzroste jim měsíční splátka hypotéky</w:t>
      </w:r>
      <w:r w:rsidRPr="00434C5D">
        <w:rPr>
          <w:rFonts w:ascii="Arial" w:eastAsia="Times New Roman" w:hAnsi="Arial" w:cs="Arial"/>
          <w:sz w:val="20"/>
          <w:szCs w:val="20"/>
        </w:rPr>
        <w:t xml:space="preserve">. Na průměrném hypotečním úvěru 2 870 000 Kč činí 0,3% rozdíl v úrokové sazbě celých 500 korun na každé měsíční splátce. </w:t>
      </w:r>
      <w:r w:rsidR="00CB7254">
        <w:rPr>
          <w:rFonts w:ascii="Arial" w:eastAsia="Times New Roman" w:hAnsi="Arial" w:cs="Arial"/>
          <w:sz w:val="20"/>
          <w:szCs w:val="20"/>
        </w:rPr>
        <w:t>Z</w:t>
      </w:r>
      <w:r w:rsidR="004B5104">
        <w:rPr>
          <w:rFonts w:ascii="Arial" w:eastAsia="Times New Roman" w:hAnsi="Arial" w:cs="Arial"/>
          <w:sz w:val="20"/>
          <w:szCs w:val="20"/>
        </w:rPr>
        <w:t>atímco z</w:t>
      </w:r>
      <w:r w:rsidR="00CB7254">
        <w:rPr>
          <w:rFonts w:ascii="Arial" w:eastAsia="Times New Roman" w:hAnsi="Arial" w:cs="Arial"/>
          <w:sz w:val="20"/>
          <w:szCs w:val="20"/>
        </w:rPr>
        <w:t xml:space="preserve">dražení hypoték se dříve projevovalo zejména u </w:t>
      </w:r>
      <w:r w:rsidR="00CB7254" w:rsidRPr="00CB7254">
        <w:rPr>
          <w:rFonts w:ascii="Arial" w:eastAsia="Times New Roman" w:hAnsi="Arial" w:cs="Arial"/>
          <w:sz w:val="20"/>
          <w:szCs w:val="20"/>
        </w:rPr>
        <w:t>bonitnějších</w:t>
      </w:r>
      <w:r w:rsidR="00CB7254" w:rsidRPr="00434C5D">
        <w:rPr>
          <w:rFonts w:ascii="Arial" w:eastAsia="Times New Roman" w:hAnsi="Arial" w:cs="Arial"/>
          <w:sz w:val="20"/>
          <w:szCs w:val="20"/>
        </w:rPr>
        <w:t xml:space="preserve"> klientů</w:t>
      </w:r>
      <w:r w:rsidR="00CB7254">
        <w:rPr>
          <w:rFonts w:ascii="Arial" w:eastAsia="Times New Roman" w:hAnsi="Arial" w:cs="Arial"/>
          <w:sz w:val="20"/>
          <w:szCs w:val="20"/>
        </w:rPr>
        <w:t xml:space="preserve"> s vyššími úvěry,</w:t>
      </w:r>
      <w:r w:rsidR="004B5104">
        <w:rPr>
          <w:rFonts w:ascii="Arial" w:eastAsia="Times New Roman" w:hAnsi="Arial" w:cs="Arial"/>
          <w:sz w:val="20"/>
          <w:szCs w:val="20"/>
        </w:rPr>
        <w:t xml:space="preserve"> </w:t>
      </w:r>
      <w:r w:rsidR="00CB7254">
        <w:rPr>
          <w:rFonts w:ascii="Arial" w:eastAsia="Times New Roman" w:hAnsi="Arial" w:cs="Arial"/>
          <w:sz w:val="20"/>
          <w:szCs w:val="20"/>
        </w:rPr>
        <w:t>s</w:t>
      </w:r>
      <w:r w:rsidR="00CB7254" w:rsidRPr="00434C5D">
        <w:rPr>
          <w:rFonts w:ascii="Arial" w:eastAsia="Times New Roman" w:hAnsi="Arial" w:cs="Arial"/>
          <w:sz w:val="20"/>
          <w:szCs w:val="20"/>
        </w:rPr>
        <w:t xml:space="preserve"> ohledem na růst cen nemovitostí, který byl v loňském roce poměrně značný, se </w:t>
      </w:r>
      <w:r w:rsidR="00CB7254">
        <w:rPr>
          <w:rFonts w:ascii="Arial" w:eastAsia="Times New Roman" w:hAnsi="Arial" w:cs="Arial"/>
          <w:sz w:val="20"/>
          <w:szCs w:val="20"/>
        </w:rPr>
        <w:t xml:space="preserve">letošní </w:t>
      </w:r>
      <w:r w:rsidR="00CB7254" w:rsidRPr="00434C5D">
        <w:rPr>
          <w:rFonts w:ascii="Arial" w:eastAsia="Times New Roman" w:hAnsi="Arial" w:cs="Arial"/>
          <w:sz w:val="20"/>
          <w:szCs w:val="20"/>
        </w:rPr>
        <w:t xml:space="preserve">zdražení </w:t>
      </w:r>
      <w:r w:rsidR="00677C07">
        <w:rPr>
          <w:rFonts w:ascii="Arial" w:eastAsia="Times New Roman" w:hAnsi="Arial" w:cs="Arial"/>
          <w:sz w:val="20"/>
          <w:szCs w:val="20"/>
        </w:rPr>
        <w:t xml:space="preserve">citelně </w:t>
      </w:r>
      <w:r w:rsidR="00CB7254" w:rsidRPr="00434C5D">
        <w:rPr>
          <w:rFonts w:ascii="Arial" w:eastAsia="Times New Roman" w:hAnsi="Arial" w:cs="Arial"/>
          <w:sz w:val="20"/>
          <w:szCs w:val="20"/>
        </w:rPr>
        <w:t xml:space="preserve">dotkne všech klientů s hypotékou. </w:t>
      </w:r>
      <w:r w:rsidR="00CB7254" w:rsidRPr="00CB7254">
        <w:rPr>
          <w:rFonts w:ascii="Arial" w:eastAsia="Times New Roman" w:hAnsi="Arial" w:cs="Arial"/>
          <w:i/>
          <w:sz w:val="20"/>
          <w:szCs w:val="20"/>
        </w:rPr>
        <w:t>„</w:t>
      </w:r>
      <w:r w:rsidRPr="00CB7254">
        <w:rPr>
          <w:rFonts w:ascii="Arial" w:eastAsia="Times New Roman" w:hAnsi="Arial" w:cs="Arial"/>
          <w:i/>
          <w:sz w:val="20"/>
          <w:szCs w:val="20"/>
        </w:rPr>
        <w:t xml:space="preserve">Na pozoru by se měli mít i stávající klienti bank, kterým končí fixace úrokové sazby. Ti se musí připravit na to, že jim jejich banka pro další období již nebude </w:t>
      </w:r>
      <w:r w:rsidR="008D1E94" w:rsidRPr="00CB7254">
        <w:rPr>
          <w:rFonts w:ascii="Arial" w:eastAsia="Times New Roman" w:hAnsi="Arial" w:cs="Arial"/>
          <w:i/>
          <w:sz w:val="20"/>
          <w:szCs w:val="20"/>
        </w:rPr>
        <w:t>moc</w:t>
      </w:r>
      <w:r w:rsidR="008D1E94">
        <w:rPr>
          <w:rFonts w:ascii="Arial" w:eastAsia="Times New Roman" w:hAnsi="Arial" w:cs="Arial"/>
          <w:i/>
          <w:sz w:val="20"/>
          <w:szCs w:val="20"/>
        </w:rPr>
        <w:t xml:space="preserve">t </w:t>
      </w:r>
      <w:r w:rsidR="006A150C">
        <w:rPr>
          <w:rFonts w:ascii="Arial" w:eastAsia="Times New Roman" w:hAnsi="Arial" w:cs="Arial"/>
          <w:i/>
          <w:sz w:val="20"/>
          <w:szCs w:val="20"/>
        </w:rPr>
        <w:t>a</w:t>
      </w:r>
      <w:r w:rsidR="008D1E94">
        <w:rPr>
          <w:rFonts w:ascii="Arial" w:eastAsia="Times New Roman" w:hAnsi="Arial" w:cs="Arial"/>
          <w:i/>
          <w:sz w:val="20"/>
          <w:szCs w:val="20"/>
        </w:rPr>
        <w:t>ni</w:t>
      </w:r>
      <w:r w:rsidR="006A150C">
        <w:rPr>
          <w:rFonts w:ascii="Arial" w:eastAsia="Times New Roman" w:hAnsi="Arial" w:cs="Arial"/>
          <w:i/>
          <w:sz w:val="20"/>
          <w:szCs w:val="20"/>
        </w:rPr>
        <w:t xml:space="preserve"> chtít</w:t>
      </w:r>
      <w:r w:rsidRPr="00CB7254">
        <w:rPr>
          <w:rFonts w:ascii="Arial" w:eastAsia="Times New Roman" w:hAnsi="Arial" w:cs="Arial"/>
          <w:i/>
          <w:sz w:val="20"/>
          <w:szCs w:val="20"/>
        </w:rPr>
        <w:t xml:space="preserve"> </w:t>
      </w:r>
      <w:r w:rsidR="00CB7254" w:rsidRPr="00CB7254">
        <w:rPr>
          <w:rFonts w:ascii="Arial" w:eastAsia="Times New Roman" w:hAnsi="Arial" w:cs="Arial"/>
          <w:i/>
          <w:sz w:val="20"/>
          <w:szCs w:val="20"/>
        </w:rPr>
        <w:t>nabídnout sazbu pod 2 %,“</w:t>
      </w:r>
      <w:r w:rsidR="00CB7254">
        <w:rPr>
          <w:rFonts w:ascii="Arial" w:eastAsia="Times New Roman" w:hAnsi="Arial" w:cs="Arial"/>
          <w:sz w:val="20"/>
          <w:szCs w:val="20"/>
        </w:rPr>
        <w:t xml:space="preserve"> upozorňuje </w:t>
      </w:r>
      <w:r w:rsidR="00A7372B">
        <w:rPr>
          <w:rFonts w:ascii="Arial" w:eastAsia="Times New Roman" w:hAnsi="Arial" w:cs="Arial"/>
          <w:b/>
          <w:sz w:val="20"/>
          <w:szCs w:val="20"/>
        </w:rPr>
        <w:t>Jaroslav Metlička</w:t>
      </w:r>
      <w:r w:rsidR="00CB7254" w:rsidRPr="00CB7254">
        <w:rPr>
          <w:rFonts w:ascii="Arial" w:eastAsia="Times New Roman" w:hAnsi="Arial" w:cs="Arial"/>
          <w:b/>
          <w:sz w:val="20"/>
          <w:szCs w:val="20"/>
        </w:rPr>
        <w:t>, ředitel OK POINTu v</w:t>
      </w:r>
      <w:r w:rsidR="00A7372B">
        <w:rPr>
          <w:rFonts w:ascii="Arial" w:eastAsia="Times New Roman" w:hAnsi="Arial" w:cs="Arial"/>
          <w:b/>
          <w:sz w:val="20"/>
          <w:szCs w:val="20"/>
        </w:rPr>
        <w:t> Karlových Varech</w:t>
      </w:r>
      <w:r w:rsidR="00CB7254">
        <w:rPr>
          <w:rFonts w:ascii="Arial" w:eastAsia="Times New Roman" w:hAnsi="Arial" w:cs="Arial"/>
          <w:sz w:val="20"/>
          <w:szCs w:val="20"/>
        </w:rPr>
        <w:t xml:space="preserve">. </w:t>
      </w:r>
    </w:p>
    <w:p w14:paraId="06416F06" w14:textId="27B31CD8" w:rsidR="004D4D9F" w:rsidRDefault="004D4D9F" w:rsidP="004B5104">
      <w:pPr>
        <w:jc w:val="both"/>
        <w:rPr>
          <w:rFonts w:ascii="Arial" w:eastAsia="Times New Roman" w:hAnsi="Arial" w:cs="Arial"/>
          <w:sz w:val="20"/>
          <w:szCs w:val="20"/>
        </w:rPr>
      </w:pPr>
    </w:p>
    <w:p w14:paraId="5D3C352E" w14:textId="27958C77" w:rsidR="002B6F4E" w:rsidRPr="002B6F4E" w:rsidRDefault="002B6F4E" w:rsidP="004B5104">
      <w:pPr>
        <w:jc w:val="both"/>
        <w:rPr>
          <w:rFonts w:ascii="Arial" w:eastAsia="Times New Roman" w:hAnsi="Arial" w:cs="Arial"/>
          <w:b/>
          <w:sz w:val="20"/>
          <w:szCs w:val="20"/>
        </w:rPr>
      </w:pPr>
      <w:r w:rsidRPr="002B6F4E">
        <w:rPr>
          <w:rFonts w:ascii="Arial" w:eastAsia="Times New Roman" w:hAnsi="Arial" w:cs="Arial"/>
          <w:b/>
          <w:sz w:val="20"/>
          <w:szCs w:val="20"/>
        </w:rPr>
        <w:t>Růst úrokových sazeb jako reakce na rost</w:t>
      </w:r>
      <w:r w:rsidR="00280730">
        <w:rPr>
          <w:rFonts w:ascii="Arial" w:eastAsia="Times New Roman" w:hAnsi="Arial" w:cs="Arial"/>
          <w:b/>
          <w:sz w:val="20"/>
          <w:szCs w:val="20"/>
        </w:rPr>
        <w:t>oucí výnos státních dluhopisů i na</w:t>
      </w:r>
      <w:r w:rsidR="006A150C">
        <w:rPr>
          <w:rFonts w:ascii="Arial" w:eastAsia="Times New Roman" w:hAnsi="Arial" w:cs="Arial"/>
          <w:b/>
          <w:sz w:val="20"/>
          <w:szCs w:val="20"/>
        </w:rPr>
        <w:t xml:space="preserve"> možnou</w:t>
      </w:r>
      <w:r w:rsidR="00280730">
        <w:rPr>
          <w:rFonts w:ascii="Arial" w:eastAsia="Times New Roman" w:hAnsi="Arial" w:cs="Arial"/>
          <w:b/>
          <w:sz w:val="20"/>
          <w:szCs w:val="20"/>
        </w:rPr>
        <w:t xml:space="preserve"> </w:t>
      </w:r>
      <w:r w:rsidRPr="002B6F4E">
        <w:rPr>
          <w:rFonts w:ascii="Arial" w:eastAsia="Times New Roman" w:hAnsi="Arial" w:cs="Arial"/>
          <w:b/>
          <w:sz w:val="20"/>
          <w:szCs w:val="20"/>
        </w:rPr>
        <w:t>snahu bank o ochlazení hypotečního trhu</w:t>
      </w:r>
    </w:p>
    <w:p w14:paraId="4FB3FBC4" w14:textId="77777777" w:rsidR="002B6F4E" w:rsidRDefault="002B6F4E" w:rsidP="004B5104">
      <w:pPr>
        <w:jc w:val="both"/>
        <w:rPr>
          <w:rFonts w:ascii="Arial" w:eastAsia="Times New Roman" w:hAnsi="Arial" w:cs="Arial"/>
          <w:sz w:val="20"/>
          <w:szCs w:val="20"/>
        </w:rPr>
      </w:pPr>
    </w:p>
    <w:p w14:paraId="174CFC05" w14:textId="7854C510" w:rsidR="004D4D9F" w:rsidRPr="00434C5D" w:rsidRDefault="004D4D9F" w:rsidP="004B5104">
      <w:pPr>
        <w:jc w:val="both"/>
        <w:rPr>
          <w:rFonts w:ascii="Arial" w:eastAsia="Times New Roman" w:hAnsi="Arial" w:cs="Arial"/>
          <w:sz w:val="20"/>
          <w:szCs w:val="20"/>
        </w:rPr>
      </w:pPr>
      <w:r w:rsidRPr="00434C5D">
        <w:rPr>
          <w:rFonts w:ascii="Arial" w:eastAsia="Times New Roman" w:hAnsi="Arial" w:cs="Arial"/>
          <w:sz w:val="20"/>
          <w:szCs w:val="20"/>
        </w:rPr>
        <w:t xml:space="preserve">Důvodů zvyšování úrokových sazeb se nabízí hned několik. Prvním z nich je zvyšování nákladů v podobě rostoucích cen na kapitálových trzích, kde </w:t>
      </w:r>
      <w:r w:rsidR="006A150C">
        <w:rPr>
          <w:rFonts w:ascii="Arial" w:eastAsia="Times New Roman" w:hAnsi="Arial" w:cs="Arial"/>
          <w:sz w:val="20"/>
          <w:szCs w:val="20"/>
        </w:rPr>
        <w:t xml:space="preserve">mimo jiné lze sledovat růst </w:t>
      </w:r>
      <w:r w:rsidR="006A150C" w:rsidRPr="00A7372B">
        <w:rPr>
          <w:rFonts w:ascii="Arial" w:eastAsia="Times New Roman" w:hAnsi="Arial" w:cs="Arial"/>
          <w:sz w:val="20"/>
          <w:szCs w:val="20"/>
        </w:rPr>
        <w:t>výnosu do splatnosti u státních dluhopisů</w:t>
      </w:r>
      <w:r w:rsidR="008D1E94" w:rsidRPr="00A7372B">
        <w:rPr>
          <w:rFonts w:ascii="Arial" w:eastAsia="Times New Roman" w:hAnsi="Arial" w:cs="Arial"/>
          <w:sz w:val="20"/>
          <w:szCs w:val="20"/>
        </w:rPr>
        <w:t>,</w:t>
      </w:r>
      <w:r w:rsidR="006A150C" w:rsidRPr="00A7372B">
        <w:rPr>
          <w:rFonts w:ascii="Arial" w:eastAsia="Times New Roman" w:hAnsi="Arial" w:cs="Arial"/>
          <w:sz w:val="20"/>
          <w:szCs w:val="20"/>
        </w:rPr>
        <w:t xml:space="preserve"> a to jak se splatností na 5, </w:t>
      </w:r>
      <w:r w:rsidR="008D1E94" w:rsidRPr="00A7372B">
        <w:rPr>
          <w:rFonts w:ascii="Arial" w:eastAsia="Times New Roman" w:hAnsi="Arial" w:cs="Arial"/>
          <w:sz w:val="20"/>
          <w:szCs w:val="20"/>
        </w:rPr>
        <w:t xml:space="preserve">tak </w:t>
      </w:r>
      <w:r w:rsidR="006A150C" w:rsidRPr="00A7372B">
        <w:rPr>
          <w:rFonts w:ascii="Arial" w:eastAsia="Times New Roman" w:hAnsi="Arial" w:cs="Arial"/>
          <w:sz w:val="20"/>
          <w:szCs w:val="20"/>
        </w:rPr>
        <w:t>i na 10 let</w:t>
      </w:r>
      <w:r w:rsidRPr="00A7372B">
        <w:rPr>
          <w:rFonts w:ascii="Arial" w:eastAsia="Times New Roman" w:hAnsi="Arial" w:cs="Arial"/>
          <w:sz w:val="20"/>
          <w:szCs w:val="20"/>
        </w:rPr>
        <w:t xml:space="preserve">. </w:t>
      </w:r>
      <w:r w:rsidR="00A7372B" w:rsidRPr="00A7372B">
        <w:rPr>
          <w:rFonts w:ascii="Arial" w:eastAsia="Times New Roman" w:hAnsi="Arial" w:cs="Arial"/>
          <w:sz w:val="20"/>
          <w:szCs w:val="20"/>
        </w:rPr>
        <w:t>Jedním z dalších důvodů</w:t>
      </w:r>
      <w:r w:rsidR="006A150C" w:rsidRPr="00A7372B">
        <w:rPr>
          <w:rFonts w:ascii="Arial" w:eastAsia="Times New Roman" w:hAnsi="Arial" w:cs="Arial"/>
          <w:sz w:val="20"/>
          <w:szCs w:val="20"/>
        </w:rPr>
        <w:t xml:space="preserve"> mohou být </w:t>
      </w:r>
      <w:r w:rsidRPr="00A7372B">
        <w:rPr>
          <w:rFonts w:ascii="Arial" w:eastAsia="Times New Roman" w:hAnsi="Arial" w:cs="Arial"/>
          <w:sz w:val="20"/>
          <w:szCs w:val="20"/>
        </w:rPr>
        <w:t xml:space="preserve">kapacitní opatření bank, které se </w:t>
      </w:r>
      <w:r w:rsidR="00A7372B" w:rsidRPr="00A7372B">
        <w:rPr>
          <w:rFonts w:ascii="Arial" w:eastAsia="Times New Roman" w:hAnsi="Arial" w:cs="Arial"/>
          <w:sz w:val="20"/>
          <w:szCs w:val="20"/>
        </w:rPr>
        <w:t xml:space="preserve">tak </w:t>
      </w:r>
      <w:r w:rsidRPr="00A7372B">
        <w:rPr>
          <w:rFonts w:ascii="Arial" w:eastAsia="Times New Roman" w:hAnsi="Arial" w:cs="Arial"/>
          <w:sz w:val="20"/>
          <w:szCs w:val="20"/>
        </w:rPr>
        <w:t xml:space="preserve">zvyšováním cen mohou snažit </w:t>
      </w:r>
      <w:r w:rsidR="00A7372B" w:rsidRPr="00A7372B">
        <w:rPr>
          <w:rFonts w:ascii="Arial" w:eastAsia="Times New Roman" w:hAnsi="Arial" w:cs="Arial"/>
          <w:sz w:val="20"/>
          <w:szCs w:val="20"/>
        </w:rPr>
        <w:t>trochu</w:t>
      </w:r>
      <w:r w:rsidR="006A150C" w:rsidRPr="00A7372B">
        <w:rPr>
          <w:rFonts w:ascii="Arial" w:eastAsia="Times New Roman" w:hAnsi="Arial" w:cs="Arial"/>
          <w:sz w:val="20"/>
          <w:szCs w:val="20"/>
        </w:rPr>
        <w:t xml:space="preserve"> </w:t>
      </w:r>
      <w:r w:rsidRPr="00A7372B">
        <w:rPr>
          <w:rFonts w:ascii="Arial" w:eastAsia="Times New Roman" w:hAnsi="Arial" w:cs="Arial"/>
          <w:sz w:val="20"/>
          <w:szCs w:val="20"/>
        </w:rPr>
        <w:t xml:space="preserve">utlumit zájem klientů, a celkově tak "zchladit" hypoteční trh. </w:t>
      </w:r>
      <w:r w:rsidR="006A150C" w:rsidRPr="00A7372B">
        <w:rPr>
          <w:rFonts w:ascii="Arial" w:eastAsia="Times New Roman" w:hAnsi="Arial" w:cs="Arial"/>
          <w:sz w:val="20"/>
          <w:szCs w:val="20"/>
        </w:rPr>
        <w:t>Podle údajů Ministerstva pro místní rozvoj, které spolu s ČNB poskytuje oficiální statistiky za celý trh,</w:t>
      </w:r>
      <w:r w:rsidRPr="00A7372B">
        <w:rPr>
          <w:rFonts w:ascii="Arial" w:eastAsia="Times New Roman" w:hAnsi="Arial" w:cs="Arial"/>
          <w:sz w:val="20"/>
          <w:szCs w:val="20"/>
        </w:rPr>
        <w:t xml:space="preserve"> </w:t>
      </w:r>
      <w:r w:rsidR="006A150C" w:rsidRPr="00A7372B">
        <w:rPr>
          <w:rFonts w:ascii="Arial" w:eastAsia="Times New Roman" w:hAnsi="Arial" w:cs="Arial"/>
          <w:sz w:val="20"/>
          <w:szCs w:val="20"/>
        </w:rPr>
        <w:t xml:space="preserve">totiž </w:t>
      </w:r>
      <w:r w:rsidRPr="00A7372B">
        <w:rPr>
          <w:rFonts w:ascii="Arial" w:eastAsia="Times New Roman" w:hAnsi="Arial" w:cs="Arial"/>
          <w:sz w:val="20"/>
          <w:szCs w:val="20"/>
        </w:rPr>
        <w:t xml:space="preserve">banky poskytly jen za první čtvrtletí </w:t>
      </w:r>
      <w:r w:rsidR="008D1E94" w:rsidRPr="00A7372B">
        <w:rPr>
          <w:rFonts w:ascii="Arial" w:eastAsia="Times New Roman" w:hAnsi="Arial" w:cs="Arial"/>
          <w:sz w:val="20"/>
          <w:szCs w:val="20"/>
        </w:rPr>
        <w:t xml:space="preserve">tohoto </w:t>
      </w:r>
      <w:r w:rsidR="006A150C" w:rsidRPr="00A7372B">
        <w:rPr>
          <w:rFonts w:ascii="Arial" w:eastAsia="Times New Roman" w:hAnsi="Arial" w:cs="Arial"/>
          <w:sz w:val="20"/>
          <w:szCs w:val="20"/>
        </w:rPr>
        <w:t xml:space="preserve">roku </w:t>
      </w:r>
      <w:r w:rsidRPr="00A7372B">
        <w:rPr>
          <w:rFonts w:ascii="Arial" w:eastAsia="Times New Roman" w:hAnsi="Arial" w:cs="Arial"/>
          <w:sz w:val="20"/>
          <w:szCs w:val="20"/>
        </w:rPr>
        <w:t xml:space="preserve">hypoteční úvěry za téměř 100 mld. korun. V porovnání s loňským </w:t>
      </w:r>
      <w:r w:rsidRPr="00434C5D">
        <w:rPr>
          <w:rFonts w:ascii="Arial" w:eastAsia="Times New Roman" w:hAnsi="Arial" w:cs="Arial"/>
          <w:sz w:val="20"/>
          <w:szCs w:val="20"/>
        </w:rPr>
        <w:t xml:space="preserve">rokem, během něhož bylo hypoték sjednáno za 245 mld. korun, jsou </w:t>
      </w:r>
      <w:r w:rsidR="006A150C">
        <w:rPr>
          <w:rFonts w:ascii="Arial" w:eastAsia="Times New Roman" w:hAnsi="Arial" w:cs="Arial"/>
          <w:sz w:val="20"/>
          <w:szCs w:val="20"/>
        </w:rPr>
        <w:t xml:space="preserve">dosavadní </w:t>
      </w:r>
      <w:r w:rsidRPr="00434C5D">
        <w:rPr>
          <w:rFonts w:ascii="Arial" w:eastAsia="Times New Roman" w:hAnsi="Arial" w:cs="Arial"/>
          <w:sz w:val="20"/>
          <w:szCs w:val="20"/>
        </w:rPr>
        <w:t>výsledky naprosto rekordní</w:t>
      </w:r>
      <w:r w:rsidR="008D1E94">
        <w:rPr>
          <w:rFonts w:ascii="Arial" w:eastAsia="Times New Roman" w:hAnsi="Arial" w:cs="Arial"/>
          <w:sz w:val="20"/>
          <w:szCs w:val="20"/>
        </w:rPr>
        <w:t xml:space="preserve">. </w:t>
      </w:r>
      <w:r w:rsidR="00A7372B">
        <w:rPr>
          <w:rFonts w:ascii="Arial" w:eastAsia="Times New Roman" w:hAnsi="Arial" w:cs="Arial"/>
          <w:sz w:val="20"/>
          <w:szCs w:val="20"/>
        </w:rPr>
        <w:t xml:space="preserve">Přesněji řečeno, jedná se </w:t>
      </w:r>
      <w:r w:rsidR="00CB06F8">
        <w:rPr>
          <w:rFonts w:ascii="Arial" w:eastAsia="Times New Roman" w:hAnsi="Arial" w:cs="Arial"/>
          <w:sz w:val="20"/>
          <w:szCs w:val="20"/>
        </w:rPr>
        <w:t xml:space="preserve">o meziroční nárůst o </w:t>
      </w:r>
      <w:r w:rsidR="00A7372B">
        <w:rPr>
          <w:rFonts w:ascii="Arial" w:eastAsia="Times New Roman" w:hAnsi="Arial" w:cs="Arial"/>
          <w:sz w:val="20"/>
          <w:szCs w:val="20"/>
        </w:rPr>
        <w:t xml:space="preserve">neuvěřitelných </w:t>
      </w:r>
      <w:r w:rsidR="00CC0CB0">
        <w:rPr>
          <w:rFonts w:ascii="Arial" w:eastAsia="Times New Roman" w:hAnsi="Arial" w:cs="Arial"/>
          <w:sz w:val="20"/>
          <w:szCs w:val="20"/>
        </w:rPr>
        <w:t>82</w:t>
      </w:r>
      <w:r w:rsidR="00677C07">
        <w:rPr>
          <w:rFonts w:ascii="Arial" w:eastAsia="Times New Roman" w:hAnsi="Arial" w:cs="Arial"/>
          <w:sz w:val="20"/>
          <w:szCs w:val="20"/>
        </w:rPr>
        <w:t xml:space="preserve"> </w:t>
      </w:r>
      <w:r w:rsidR="00CC0CB0">
        <w:rPr>
          <w:rFonts w:ascii="Arial" w:eastAsia="Times New Roman" w:hAnsi="Arial" w:cs="Arial"/>
          <w:sz w:val="20"/>
          <w:szCs w:val="20"/>
        </w:rPr>
        <w:t>%.</w:t>
      </w:r>
      <w:r w:rsidR="00CB06F8">
        <w:rPr>
          <w:rFonts w:ascii="Arial" w:eastAsia="Times New Roman" w:hAnsi="Arial" w:cs="Arial"/>
          <w:sz w:val="20"/>
          <w:szCs w:val="20"/>
        </w:rPr>
        <w:t xml:space="preserve"> Dramaticky se také zvyšuje průměrná výše hypotečního úvěru, která zase úzce souvisí s růstem cen nemovitostí.</w:t>
      </w:r>
      <w:r w:rsidRPr="00434C5D">
        <w:rPr>
          <w:rFonts w:ascii="Arial" w:eastAsia="Times New Roman" w:hAnsi="Arial" w:cs="Arial"/>
          <w:sz w:val="20"/>
          <w:szCs w:val="20"/>
        </w:rPr>
        <w:t xml:space="preserve"> </w:t>
      </w:r>
    </w:p>
    <w:p w14:paraId="7F6D0030" w14:textId="77777777" w:rsidR="004D4D9F" w:rsidRDefault="004D4D9F" w:rsidP="004B5104">
      <w:pPr>
        <w:jc w:val="both"/>
        <w:rPr>
          <w:rFonts w:ascii="Arial" w:eastAsia="Times New Roman" w:hAnsi="Arial" w:cs="Arial"/>
          <w:b/>
          <w:sz w:val="20"/>
          <w:szCs w:val="20"/>
        </w:rPr>
      </w:pPr>
    </w:p>
    <w:p w14:paraId="13AD305E" w14:textId="07CEB47D" w:rsidR="004D4D9F" w:rsidRDefault="004D4D9F" w:rsidP="004B5104">
      <w:pPr>
        <w:jc w:val="both"/>
        <w:rPr>
          <w:rFonts w:ascii="Arial" w:eastAsia="Times New Roman" w:hAnsi="Arial" w:cs="Arial"/>
          <w:sz w:val="20"/>
          <w:szCs w:val="20"/>
        </w:rPr>
      </w:pPr>
      <w:r w:rsidRPr="00A2791F">
        <w:rPr>
          <w:rFonts w:ascii="Arial" w:eastAsia="Times New Roman" w:hAnsi="Arial" w:cs="Arial"/>
          <w:i/>
          <w:sz w:val="20"/>
          <w:szCs w:val="20"/>
        </w:rPr>
        <w:t xml:space="preserve">„Zvyšování úrokových sazeb bude mít samozřejmě </w:t>
      </w:r>
      <w:r w:rsidR="004B5104">
        <w:rPr>
          <w:rFonts w:ascii="Arial" w:eastAsia="Times New Roman" w:hAnsi="Arial" w:cs="Arial"/>
          <w:i/>
          <w:sz w:val="20"/>
          <w:szCs w:val="20"/>
        </w:rPr>
        <w:t>dopad</w:t>
      </w:r>
      <w:r w:rsidRPr="00A2791F">
        <w:rPr>
          <w:rFonts w:ascii="Arial" w:eastAsia="Times New Roman" w:hAnsi="Arial" w:cs="Arial"/>
          <w:i/>
          <w:sz w:val="20"/>
          <w:szCs w:val="20"/>
        </w:rPr>
        <w:t xml:space="preserve"> na další zájem </w:t>
      </w:r>
      <w:r w:rsidR="004B5104">
        <w:rPr>
          <w:rFonts w:ascii="Arial" w:eastAsia="Times New Roman" w:hAnsi="Arial" w:cs="Arial"/>
          <w:i/>
          <w:sz w:val="20"/>
          <w:szCs w:val="20"/>
        </w:rPr>
        <w:t xml:space="preserve">Čechů </w:t>
      </w:r>
      <w:r w:rsidRPr="00A2791F">
        <w:rPr>
          <w:rFonts w:ascii="Arial" w:eastAsia="Times New Roman" w:hAnsi="Arial" w:cs="Arial"/>
          <w:i/>
          <w:sz w:val="20"/>
          <w:szCs w:val="20"/>
        </w:rPr>
        <w:t xml:space="preserve">o </w:t>
      </w:r>
      <w:r w:rsidR="00CC0CB0">
        <w:rPr>
          <w:rFonts w:ascii="Arial" w:eastAsia="Times New Roman" w:hAnsi="Arial" w:cs="Arial"/>
          <w:i/>
          <w:sz w:val="20"/>
          <w:szCs w:val="20"/>
        </w:rPr>
        <w:t>pořízení hypoték</w:t>
      </w:r>
      <w:r w:rsidR="004B5104">
        <w:rPr>
          <w:rFonts w:ascii="Arial" w:eastAsia="Times New Roman" w:hAnsi="Arial" w:cs="Arial"/>
          <w:i/>
          <w:sz w:val="20"/>
          <w:szCs w:val="20"/>
        </w:rPr>
        <w:t xml:space="preserve">, který je prozatím </w:t>
      </w:r>
      <w:r w:rsidR="00A7372B">
        <w:rPr>
          <w:rFonts w:ascii="Arial" w:eastAsia="Times New Roman" w:hAnsi="Arial" w:cs="Arial"/>
          <w:i/>
          <w:sz w:val="20"/>
          <w:szCs w:val="20"/>
        </w:rPr>
        <w:t>enormně</w:t>
      </w:r>
      <w:r w:rsidR="004B5104">
        <w:rPr>
          <w:rFonts w:ascii="Arial" w:eastAsia="Times New Roman" w:hAnsi="Arial" w:cs="Arial"/>
          <w:i/>
          <w:sz w:val="20"/>
          <w:szCs w:val="20"/>
        </w:rPr>
        <w:t xml:space="preserve"> vysoký</w:t>
      </w:r>
      <w:r w:rsidRPr="00A2791F">
        <w:rPr>
          <w:rFonts w:ascii="Arial" w:eastAsia="Times New Roman" w:hAnsi="Arial" w:cs="Arial"/>
          <w:i/>
          <w:sz w:val="20"/>
          <w:szCs w:val="20"/>
        </w:rPr>
        <w:t>. Js</w:t>
      </w:r>
      <w:r w:rsidR="004B5104">
        <w:rPr>
          <w:rFonts w:ascii="Arial" w:eastAsia="Times New Roman" w:hAnsi="Arial" w:cs="Arial"/>
          <w:i/>
          <w:sz w:val="20"/>
          <w:szCs w:val="20"/>
        </w:rPr>
        <w:t>em také přesvědčen</w:t>
      </w:r>
      <w:r w:rsidRPr="00A2791F">
        <w:rPr>
          <w:rFonts w:ascii="Arial" w:eastAsia="Times New Roman" w:hAnsi="Arial" w:cs="Arial"/>
          <w:i/>
          <w:sz w:val="20"/>
          <w:szCs w:val="20"/>
        </w:rPr>
        <w:t>, že rozvolňování protiepidemických opatření a možností cestování</w:t>
      </w:r>
      <w:r w:rsidR="007F515C">
        <w:rPr>
          <w:rFonts w:ascii="Arial" w:eastAsia="Times New Roman" w:hAnsi="Arial" w:cs="Arial"/>
          <w:i/>
          <w:sz w:val="20"/>
          <w:szCs w:val="20"/>
        </w:rPr>
        <w:t xml:space="preserve"> mírně</w:t>
      </w:r>
      <w:r w:rsidR="00903020">
        <w:rPr>
          <w:rFonts w:ascii="Arial" w:eastAsia="Times New Roman" w:hAnsi="Arial" w:cs="Arial"/>
          <w:i/>
          <w:sz w:val="20"/>
          <w:szCs w:val="20"/>
        </w:rPr>
        <w:t xml:space="preserve"> utlumí zájem</w:t>
      </w:r>
      <w:r w:rsidRPr="00A2791F">
        <w:rPr>
          <w:rFonts w:ascii="Arial" w:eastAsia="Times New Roman" w:hAnsi="Arial" w:cs="Arial"/>
          <w:i/>
          <w:sz w:val="20"/>
          <w:szCs w:val="20"/>
        </w:rPr>
        <w:t xml:space="preserve"> lidí řešit vlas</w:t>
      </w:r>
      <w:r w:rsidR="004B5104">
        <w:rPr>
          <w:rFonts w:ascii="Arial" w:eastAsia="Times New Roman" w:hAnsi="Arial" w:cs="Arial"/>
          <w:i/>
          <w:sz w:val="20"/>
          <w:szCs w:val="20"/>
        </w:rPr>
        <w:t>tní bydlení či nákup nemovitostí</w:t>
      </w:r>
      <w:r w:rsidRPr="00A2791F">
        <w:rPr>
          <w:rFonts w:ascii="Arial" w:eastAsia="Times New Roman" w:hAnsi="Arial" w:cs="Arial"/>
          <w:i/>
          <w:sz w:val="20"/>
          <w:szCs w:val="20"/>
        </w:rPr>
        <w:t xml:space="preserve">. Bude zajímavé sledovat, jak </w:t>
      </w:r>
      <w:r w:rsidR="00CC0CB0">
        <w:rPr>
          <w:rFonts w:ascii="Arial" w:eastAsia="Times New Roman" w:hAnsi="Arial" w:cs="Arial"/>
          <w:i/>
          <w:sz w:val="20"/>
          <w:szCs w:val="20"/>
        </w:rPr>
        <w:t xml:space="preserve">moc </w:t>
      </w:r>
      <w:r w:rsidR="00CB06F8">
        <w:rPr>
          <w:rFonts w:ascii="Arial" w:eastAsia="Times New Roman" w:hAnsi="Arial" w:cs="Arial"/>
          <w:i/>
          <w:sz w:val="20"/>
          <w:szCs w:val="20"/>
        </w:rPr>
        <w:t xml:space="preserve">a jak rychle </w:t>
      </w:r>
      <w:r w:rsidRPr="00A2791F">
        <w:rPr>
          <w:rFonts w:ascii="Arial" w:eastAsia="Times New Roman" w:hAnsi="Arial" w:cs="Arial"/>
          <w:i/>
          <w:sz w:val="20"/>
          <w:szCs w:val="20"/>
        </w:rPr>
        <w:t>se tyto faktory projeví v</w:t>
      </w:r>
      <w:r w:rsidR="00CB06F8">
        <w:rPr>
          <w:rFonts w:ascii="Arial" w:eastAsia="Times New Roman" w:hAnsi="Arial" w:cs="Arial"/>
          <w:i/>
          <w:sz w:val="20"/>
          <w:szCs w:val="20"/>
        </w:rPr>
        <w:t> nejbližších měsících</w:t>
      </w:r>
      <w:r w:rsidR="00CC0CB0">
        <w:rPr>
          <w:rFonts w:ascii="Arial" w:eastAsia="Times New Roman" w:hAnsi="Arial" w:cs="Arial"/>
          <w:i/>
          <w:sz w:val="20"/>
          <w:szCs w:val="20"/>
        </w:rPr>
        <w:t>,</w:t>
      </w:r>
      <w:r w:rsidR="00CB06F8">
        <w:rPr>
          <w:rFonts w:ascii="Arial" w:eastAsia="Times New Roman" w:hAnsi="Arial" w:cs="Arial"/>
          <w:i/>
          <w:sz w:val="20"/>
          <w:szCs w:val="20"/>
        </w:rPr>
        <w:t xml:space="preserve"> a hlavně pak v </w:t>
      </w:r>
      <w:r w:rsidRPr="00A2791F">
        <w:rPr>
          <w:rFonts w:ascii="Arial" w:eastAsia="Times New Roman" w:hAnsi="Arial" w:cs="Arial"/>
          <w:i/>
          <w:sz w:val="20"/>
          <w:szCs w:val="20"/>
        </w:rPr>
        <w:t>prázdninovém období,“</w:t>
      </w:r>
      <w:r>
        <w:rPr>
          <w:rFonts w:ascii="Arial" w:eastAsia="Times New Roman" w:hAnsi="Arial" w:cs="Arial"/>
          <w:sz w:val="20"/>
          <w:szCs w:val="20"/>
        </w:rPr>
        <w:t xml:space="preserve"> uzavírá Novák</w:t>
      </w:r>
      <w:r w:rsidRPr="00CB4952">
        <w:rPr>
          <w:rFonts w:ascii="Arial" w:eastAsia="Times New Roman" w:hAnsi="Arial" w:cs="Arial"/>
          <w:sz w:val="20"/>
          <w:szCs w:val="20"/>
        </w:rPr>
        <w:t>.</w:t>
      </w:r>
    </w:p>
    <w:p w14:paraId="177145E4" w14:textId="6F92E736" w:rsidR="00903020" w:rsidRDefault="00903020" w:rsidP="004B5104">
      <w:pPr>
        <w:jc w:val="both"/>
        <w:rPr>
          <w:rFonts w:ascii="Arial" w:eastAsia="Times New Roman" w:hAnsi="Arial" w:cs="Arial"/>
          <w:sz w:val="20"/>
          <w:szCs w:val="20"/>
        </w:rPr>
      </w:pPr>
    </w:p>
    <w:p w14:paraId="4706E741" w14:textId="77777777" w:rsidR="00903020" w:rsidRDefault="00903020" w:rsidP="00903020">
      <w:pPr>
        <w:rPr>
          <w:rFonts w:ascii="Arial" w:hAnsi="Arial" w:cs="Arial"/>
          <w:i/>
          <w:noProof/>
          <w:color w:val="FF0000"/>
          <w:sz w:val="20"/>
          <w:szCs w:val="20"/>
          <w:lang w:bidi="ar-SA"/>
        </w:rPr>
      </w:pPr>
    </w:p>
    <w:p w14:paraId="01351F04" w14:textId="77777777" w:rsidR="00903020" w:rsidRDefault="00903020" w:rsidP="00903020">
      <w:pPr>
        <w:rPr>
          <w:rFonts w:ascii="Arial" w:hAnsi="Arial" w:cs="Arial"/>
          <w:i/>
          <w:noProof/>
          <w:color w:val="FF0000"/>
          <w:sz w:val="20"/>
          <w:szCs w:val="20"/>
          <w:lang w:bidi="ar-SA"/>
        </w:rPr>
      </w:pPr>
    </w:p>
    <w:p w14:paraId="765C5B12" w14:textId="6EE2787C" w:rsidR="00903020" w:rsidRPr="00CB4952" w:rsidRDefault="00903020" w:rsidP="00903020">
      <w:pPr>
        <w:rPr>
          <w:rFonts w:ascii="Arial" w:eastAsia="Times New Roman" w:hAnsi="Arial" w:cs="Arial"/>
          <w:sz w:val="20"/>
          <w:szCs w:val="20"/>
        </w:rPr>
      </w:pPr>
      <w:r w:rsidRPr="00407BF1">
        <w:rPr>
          <w:rFonts w:ascii="Arial" w:hAnsi="Arial" w:cs="Arial"/>
          <w:i/>
          <w:noProof/>
          <w:color w:val="FF0000"/>
          <w:sz w:val="20"/>
          <w:szCs w:val="20"/>
          <w:lang w:bidi="ar-SA"/>
        </w:rPr>
        <w:t xml:space="preserve">POZN.: Graf </w:t>
      </w:r>
      <w:r>
        <w:rPr>
          <w:rFonts w:ascii="Arial" w:hAnsi="Arial" w:cs="Arial"/>
          <w:i/>
          <w:noProof/>
          <w:color w:val="FF0000"/>
          <w:sz w:val="20"/>
          <w:szCs w:val="20"/>
          <w:lang w:bidi="ar-SA"/>
        </w:rPr>
        <w:t>dubnového Indexu hypotečních úvěrů</w:t>
      </w:r>
      <w:r w:rsidRPr="00407BF1">
        <w:rPr>
          <w:rFonts w:ascii="Arial" w:hAnsi="Arial" w:cs="Arial"/>
          <w:i/>
          <w:noProof/>
          <w:color w:val="FF0000"/>
          <w:sz w:val="20"/>
          <w:szCs w:val="20"/>
          <w:lang w:bidi="ar-SA"/>
        </w:rPr>
        <w:t xml:space="preserve"> je k dispozici na následující straně</w:t>
      </w:r>
    </w:p>
    <w:p w14:paraId="71BCE2F9" w14:textId="77777777" w:rsidR="00903020" w:rsidRPr="00CB4952" w:rsidRDefault="00903020" w:rsidP="004B5104">
      <w:pPr>
        <w:jc w:val="both"/>
        <w:rPr>
          <w:rFonts w:ascii="Arial" w:eastAsia="Times New Roman" w:hAnsi="Arial" w:cs="Arial"/>
          <w:sz w:val="20"/>
          <w:szCs w:val="20"/>
        </w:rPr>
      </w:pPr>
    </w:p>
    <w:p w14:paraId="4B8B73D2" w14:textId="7EF9BF04" w:rsidR="00CC0CB0" w:rsidRDefault="00903020" w:rsidP="00903020">
      <w:pPr>
        <w:ind w:left="-142"/>
        <w:rPr>
          <w:rFonts w:ascii="Arial" w:eastAsia="Times New Roman" w:hAnsi="Arial" w:cs="Arial"/>
          <w:sz w:val="20"/>
          <w:szCs w:val="20"/>
        </w:rPr>
      </w:pPr>
      <w:r>
        <w:rPr>
          <w:rFonts w:ascii="Arial" w:hAnsi="Arial" w:cs="Arial"/>
          <w:noProof/>
          <w:color w:val="FF0000"/>
          <w:sz w:val="20"/>
          <w:szCs w:val="20"/>
          <w:lang w:bidi="ar-SA"/>
        </w:rPr>
        <w:lastRenderedPageBreak/>
        <w:drawing>
          <wp:inline distT="0" distB="0" distL="0" distR="0" wp14:anchorId="4E21EE45" wp14:editId="1A94BF47">
            <wp:extent cx="6823275" cy="2435984"/>
            <wp:effectExtent l="0" t="0" r="0" b="2540"/>
            <wp:docPr id="1" name="Obrázek 1" descr="BC Index hypotecnich uveru - dube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 Index hypotecnich uveru - duben 20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83920" cy="2457635"/>
                    </a:xfrm>
                    <a:prstGeom prst="rect">
                      <a:avLst/>
                    </a:prstGeom>
                    <a:noFill/>
                    <a:ln>
                      <a:noFill/>
                    </a:ln>
                  </pic:spPr>
                </pic:pic>
              </a:graphicData>
            </a:graphic>
          </wp:inline>
        </w:drawing>
      </w:r>
    </w:p>
    <w:p w14:paraId="261B8995" w14:textId="094358A0" w:rsidR="00435115" w:rsidRPr="00CC0CB0" w:rsidRDefault="00435115" w:rsidP="00CC0CB0">
      <w:pPr>
        <w:spacing w:after="160" w:line="254" w:lineRule="auto"/>
        <w:ind w:left="-142"/>
        <w:jc w:val="both"/>
        <w:rPr>
          <w:rFonts w:ascii="Arial" w:hAnsi="Arial" w:cs="Arial"/>
          <w:color w:val="FF0000"/>
          <w:sz w:val="20"/>
          <w:szCs w:val="20"/>
        </w:rPr>
      </w:pPr>
    </w:p>
    <w:p w14:paraId="19F564F0" w14:textId="77777777" w:rsidR="002B6F4E" w:rsidRDefault="002B6F4E" w:rsidP="00435115">
      <w:pPr>
        <w:rPr>
          <w:rFonts w:ascii="Arial" w:hAnsi="Arial" w:cs="Arial"/>
          <w:b/>
          <w:sz w:val="18"/>
          <w:szCs w:val="16"/>
        </w:rPr>
      </w:pPr>
    </w:p>
    <w:p w14:paraId="0EB712C0" w14:textId="5CB4FB5A" w:rsidR="00977B41" w:rsidRPr="00435115" w:rsidRDefault="00B37F41" w:rsidP="00435115">
      <w:pPr>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index</w:t>
      </w:r>
      <w:r w:rsidRPr="0013512D">
        <w:rPr>
          <w:rFonts w:ascii="Arial" w:hAnsi="Arial" w:cs="Arial"/>
          <w:i/>
          <w:color w:val="1D1D1B"/>
          <w:w w:val="105"/>
          <w:sz w:val="18"/>
          <w:szCs w:val="16"/>
        </w:rPr>
        <w:t xml:space="preserve"> </w:t>
      </w:r>
      <w:r w:rsidRPr="00B244B9">
        <w:rPr>
          <w:rFonts w:ascii="Arial" w:hAnsi="Arial" w:cs="Arial"/>
          <w:i/>
          <w:color w:val="1D1D1B"/>
          <w:w w:val="105"/>
          <w:sz w:val="18"/>
          <w:szCs w:val="16"/>
        </w:rPr>
        <w:t>hypot</w:t>
      </w:r>
      <w:r>
        <w:rPr>
          <w:rFonts w:ascii="Arial" w:hAnsi="Arial" w:cs="Arial"/>
          <w:i/>
          <w:color w:val="1D1D1B"/>
          <w:w w:val="105"/>
          <w:sz w:val="18"/>
          <w:szCs w:val="16"/>
        </w:rPr>
        <w:t>é</w:t>
      </w:r>
      <w:r w:rsidRPr="00B244B9">
        <w:rPr>
          <w:rFonts w:ascii="Arial" w:hAnsi="Arial" w:cs="Arial"/>
          <w:i/>
          <w:color w:val="1D1D1B"/>
          <w:w w:val="105"/>
          <w:sz w:val="18"/>
          <w:szCs w:val="16"/>
        </w:rPr>
        <w:t>ční</w:t>
      </w:r>
      <w:r>
        <w:rPr>
          <w:rFonts w:ascii="Arial" w:hAnsi="Arial" w:cs="Arial"/>
          <w:i/>
          <w:color w:val="1D1D1B"/>
          <w:w w:val="105"/>
          <w:sz w:val="18"/>
          <w:szCs w:val="16"/>
        </w:rPr>
        <w:t>ch úvěrů</w:t>
      </w:r>
      <w:r w:rsidRPr="00B244B9">
        <w:rPr>
          <w:rFonts w:ascii="Arial" w:hAnsi="Arial" w:cs="Arial"/>
          <w:i/>
          <w:color w:val="1D1D1B"/>
          <w:w w:val="105"/>
          <w:sz w:val="18"/>
          <w:szCs w:val="16"/>
        </w:rPr>
        <w:t xml:space="preserve">). Více informací najdete též na webu </w:t>
      </w:r>
      <w:r w:rsidRPr="0013512D">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4537B8D6" w14:textId="77777777" w:rsidR="00977B41" w:rsidRDefault="00977B41" w:rsidP="0073009C">
      <w:pPr>
        <w:jc w:val="both"/>
        <w:rPr>
          <w:rFonts w:ascii="Arial" w:hAnsi="Arial" w:cs="Arial"/>
          <w:b/>
          <w:sz w:val="18"/>
          <w:szCs w:val="20"/>
        </w:rPr>
      </w:pPr>
    </w:p>
    <w:p w14:paraId="56481177" w14:textId="5E6F4647" w:rsidR="00F84A4F" w:rsidRDefault="00B37F41" w:rsidP="0073009C">
      <w:pPr>
        <w:jc w:val="both"/>
        <w:rPr>
          <w:rFonts w:ascii="Arial" w:hAnsi="Arial" w:cs="Arial"/>
          <w:sz w:val="18"/>
          <w:szCs w:val="20"/>
        </w:rPr>
      </w:pPr>
      <w:r w:rsidRPr="00DC49D5">
        <w:rPr>
          <w:rFonts w:ascii="Arial" w:hAnsi="Arial" w:cs="Arial"/>
          <w:b/>
          <w:sz w:val="18"/>
          <w:szCs w:val="20"/>
        </w:rPr>
        <w:t>Broker Consulting Index hypot</w:t>
      </w:r>
      <w:r>
        <w:rPr>
          <w:rFonts w:ascii="Arial" w:hAnsi="Arial" w:cs="Arial"/>
          <w:b/>
          <w:sz w:val="18"/>
          <w:szCs w:val="20"/>
        </w:rPr>
        <w:t>e</w:t>
      </w:r>
      <w:r w:rsidRPr="00DC49D5">
        <w:rPr>
          <w:rFonts w:ascii="Arial" w:hAnsi="Arial" w:cs="Arial"/>
          <w:b/>
          <w:sz w:val="18"/>
          <w:szCs w:val="20"/>
        </w:rPr>
        <w:t>čních úvěrů</w:t>
      </w:r>
      <w:r w:rsidRPr="00C222E1">
        <w:rPr>
          <w:rFonts w:ascii="Arial" w:hAnsi="Arial" w:cs="Arial"/>
          <w:sz w:val="18"/>
          <w:szCs w:val="20"/>
        </w:rPr>
        <w:t xml:space="preserve"> je analytický nástroj, který ukazuje průměrnou úrokovou sazbu u hypotéčních úvěrů, jež zprostředkovali konzultanti Broker Consulting a pobočky OK POINT u kteréhokoli poskytovatele hypotečních úvěrů. Jedná se o vážený aritmetický průměr, kdy hlavní vahou je objem úvěru. Tedy čím vyšší úvěr, tím jeho sazba do indexu vstupuje větší vahou. Výhodou metody výpočtu je skutečnost, že se do statistiky dostávají pouze skutečně schválené úvěry</w:t>
      </w:r>
      <w:r w:rsidR="00F84A4F">
        <w:rPr>
          <w:rFonts w:ascii="Arial" w:hAnsi="Arial" w:cs="Arial"/>
          <w:sz w:val="18"/>
          <w:szCs w:val="20"/>
        </w:rPr>
        <w:t>,</w:t>
      </w:r>
      <w:r w:rsidRPr="00C222E1">
        <w:rPr>
          <w:rFonts w:ascii="Arial" w:hAnsi="Arial" w:cs="Arial"/>
          <w:sz w:val="18"/>
          <w:szCs w:val="20"/>
        </w:rPr>
        <w:t xml:space="preserve"> a to bez výjimky všechny. </w:t>
      </w:r>
    </w:p>
    <w:p w14:paraId="7DF3747A" w14:textId="3AE00FD3" w:rsidR="00B37F41" w:rsidRPr="00C222E1" w:rsidRDefault="00B37F41" w:rsidP="0073009C">
      <w:pPr>
        <w:jc w:val="both"/>
        <w:rPr>
          <w:rFonts w:ascii="Arial" w:hAnsi="Arial" w:cs="Arial"/>
          <w:sz w:val="18"/>
          <w:szCs w:val="20"/>
        </w:rPr>
      </w:pPr>
      <w:r w:rsidRPr="00C222E1">
        <w:rPr>
          <w:rFonts w:ascii="Arial" w:hAnsi="Arial" w:cs="Arial"/>
          <w:sz w:val="18"/>
          <w:szCs w:val="20"/>
        </w:rPr>
        <w:t xml:space="preserve">Nemůže </w:t>
      </w:r>
      <w:r w:rsidR="00F84A4F">
        <w:rPr>
          <w:rFonts w:ascii="Arial" w:hAnsi="Arial" w:cs="Arial"/>
          <w:sz w:val="18"/>
          <w:szCs w:val="20"/>
        </w:rPr>
        <w:t xml:space="preserve">tak </w:t>
      </w:r>
      <w:r w:rsidRPr="00C222E1">
        <w:rPr>
          <w:rFonts w:ascii="Arial" w:hAnsi="Arial" w:cs="Arial"/>
          <w:sz w:val="18"/>
          <w:szCs w:val="20"/>
        </w:rPr>
        <w:t xml:space="preserve">dojít ke zkreslení informací a index není závislý na dodávkách třetích stran. V principu se index počítá ze sazeb, které jsou v danou chvíli pro daného klienta nejnižší na trhu nebo se nejnižší hranici přibližují, neboť klient si vybírá z mnoha možností, které mu trh v danou chvíli nabízí. A většinou si vybírá právě nejnižší sazbu úvěru, který i v jiných parametrech splňuje jejich podmínky. Broker Consulting ročně zprostředkuje úvěry v objemu </w:t>
      </w:r>
      <w:r w:rsidR="004B64B3">
        <w:rPr>
          <w:rFonts w:ascii="Arial" w:hAnsi="Arial" w:cs="Arial"/>
          <w:sz w:val="18"/>
          <w:szCs w:val="20"/>
        </w:rPr>
        <w:t xml:space="preserve">přesahujícím 13 miliard </w:t>
      </w:r>
      <w:r w:rsidRPr="00C222E1">
        <w:rPr>
          <w:rFonts w:ascii="Arial" w:hAnsi="Arial" w:cs="Arial"/>
          <w:sz w:val="18"/>
          <w:szCs w:val="20"/>
        </w:rPr>
        <w:t xml:space="preserve">korun. </w:t>
      </w:r>
    </w:p>
    <w:p w14:paraId="3047FCF7" w14:textId="30DEE248" w:rsidR="00833A44" w:rsidRDefault="00833A44" w:rsidP="00B27178">
      <w:pPr>
        <w:jc w:val="both"/>
      </w:pPr>
    </w:p>
    <w:p w14:paraId="719BA63E" w14:textId="7B457A4D" w:rsidR="00B37F41" w:rsidRDefault="00B37F41" w:rsidP="00B27178">
      <w:pPr>
        <w:jc w:val="both"/>
      </w:pPr>
    </w:p>
    <w:p w14:paraId="3371DDD3" w14:textId="77777777" w:rsidR="00B37F41" w:rsidRPr="0025264B" w:rsidRDefault="00B37F41" w:rsidP="00B27178">
      <w:pPr>
        <w:jc w:val="both"/>
      </w:pPr>
    </w:p>
    <w:p w14:paraId="02CFC06C" w14:textId="77777777" w:rsidR="00903020" w:rsidRDefault="00903020" w:rsidP="00903020">
      <w:pPr>
        <w:jc w:val="both"/>
        <w:rPr>
          <w:rFonts w:ascii="Arial" w:hAnsi="Arial" w:cs="Arial"/>
          <w:noProof/>
          <w:color w:val="FF0000"/>
          <w:sz w:val="20"/>
          <w:szCs w:val="20"/>
          <w:lang w:bidi="ar-SA"/>
        </w:rPr>
      </w:pPr>
    </w:p>
    <w:p w14:paraId="30A655D4" w14:textId="111CB6A5" w:rsidR="00D60D98" w:rsidRPr="00903020" w:rsidRDefault="00D60D98" w:rsidP="00B27178">
      <w:pPr>
        <w:jc w:val="both"/>
        <w:rPr>
          <w:rFonts w:ascii="Arial" w:eastAsia="Calibri" w:hAnsi="Arial" w:cs="Arial"/>
          <w:bCs/>
          <w:noProof/>
          <w:sz w:val="20"/>
          <w:szCs w:val="20"/>
        </w:rPr>
      </w:pPr>
    </w:p>
    <w:p w14:paraId="159799F5" w14:textId="73FA0073" w:rsidR="00692610" w:rsidRDefault="00692610" w:rsidP="00B27178">
      <w:pPr>
        <w:jc w:val="both"/>
        <w:rPr>
          <w:rFonts w:ascii="Arial" w:eastAsia="Calibri" w:hAnsi="Arial" w:cs="Arial"/>
          <w:b/>
          <w:bCs/>
          <w:noProof/>
          <w:sz w:val="20"/>
          <w:szCs w:val="20"/>
        </w:rPr>
      </w:pPr>
    </w:p>
    <w:p w14:paraId="58F041AC" w14:textId="77777777" w:rsidR="00692610" w:rsidRPr="00D60D98" w:rsidRDefault="00692610" w:rsidP="00B27178">
      <w:pPr>
        <w:jc w:val="both"/>
        <w:rPr>
          <w:rFonts w:ascii="Arial" w:eastAsia="Calibri" w:hAnsi="Arial" w:cs="Arial"/>
          <w:b/>
          <w:bCs/>
          <w:noProof/>
          <w:sz w:val="20"/>
          <w:szCs w:val="20"/>
        </w:rPr>
      </w:pPr>
    </w:p>
    <w:p w14:paraId="7C1907C0" w14:textId="1D2EC938" w:rsidR="00D60D98" w:rsidRPr="0073009C" w:rsidRDefault="00D60D98" w:rsidP="00D60D98">
      <w:pPr>
        <w:rPr>
          <w:rFonts w:ascii="Arial" w:eastAsia="Calibri" w:hAnsi="Arial" w:cs="Arial"/>
          <w:b/>
          <w:bCs/>
          <w:noProof/>
          <w:sz w:val="18"/>
          <w:szCs w:val="18"/>
        </w:rPr>
      </w:pPr>
      <w:r w:rsidRPr="0073009C">
        <w:rPr>
          <w:rFonts w:ascii="Arial" w:eastAsia="Calibri" w:hAnsi="Arial" w:cs="Arial"/>
          <w:b/>
          <w:bCs/>
          <w:noProof/>
          <w:sz w:val="18"/>
          <w:szCs w:val="18"/>
        </w:rPr>
        <w:t>Kontakt pro média:</w:t>
      </w:r>
    </w:p>
    <w:p w14:paraId="090F1F41" w14:textId="2F88DEFA" w:rsidR="00B37F41" w:rsidRPr="0073009C" w:rsidRDefault="00B37F41" w:rsidP="00D60D98">
      <w:pPr>
        <w:rPr>
          <w:rFonts w:ascii="Arial" w:eastAsia="Calibri" w:hAnsi="Arial" w:cs="Arial"/>
          <w:bCs/>
          <w:noProof/>
          <w:sz w:val="18"/>
          <w:szCs w:val="18"/>
        </w:rPr>
      </w:pPr>
    </w:p>
    <w:p w14:paraId="459105C8" w14:textId="77777777" w:rsidR="00692610" w:rsidRPr="0073009C" w:rsidRDefault="00692610" w:rsidP="00692610">
      <w:pPr>
        <w:rPr>
          <w:rFonts w:ascii="Arial" w:eastAsia="Calibri" w:hAnsi="Arial" w:cs="Arial"/>
          <w:bCs/>
          <w:noProof/>
          <w:sz w:val="18"/>
          <w:szCs w:val="18"/>
          <w:lang w:bidi="ar-SA"/>
        </w:rPr>
      </w:pPr>
      <w:r w:rsidRPr="0073009C">
        <w:rPr>
          <w:rFonts w:ascii="Arial" w:eastAsia="Calibri" w:hAnsi="Arial" w:cs="Arial"/>
          <w:bCs/>
          <w:noProof/>
          <w:sz w:val="18"/>
          <w:szCs w:val="18"/>
        </w:rPr>
        <w:t>Tereza Kunová</w:t>
      </w:r>
    </w:p>
    <w:p w14:paraId="679794E2"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Specialistka PR a externí komunikace</w:t>
      </w:r>
    </w:p>
    <w:p w14:paraId="3D378A07"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Mobil: +420 731 537 716</w:t>
      </w:r>
    </w:p>
    <w:p w14:paraId="16B705EA" w14:textId="77777777" w:rsidR="00692610" w:rsidRPr="0073009C" w:rsidRDefault="00692610" w:rsidP="00692610">
      <w:pPr>
        <w:rPr>
          <w:rFonts w:ascii="Arial" w:eastAsia="Calibri" w:hAnsi="Arial" w:cs="Arial"/>
          <w:noProof/>
          <w:sz w:val="18"/>
          <w:szCs w:val="18"/>
        </w:rPr>
      </w:pPr>
      <w:r w:rsidRPr="0073009C">
        <w:rPr>
          <w:rFonts w:ascii="Arial" w:eastAsia="Calibri" w:hAnsi="Arial" w:cs="Arial"/>
          <w:noProof/>
          <w:sz w:val="18"/>
          <w:szCs w:val="18"/>
        </w:rPr>
        <w:t xml:space="preserve">E-mail: </w:t>
      </w:r>
      <w:hyperlink r:id="rId26" w:history="1">
        <w:r w:rsidRPr="0073009C">
          <w:rPr>
            <w:rStyle w:val="Hypertextovodkaz"/>
            <w:rFonts w:ascii="Arial" w:eastAsia="Calibri" w:hAnsi="Arial" w:cs="Arial"/>
            <w:noProof/>
            <w:sz w:val="18"/>
            <w:szCs w:val="18"/>
          </w:rPr>
          <w:t>tereza.kunova@bcas.cz</w:t>
        </w:r>
      </w:hyperlink>
      <w:r w:rsidRPr="0073009C">
        <w:rPr>
          <w:rFonts w:ascii="Arial" w:eastAsia="Calibri" w:hAnsi="Arial" w:cs="Arial"/>
          <w:noProof/>
          <w:sz w:val="18"/>
          <w:szCs w:val="18"/>
        </w:rPr>
        <w:t xml:space="preserve"> </w:t>
      </w:r>
    </w:p>
    <w:p w14:paraId="066A8D8C" w14:textId="77777777" w:rsidR="00692610" w:rsidRPr="0073009C" w:rsidRDefault="00692610" w:rsidP="00692610">
      <w:pPr>
        <w:rPr>
          <w:rFonts w:ascii="Arial" w:eastAsia="Calibri" w:hAnsi="Arial" w:cs="Arial"/>
          <w:bCs/>
          <w:noProof/>
          <w:sz w:val="18"/>
          <w:szCs w:val="18"/>
        </w:rPr>
      </w:pPr>
    </w:p>
    <w:p w14:paraId="025F1B2F" w14:textId="70837378" w:rsidR="00D60D98" w:rsidRPr="002B2A94" w:rsidRDefault="00D60D98" w:rsidP="002B2A94">
      <w:pPr>
        <w:rPr>
          <w:rFonts w:ascii="Arial" w:eastAsia="Calibri" w:hAnsi="Arial" w:cs="Arial"/>
          <w:b/>
          <w:bCs/>
          <w:noProof/>
          <w:sz w:val="18"/>
          <w:szCs w:val="18"/>
          <w:lang w:bidi="ar-SA"/>
        </w:rPr>
      </w:pPr>
    </w:p>
    <w:sectPr w:rsidR="00D60D98" w:rsidRPr="002B2A94" w:rsidSect="001675AF">
      <w:type w:val="continuous"/>
      <w:pgSz w:w="11910" w:h="16840"/>
      <w:pgMar w:top="960" w:right="740" w:bottom="2127" w:left="720" w:header="708" w:footer="1136" w:gutter="0"/>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66332" w16cex:dateUtc="2021-05-12T12:22:00Z"/>
  <w16cex:commentExtensible w16cex:durableId="244663CA" w16cex:dateUtc="2021-05-12T12:25:00Z"/>
  <w16cex:commentExtensible w16cex:durableId="244663FE" w16cex:dateUtc="2021-05-12T12:26:00Z"/>
  <w16cex:commentExtensible w16cex:durableId="2446640F" w16cex:dateUtc="2021-05-12T12:26:00Z"/>
  <w16cex:commentExtensible w16cex:durableId="24466467" w16cex:dateUtc="2021-05-12T12:27:00Z"/>
  <w16cex:commentExtensible w16cex:durableId="244664CD" w16cex:dateUtc="2021-05-12T12:29:00Z"/>
  <w16cex:commentExtensible w16cex:durableId="24466562" w16cex:dateUtc="2021-05-12T12:32:00Z"/>
  <w16cex:commentExtensible w16cex:durableId="24466590" w16cex:dateUtc="2021-05-12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1C0C29" w16cid:durableId="24466332"/>
  <w16cid:commentId w16cid:paraId="6E758CA0" w16cid:durableId="244663CA"/>
  <w16cid:commentId w16cid:paraId="682081AB" w16cid:durableId="244663FE"/>
  <w16cid:commentId w16cid:paraId="15737A89" w16cid:durableId="2446640F"/>
  <w16cid:commentId w16cid:paraId="704D4E12" w16cid:durableId="24466467"/>
  <w16cid:commentId w16cid:paraId="4EE48CFB" w16cid:durableId="244664CD"/>
  <w16cid:commentId w16cid:paraId="6A8E62A2" w16cid:durableId="24466562"/>
  <w16cid:commentId w16cid:paraId="76876CCC" w16cid:durableId="2446659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C5E02" w14:textId="77777777" w:rsidR="00481D66" w:rsidRDefault="00481D66">
      <w:r>
        <w:separator/>
      </w:r>
    </w:p>
  </w:endnote>
  <w:endnote w:type="continuationSeparator" w:id="0">
    <w:p w14:paraId="6E5317BC" w14:textId="77777777" w:rsidR="00481D66" w:rsidRDefault="00481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481D66"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783AB1"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481D66"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783AB1"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481D66"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783AB1"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D78B7" w14:textId="77777777" w:rsidR="00481D66" w:rsidRDefault="00481D66">
      <w:r>
        <w:separator/>
      </w:r>
    </w:p>
  </w:footnote>
  <w:footnote w:type="continuationSeparator" w:id="0">
    <w:p w14:paraId="42A115B2" w14:textId="77777777" w:rsidR="00481D66" w:rsidRDefault="00481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13C6914A" w:rsidR="00B65A3B" w:rsidRDefault="009F2CEE" w:rsidP="009F2CEE">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Pr>
        <w:rFonts w:ascii="Arial" w:hAnsi="Arial" w:cs="Arial"/>
        <w:color w:val="E52713"/>
        <w:sz w:val="28"/>
        <w:szCs w:val="28"/>
      </w:rPr>
      <w:t>PODÍLOVÝCH FONDŮ</w:t>
    </w:r>
  </w:p>
  <w:p w14:paraId="43C085E5" w14:textId="77777777" w:rsidR="000F4B6C" w:rsidRPr="00B65A3B" w:rsidRDefault="000F4B6C" w:rsidP="009F2CEE">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00A33F2F"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 xml:space="preserve">INDEX </w:t>
    </w:r>
    <w:r w:rsidR="002A1185">
      <w:rPr>
        <w:rFonts w:ascii="Arial" w:hAnsi="Arial" w:cs="Arial"/>
        <w:color w:val="E52713"/>
        <w:sz w:val="28"/>
        <w:szCs w:val="28"/>
      </w:rPr>
      <w:t>HYPOTEČNÍCH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14FB5"/>
    <w:rsid w:val="00020EC7"/>
    <w:rsid w:val="00026F23"/>
    <w:rsid w:val="000277AC"/>
    <w:rsid w:val="0003028F"/>
    <w:rsid w:val="00032D94"/>
    <w:rsid w:val="000374D7"/>
    <w:rsid w:val="00037DAF"/>
    <w:rsid w:val="000400E4"/>
    <w:rsid w:val="00045D86"/>
    <w:rsid w:val="0005423A"/>
    <w:rsid w:val="000611E3"/>
    <w:rsid w:val="000766E7"/>
    <w:rsid w:val="00081616"/>
    <w:rsid w:val="000851AC"/>
    <w:rsid w:val="000853D4"/>
    <w:rsid w:val="0009776B"/>
    <w:rsid w:val="000D14E2"/>
    <w:rsid w:val="000D7158"/>
    <w:rsid w:val="000E3D86"/>
    <w:rsid w:val="000F4B6C"/>
    <w:rsid w:val="000F6249"/>
    <w:rsid w:val="001117DE"/>
    <w:rsid w:val="00111C28"/>
    <w:rsid w:val="0013044E"/>
    <w:rsid w:val="00131A69"/>
    <w:rsid w:val="00136D8D"/>
    <w:rsid w:val="00137003"/>
    <w:rsid w:val="0013717C"/>
    <w:rsid w:val="00140987"/>
    <w:rsid w:val="00156082"/>
    <w:rsid w:val="001675AF"/>
    <w:rsid w:val="001767A5"/>
    <w:rsid w:val="00192716"/>
    <w:rsid w:val="001A1A56"/>
    <w:rsid w:val="001A54DD"/>
    <w:rsid w:val="001B501B"/>
    <w:rsid w:val="001D015A"/>
    <w:rsid w:val="001D3DFC"/>
    <w:rsid w:val="001D5EFC"/>
    <w:rsid w:val="001E4209"/>
    <w:rsid w:val="001F7194"/>
    <w:rsid w:val="001F71BA"/>
    <w:rsid w:val="0020207A"/>
    <w:rsid w:val="002141AF"/>
    <w:rsid w:val="00224AF1"/>
    <w:rsid w:val="00224E6E"/>
    <w:rsid w:val="002368F3"/>
    <w:rsid w:val="00241313"/>
    <w:rsid w:val="0025264B"/>
    <w:rsid w:val="0025428A"/>
    <w:rsid w:val="002619DC"/>
    <w:rsid w:val="00270DB3"/>
    <w:rsid w:val="00280730"/>
    <w:rsid w:val="00281C61"/>
    <w:rsid w:val="002A1185"/>
    <w:rsid w:val="002B2A94"/>
    <w:rsid w:val="002B6F4E"/>
    <w:rsid w:val="002C0E94"/>
    <w:rsid w:val="002D3534"/>
    <w:rsid w:val="002D49F7"/>
    <w:rsid w:val="002F002B"/>
    <w:rsid w:val="002F485A"/>
    <w:rsid w:val="002F7EC2"/>
    <w:rsid w:val="003015E0"/>
    <w:rsid w:val="00307E95"/>
    <w:rsid w:val="003128F8"/>
    <w:rsid w:val="00322E5E"/>
    <w:rsid w:val="003247B0"/>
    <w:rsid w:val="00330918"/>
    <w:rsid w:val="003337A9"/>
    <w:rsid w:val="00342F85"/>
    <w:rsid w:val="00347557"/>
    <w:rsid w:val="00355366"/>
    <w:rsid w:val="003629B6"/>
    <w:rsid w:val="003721AD"/>
    <w:rsid w:val="00380608"/>
    <w:rsid w:val="00383DC5"/>
    <w:rsid w:val="00385EED"/>
    <w:rsid w:val="00390B58"/>
    <w:rsid w:val="003A6435"/>
    <w:rsid w:val="003B0E4F"/>
    <w:rsid w:val="003B1966"/>
    <w:rsid w:val="003C0CBE"/>
    <w:rsid w:val="003D1987"/>
    <w:rsid w:val="003D3AE8"/>
    <w:rsid w:val="003D69A7"/>
    <w:rsid w:val="003F79EC"/>
    <w:rsid w:val="0042193A"/>
    <w:rsid w:val="00434C5D"/>
    <w:rsid w:val="00435115"/>
    <w:rsid w:val="00445D0A"/>
    <w:rsid w:val="004540ED"/>
    <w:rsid w:val="00454843"/>
    <w:rsid w:val="004627B9"/>
    <w:rsid w:val="00481D66"/>
    <w:rsid w:val="004B5104"/>
    <w:rsid w:val="004B5797"/>
    <w:rsid w:val="004B64B3"/>
    <w:rsid w:val="004C3F71"/>
    <w:rsid w:val="004D4D9F"/>
    <w:rsid w:val="0050659B"/>
    <w:rsid w:val="005153F7"/>
    <w:rsid w:val="005224C1"/>
    <w:rsid w:val="0053153F"/>
    <w:rsid w:val="00536954"/>
    <w:rsid w:val="00540606"/>
    <w:rsid w:val="00541870"/>
    <w:rsid w:val="005436EC"/>
    <w:rsid w:val="00544A37"/>
    <w:rsid w:val="005455B0"/>
    <w:rsid w:val="0055263D"/>
    <w:rsid w:val="0056150F"/>
    <w:rsid w:val="005729F4"/>
    <w:rsid w:val="00577D19"/>
    <w:rsid w:val="005834AE"/>
    <w:rsid w:val="005875EC"/>
    <w:rsid w:val="005A37E5"/>
    <w:rsid w:val="005A5BBA"/>
    <w:rsid w:val="005A5F08"/>
    <w:rsid w:val="005B0E8E"/>
    <w:rsid w:val="005B31D7"/>
    <w:rsid w:val="00612DC2"/>
    <w:rsid w:val="006135FD"/>
    <w:rsid w:val="0062747C"/>
    <w:rsid w:val="0064160C"/>
    <w:rsid w:val="00656312"/>
    <w:rsid w:val="0066135D"/>
    <w:rsid w:val="00663C36"/>
    <w:rsid w:val="00667012"/>
    <w:rsid w:val="006768F0"/>
    <w:rsid w:val="00677078"/>
    <w:rsid w:val="00677C07"/>
    <w:rsid w:val="0068617E"/>
    <w:rsid w:val="00692610"/>
    <w:rsid w:val="006939E4"/>
    <w:rsid w:val="00693A07"/>
    <w:rsid w:val="00697A40"/>
    <w:rsid w:val="006A0BD0"/>
    <w:rsid w:val="006A150C"/>
    <w:rsid w:val="006A2F6C"/>
    <w:rsid w:val="006A3BE2"/>
    <w:rsid w:val="006C61E8"/>
    <w:rsid w:val="006D65EC"/>
    <w:rsid w:val="006E26DC"/>
    <w:rsid w:val="006E52B8"/>
    <w:rsid w:val="006F32FB"/>
    <w:rsid w:val="00705D83"/>
    <w:rsid w:val="0072112F"/>
    <w:rsid w:val="00730047"/>
    <w:rsid w:val="0073009C"/>
    <w:rsid w:val="00736FB9"/>
    <w:rsid w:val="00771B91"/>
    <w:rsid w:val="007824F4"/>
    <w:rsid w:val="00783AB1"/>
    <w:rsid w:val="00784109"/>
    <w:rsid w:val="00785FC5"/>
    <w:rsid w:val="0078631B"/>
    <w:rsid w:val="00791A2B"/>
    <w:rsid w:val="00792EE9"/>
    <w:rsid w:val="0079572A"/>
    <w:rsid w:val="00795D79"/>
    <w:rsid w:val="0079732B"/>
    <w:rsid w:val="007A1121"/>
    <w:rsid w:val="007A1122"/>
    <w:rsid w:val="007A15A6"/>
    <w:rsid w:val="007A278E"/>
    <w:rsid w:val="007B232E"/>
    <w:rsid w:val="007B358E"/>
    <w:rsid w:val="007C6288"/>
    <w:rsid w:val="007D2280"/>
    <w:rsid w:val="007E5614"/>
    <w:rsid w:val="007F515C"/>
    <w:rsid w:val="008104E0"/>
    <w:rsid w:val="0081387C"/>
    <w:rsid w:val="0083053E"/>
    <w:rsid w:val="00831B5E"/>
    <w:rsid w:val="0083338E"/>
    <w:rsid w:val="00833A44"/>
    <w:rsid w:val="00845A34"/>
    <w:rsid w:val="008769D5"/>
    <w:rsid w:val="00883A3E"/>
    <w:rsid w:val="00885B2F"/>
    <w:rsid w:val="008868A5"/>
    <w:rsid w:val="008926E5"/>
    <w:rsid w:val="008926F3"/>
    <w:rsid w:val="008A04D3"/>
    <w:rsid w:val="008A0C76"/>
    <w:rsid w:val="008C1795"/>
    <w:rsid w:val="008C4B0D"/>
    <w:rsid w:val="008D1E94"/>
    <w:rsid w:val="008E19F3"/>
    <w:rsid w:val="008F4980"/>
    <w:rsid w:val="008F6AAF"/>
    <w:rsid w:val="00903020"/>
    <w:rsid w:val="00906176"/>
    <w:rsid w:val="00906E67"/>
    <w:rsid w:val="00915ADA"/>
    <w:rsid w:val="009222C9"/>
    <w:rsid w:val="00932625"/>
    <w:rsid w:val="009344C2"/>
    <w:rsid w:val="0093538A"/>
    <w:rsid w:val="0094705C"/>
    <w:rsid w:val="00957B41"/>
    <w:rsid w:val="009644A2"/>
    <w:rsid w:val="00967162"/>
    <w:rsid w:val="00974A97"/>
    <w:rsid w:val="00977B41"/>
    <w:rsid w:val="00982987"/>
    <w:rsid w:val="009A69B1"/>
    <w:rsid w:val="009C0ECA"/>
    <w:rsid w:val="009C45BA"/>
    <w:rsid w:val="009E317D"/>
    <w:rsid w:val="009E3B52"/>
    <w:rsid w:val="009E3D89"/>
    <w:rsid w:val="009F2CB2"/>
    <w:rsid w:val="009F2CEE"/>
    <w:rsid w:val="009F59EE"/>
    <w:rsid w:val="00A069E2"/>
    <w:rsid w:val="00A11C90"/>
    <w:rsid w:val="00A25B10"/>
    <w:rsid w:val="00A36D79"/>
    <w:rsid w:val="00A4618A"/>
    <w:rsid w:val="00A719A5"/>
    <w:rsid w:val="00A7372B"/>
    <w:rsid w:val="00A7509B"/>
    <w:rsid w:val="00A7796E"/>
    <w:rsid w:val="00A77F44"/>
    <w:rsid w:val="00AA218A"/>
    <w:rsid w:val="00AC614D"/>
    <w:rsid w:val="00B11974"/>
    <w:rsid w:val="00B12CF8"/>
    <w:rsid w:val="00B15519"/>
    <w:rsid w:val="00B244B9"/>
    <w:rsid w:val="00B27178"/>
    <w:rsid w:val="00B37F41"/>
    <w:rsid w:val="00B43ABC"/>
    <w:rsid w:val="00B470FB"/>
    <w:rsid w:val="00B51125"/>
    <w:rsid w:val="00B52CDF"/>
    <w:rsid w:val="00B65A3B"/>
    <w:rsid w:val="00B95BB2"/>
    <w:rsid w:val="00B95EBA"/>
    <w:rsid w:val="00BA1D82"/>
    <w:rsid w:val="00BA1FA3"/>
    <w:rsid w:val="00BA23D8"/>
    <w:rsid w:val="00BB4D49"/>
    <w:rsid w:val="00BB58F0"/>
    <w:rsid w:val="00BB6439"/>
    <w:rsid w:val="00BB675F"/>
    <w:rsid w:val="00BD17B0"/>
    <w:rsid w:val="00BD3715"/>
    <w:rsid w:val="00BD5A47"/>
    <w:rsid w:val="00C05CCC"/>
    <w:rsid w:val="00C23E32"/>
    <w:rsid w:val="00C31E67"/>
    <w:rsid w:val="00C33A4A"/>
    <w:rsid w:val="00C42FAF"/>
    <w:rsid w:val="00C864DC"/>
    <w:rsid w:val="00C908E5"/>
    <w:rsid w:val="00C9156E"/>
    <w:rsid w:val="00CA1722"/>
    <w:rsid w:val="00CA7CAF"/>
    <w:rsid w:val="00CB06F8"/>
    <w:rsid w:val="00CB18B1"/>
    <w:rsid w:val="00CB38CA"/>
    <w:rsid w:val="00CB6F2B"/>
    <w:rsid w:val="00CB7254"/>
    <w:rsid w:val="00CC0CB0"/>
    <w:rsid w:val="00CC1067"/>
    <w:rsid w:val="00CD3324"/>
    <w:rsid w:val="00CE6C6E"/>
    <w:rsid w:val="00D01832"/>
    <w:rsid w:val="00D07AA2"/>
    <w:rsid w:val="00D21C96"/>
    <w:rsid w:val="00D30854"/>
    <w:rsid w:val="00D31127"/>
    <w:rsid w:val="00D3359F"/>
    <w:rsid w:val="00D47B55"/>
    <w:rsid w:val="00D50703"/>
    <w:rsid w:val="00D60D98"/>
    <w:rsid w:val="00D721F1"/>
    <w:rsid w:val="00D80B6D"/>
    <w:rsid w:val="00D80F78"/>
    <w:rsid w:val="00D84488"/>
    <w:rsid w:val="00D844C8"/>
    <w:rsid w:val="00D8513A"/>
    <w:rsid w:val="00D85BBB"/>
    <w:rsid w:val="00D9690A"/>
    <w:rsid w:val="00DA7B87"/>
    <w:rsid w:val="00DB0343"/>
    <w:rsid w:val="00DB63D9"/>
    <w:rsid w:val="00DB7E77"/>
    <w:rsid w:val="00DC0BD6"/>
    <w:rsid w:val="00DC0F17"/>
    <w:rsid w:val="00DC30D0"/>
    <w:rsid w:val="00DD7940"/>
    <w:rsid w:val="00DE59C6"/>
    <w:rsid w:val="00E00DC6"/>
    <w:rsid w:val="00E058A3"/>
    <w:rsid w:val="00E151F3"/>
    <w:rsid w:val="00E17539"/>
    <w:rsid w:val="00E27028"/>
    <w:rsid w:val="00E52CEE"/>
    <w:rsid w:val="00E563FC"/>
    <w:rsid w:val="00E57F9B"/>
    <w:rsid w:val="00E60634"/>
    <w:rsid w:val="00E6319B"/>
    <w:rsid w:val="00E6726D"/>
    <w:rsid w:val="00E81433"/>
    <w:rsid w:val="00E81C95"/>
    <w:rsid w:val="00E852A3"/>
    <w:rsid w:val="00EA0C1C"/>
    <w:rsid w:val="00EA477A"/>
    <w:rsid w:val="00EA5D92"/>
    <w:rsid w:val="00EC7F0E"/>
    <w:rsid w:val="00ED2D1F"/>
    <w:rsid w:val="00ED58E9"/>
    <w:rsid w:val="00ED79D6"/>
    <w:rsid w:val="00EE1831"/>
    <w:rsid w:val="00EF2F7C"/>
    <w:rsid w:val="00F14982"/>
    <w:rsid w:val="00F2598D"/>
    <w:rsid w:val="00F336A2"/>
    <w:rsid w:val="00F44AEB"/>
    <w:rsid w:val="00F45620"/>
    <w:rsid w:val="00F532E2"/>
    <w:rsid w:val="00F5470D"/>
    <w:rsid w:val="00F72E32"/>
    <w:rsid w:val="00F829B7"/>
    <w:rsid w:val="00F84A4F"/>
    <w:rsid w:val="00F9173C"/>
    <w:rsid w:val="00FB18D0"/>
    <w:rsid w:val="00FB2315"/>
    <w:rsid w:val="00FB2ED6"/>
    <w:rsid w:val="00FC2522"/>
    <w:rsid w:val="00FC5B56"/>
    <w:rsid w:val="00FD4B12"/>
    <w:rsid w:val="00FD5009"/>
    <w:rsid w:val="00FE1EC8"/>
    <w:rsid w:val="00FF1E5A"/>
    <w:rsid w:val="00FF6F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E563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75859">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94489309">
      <w:bodyDiv w:val="1"/>
      <w:marLeft w:val="0"/>
      <w:marRight w:val="0"/>
      <w:marTop w:val="0"/>
      <w:marBottom w:val="0"/>
      <w:divBdr>
        <w:top w:val="none" w:sz="0" w:space="0" w:color="auto"/>
        <w:left w:val="none" w:sz="0" w:space="0" w:color="auto"/>
        <w:bottom w:val="none" w:sz="0" w:space="0" w:color="auto"/>
        <w:right w:val="none" w:sz="0" w:space="0" w:color="auto"/>
      </w:divBdr>
    </w:div>
    <w:div w:id="584384584">
      <w:bodyDiv w:val="1"/>
      <w:marLeft w:val="0"/>
      <w:marRight w:val="0"/>
      <w:marTop w:val="0"/>
      <w:marBottom w:val="0"/>
      <w:divBdr>
        <w:top w:val="none" w:sz="0" w:space="0" w:color="auto"/>
        <w:left w:val="none" w:sz="0" w:space="0" w:color="auto"/>
        <w:bottom w:val="none" w:sz="0" w:space="0" w:color="auto"/>
        <w:right w:val="none" w:sz="0" w:space="0" w:color="auto"/>
      </w:divBdr>
    </w:div>
    <w:div w:id="588000337">
      <w:bodyDiv w:val="1"/>
      <w:marLeft w:val="0"/>
      <w:marRight w:val="0"/>
      <w:marTop w:val="0"/>
      <w:marBottom w:val="0"/>
      <w:divBdr>
        <w:top w:val="none" w:sz="0" w:space="0" w:color="auto"/>
        <w:left w:val="none" w:sz="0" w:space="0" w:color="auto"/>
        <w:bottom w:val="none" w:sz="0" w:space="0" w:color="auto"/>
        <w:right w:val="none" w:sz="0" w:space="0" w:color="auto"/>
      </w:divBdr>
    </w:div>
    <w:div w:id="914245166">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3176217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40212790">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370837486">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30217791">
      <w:bodyDiv w:val="1"/>
      <w:marLeft w:val="0"/>
      <w:marRight w:val="0"/>
      <w:marTop w:val="0"/>
      <w:marBottom w:val="0"/>
      <w:divBdr>
        <w:top w:val="none" w:sz="0" w:space="0" w:color="auto"/>
        <w:left w:val="none" w:sz="0" w:space="0" w:color="auto"/>
        <w:bottom w:val="none" w:sz="0" w:space="0" w:color="auto"/>
        <w:right w:val="none" w:sz="0" w:space="0" w:color="auto"/>
      </w:divBdr>
    </w:div>
    <w:div w:id="1737900709">
      <w:bodyDiv w:val="1"/>
      <w:marLeft w:val="0"/>
      <w:marRight w:val="0"/>
      <w:marTop w:val="0"/>
      <w:marBottom w:val="0"/>
      <w:divBdr>
        <w:top w:val="none" w:sz="0" w:space="0" w:color="auto"/>
        <w:left w:val="none" w:sz="0" w:space="0" w:color="auto"/>
        <w:bottom w:val="none" w:sz="0" w:space="0" w:color="auto"/>
        <w:right w:val="none" w:sz="0" w:space="0" w:color="auto"/>
      </w:divBdr>
    </w:div>
    <w:div w:id="1865820393">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mailto:tereza.kunova@bcas.c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jpe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ACF86-243F-4432-AA3D-4C4D601EC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Pages>
  <Words>991</Words>
  <Characters>5847</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6</cp:revision>
  <dcterms:created xsi:type="dcterms:W3CDTF">2021-05-12T12:49:00Z</dcterms:created>
  <dcterms:modified xsi:type="dcterms:W3CDTF">2021-05-18T07:13:00Z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