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9933F2"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F30F30" w:rsidRDefault="00704D83" w:rsidP="00FA36E8">
      <w:pPr>
        <w:jc w:val="center"/>
        <w:rPr>
          <w:rFonts w:asciiTheme="minorHAnsi" w:hAnsiTheme="minorHAnsi" w:cstheme="minorHAnsi"/>
          <w:b/>
        </w:rPr>
      </w:pPr>
    </w:p>
    <w:p w14:paraId="11B1AA43" w14:textId="3B5EFF57" w:rsidR="00174009" w:rsidRPr="008F726D" w:rsidRDefault="00F30F30" w:rsidP="00FA36E8">
      <w:pPr>
        <w:spacing w:after="120"/>
        <w:jc w:val="center"/>
        <w:rPr>
          <w:rFonts w:asciiTheme="minorHAnsi" w:eastAsia="Times New Roman" w:hAnsiTheme="minorHAnsi" w:cstheme="minorHAnsi"/>
          <w:b/>
          <w:bCs/>
          <w:color w:val="000000"/>
          <w:sz w:val="28"/>
          <w:szCs w:val="28"/>
        </w:rPr>
      </w:pPr>
      <w:r w:rsidRPr="008F726D">
        <w:rPr>
          <w:rFonts w:asciiTheme="minorHAnsi" w:hAnsiTheme="minorHAnsi" w:cstheme="minorHAnsi"/>
          <w:b/>
          <w:sz w:val="28"/>
          <w:szCs w:val="28"/>
        </w:rPr>
        <w:t>V říjnu úrokové sazby spotřebitelských úvěrů mírně stouply</w:t>
      </w:r>
    </w:p>
    <w:p w14:paraId="506F2F95" w14:textId="637A56C6" w:rsidR="00F30F30" w:rsidRDefault="00F30F30" w:rsidP="008F726D">
      <w:pPr>
        <w:widowControl/>
        <w:autoSpaceDE/>
        <w:autoSpaceDN/>
        <w:spacing w:after="120"/>
        <w:contextualSpacing/>
        <w:rPr>
          <w:rFonts w:asciiTheme="minorHAnsi" w:eastAsia="Times New Roman" w:hAnsiTheme="minorHAnsi" w:cstheme="minorHAnsi"/>
          <w:b/>
          <w:color w:val="000000"/>
          <w:sz w:val="21"/>
          <w:szCs w:val="21"/>
        </w:rPr>
      </w:pPr>
      <w:r w:rsidRPr="008F726D">
        <w:rPr>
          <w:rFonts w:asciiTheme="minorHAnsi" w:hAnsiTheme="minorHAnsi" w:cstheme="minorHAnsi"/>
          <w:b/>
          <w:sz w:val="21"/>
          <w:szCs w:val="21"/>
        </w:rPr>
        <w:t xml:space="preserve">• Broker Consulting Index spotřebitelských úvěrů </w:t>
      </w:r>
      <w:proofErr w:type="gramStart"/>
      <w:r w:rsidRPr="008F726D">
        <w:rPr>
          <w:rFonts w:asciiTheme="minorHAnsi" w:hAnsiTheme="minorHAnsi" w:cstheme="minorHAnsi"/>
          <w:b/>
          <w:sz w:val="21"/>
          <w:szCs w:val="21"/>
        </w:rPr>
        <w:t>vzrostl</w:t>
      </w:r>
      <w:proofErr w:type="gramEnd"/>
      <w:r w:rsidRPr="008F726D">
        <w:rPr>
          <w:rFonts w:asciiTheme="minorHAnsi" w:hAnsiTheme="minorHAnsi" w:cstheme="minorHAnsi"/>
          <w:b/>
          <w:sz w:val="21"/>
          <w:szCs w:val="21"/>
        </w:rPr>
        <w:t xml:space="preserve"> v říjnu na 7,19 %.</w:t>
      </w:r>
      <w:r w:rsidRPr="008F726D">
        <w:rPr>
          <w:rFonts w:asciiTheme="minorHAnsi" w:hAnsiTheme="minorHAnsi" w:cstheme="minorHAnsi"/>
          <w:b/>
          <w:sz w:val="21"/>
          <w:szCs w:val="21"/>
        </w:rPr>
        <w:br/>
        <w:t>• Jde o první zvýšení po pěti měsících postupného poklesu.</w:t>
      </w:r>
      <w:bookmarkStart w:id="0" w:name="_GoBack"/>
      <w:bookmarkEnd w:id="0"/>
      <w:r w:rsidRPr="008F726D">
        <w:rPr>
          <w:rFonts w:asciiTheme="minorHAnsi" w:hAnsiTheme="minorHAnsi" w:cstheme="minorHAnsi"/>
          <w:b/>
          <w:sz w:val="21"/>
          <w:szCs w:val="21"/>
        </w:rPr>
        <w:br/>
        <w:t xml:space="preserve">• Vánoce </w:t>
      </w:r>
      <w:proofErr w:type="gramStart"/>
      <w:r w:rsidRPr="008F726D">
        <w:rPr>
          <w:rFonts w:asciiTheme="minorHAnsi" w:hAnsiTheme="minorHAnsi" w:cstheme="minorHAnsi"/>
          <w:b/>
          <w:sz w:val="21"/>
          <w:szCs w:val="21"/>
        </w:rPr>
        <w:t>jsou</w:t>
      </w:r>
      <w:proofErr w:type="gramEnd"/>
      <w:r w:rsidRPr="008F726D">
        <w:rPr>
          <w:rFonts w:asciiTheme="minorHAnsi" w:hAnsiTheme="minorHAnsi" w:cstheme="minorHAnsi"/>
          <w:b/>
          <w:sz w:val="21"/>
          <w:szCs w:val="21"/>
        </w:rPr>
        <w:t xml:space="preserve"> za dveřmi, vyplatí se plánovat s předstihem a mít vytvořenou finanční rezervu.</w:t>
      </w:r>
    </w:p>
    <w:p w14:paraId="675FC604" w14:textId="77777777" w:rsidR="008F726D" w:rsidRPr="008F726D" w:rsidRDefault="008F726D" w:rsidP="008F726D">
      <w:pPr>
        <w:widowControl/>
        <w:autoSpaceDE/>
        <w:autoSpaceDN/>
        <w:spacing w:after="120"/>
        <w:contextualSpacing/>
        <w:rPr>
          <w:rFonts w:asciiTheme="minorHAnsi" w:eastAsia="Times New Roman" w:hAnsiTheme="minorHAnsi" w:cstheme="minorHAnsi"/>
          <w:b/>
          <w:color w:val="000000"/>
          <w:sz w:val="21"/>
          <w:szCs w:val="21"/>
        </w:rPr>
      </w:pPr>
    </w:p>
    <w:p w14:paraId="760C500D" w14:textId="03D5E921" w:rsidR="00F30F30" w:rsidRPr="008F726D" w:rsidRDefault="008F726D" w:rsidP="008F726D">
      <w:pPr>
        <w:widowControl/>
        <w:autoSpaceDE/>
        <w:autoSpaceDN/>
        <w:spacing w:before="100" w:beforeAutospacing="1" w:after="100" w:afterAutospacing="1"/>
        <w:jc w:val="both"/>
        <w:rPr>
          <w:rFonts w:asciiTheme="minorHAnsi" w:eastAsia="Times New Roman" w:hAnsiTheme="minorHAnsi" w:cstheme="minorHAnsi"/>
          <w:lang w:bidi="ar-SA"/>
        </w:rPr>
      </w:pPr>
      <w:r w:rsidRPr="00A3771E">
        <w:rPr>
          <w:rStyle w:val="Siln"/>
          <w:rFonts w:asciiTheme="minorHAnsi" w:hAnsiTheme="minorHAnsi" w:cstheme="minorHAnsi"/>
          <w:i/>
        </w:rPr>
        <w:t>Praha, 21</w:t>
      </w:r>
      <w:r w:rsidR="00F30F30" w:rsidRPr="00A3771E">
        <w:rPr>
          <w:rStyle w:val="Siln"/>
          <w:rFonts w:asciiTheme="minorHAnsi" w:hAnsiTheme="minorHAnsi" w:cstheme="minorHAnsi"/>
          <w:i/>
        </w:rPr>
        <w:t>. listopadu 2025</w:t>
      </w:r>
      <w:r w:rsidR="00F30F30" w:rsidRPr="00F30F30">
        <w:rPr>
          <w:rFonts w:asciiTheme="minorHAnsi" w:hAnsiTheme="minorHAnsi" w:cstheme="minorHAnsi"/>
        </w:rPr>
        <w:t xml:space="preserve"> – Po období pozvolného poklesu, které trvalo od dubna až do září, došlo v říjnu k mírnému zvýšení průměrné úrokové sazby spotřebitelských úvěrů. Broker Consulting Index spotřebitelských úvěrů dosáhl hodnoty 7,19 procenta, zatímco v září činila sazba 6,84 procenta. Nárůst o 0,35 procentního bodu však odpovídá typickým měsíčním výkyvům, které jsou pro oblast bezúčelových půjček běžné.</w:t>
      </w:r>
    </w:p>
    <w:p w14:paraId="1EE8E866" w14:textId="49C9F6F5" w:rsidR="00F30F30" w:rsidRPr="00F30F30" w:rsidRDefault="00F30F30" w:rsidP="00FD3143">
      <w:pPr>
        <w:pStyle w:val="Nadpis3"/>
        <w:ind w:left="0"/>
        <w:jc w:val="both"/>
        <w:rPr>
          <w:rFonts w:asciiTheme="minorHAnsi" w:hAnsiTheme="minorHAnsi" w:cstheme="minorHAnsi"/>
          <w:b/>
          <w:sz w:val="22"/>
          <w:szCs w:val="22"/>
        </w:rPr>
      </w:pPr>
      <w:r w:rsidRPr="00F30F30">
        <w:rPr>
          <w:rFonts w:asciiTheme="minorHAnsi" w:hAnsiTheme="minorHAnsi" w:cstheme="minorHAnsi"/>
          <w:i/>
          <w:sz w:val="22"/>
          <w:szCs w:val="22"/>
        </w:rPr>
        <w:t>„Říjnové zvýšení není nijak neobvyklé. U spotřebitelských úvěrů sledujeme drobné výkyvy opakovaně. Přesto je letošní vývoj sazeb stále příznivější než v předchozích letech,“</w:t>
      </w:r>
      <w:r w:rsidRPr="00F30F30">
        <w:rPr>
          <w:rFonts w:asciiTheme="minorHAnsi" w:hAnsiTheme="minorHAnsi" w:cstheme="minorHAnsi"/>
          <w:sz w:val="22"/>
          <w:szCs w:val="22"/>
        </w:rPr>
        <w:t xml:space="preserve"> říká </w:t>
      </w:r>
      <w:r w:rsidRPr="00F30F30">
        <w:rPr>
          <w:rFonts w:asciiTheme="minorHAnsi" w:hAnsiTheme="minorHAnsi" w:cstheme="minorHAnsi"/>
          <w:b/>
          <w:sz w:val="22"/>
          <w:szCs w:val="22"/>
        </w:rPr>
        <w:t>Michaela Pudilová, analytička spotřebitelských a hypotečních úvěrů společnosti Broker Consulting.</w:t>
      </w:r>
    </w:p>
    <w:p w14:paraId="1EBE581E" w14:textId="405D4405" w:rsidR="002238E8" w:rsidRPr="00F30F30" w:rsidRDefault="002238E8" w:rsidP="00FD3143">
      <w:pPr>
        <w:pStyle w:val="Nadpis3"/>
        <w:ind w:left="0"/>
        <w:jc w:val="both"/>
        <w:rPr>
          <w:rFonts w:asciiTheme="minorHAnsi" w:hAnsiTheme="minorHAnsi" w:cstheme="minorHAnsi"/>
          <w:sz w:val="22"/>
          <w:szCs w:val="22"/>
        </w:rPr>
      </w:pPr>
    </w:p>
    <w:p w14:paraId="41254ECC" w14:textId="515DDF5D" w:rsidR="00F30F30" w:rsidRPr="00F30F30" w:rsidRDefault="00F30F30" w:rsidP="00FD3143">
      <w:pPr>
        <w:pStyle w:val="Nadpis3"/>
        <w:ind w:left="0"/>
        <w:jc w:val="both"/>
        <w:rPr>
          <w:rFonts w:asciiTheme="minorHAnsi" w:hAnsiTheme="minorHAnsi" w:cstheme="minorHAnsi"/>
          <w:sz w:val="22"/>
          <w:szCs w:val="22"/>
        </w:rPr>
      </w:pPr>
      <w:r w:rsidRPr="00F30F30">
        <w:rPr>
          <w:rFonts w:asciiTheme="minorHAnsi" w:hAnsiTheme="minorHAnsi" w:cstheme="minorHAnsi"/>
          <w:sz w:val="22"/>
          <w:szCs w:val="22"/>
        </w:rPr>
        <w:t>Vývoj sazeb v roce 2025 ukazuje na celkově stabilní prostředí. Po dubnovém zvýšení na 7,64 procenta následovalo období postupného poklesu. Zářijových 6,84 procenta patřilo dokonce k nejnižším hodnotám letošního roku.</w:t>
      </w:r>
      <w:r w:rsidR="008F726D" w:rsidRPr="008F726D">
        <w:t xml:space="preserve"> </w:t>
      </w:r>
      <w:r w:rsidR="008F726D" w:rsidRPr="008F726D">
        <w:rPr>
          <w:rFonts w:asciiTheme="minorHAnsi" w:hAnsiTheme="minorHAnsi" w:cstheme="minorHAnsi"/>
          <w:sz w:val="22"/>
          <w:szCs w:val="22"/>
        </w:rPr>
        <w:t>Říjnový nárůst tak představuje spíše návrat k hodnotám z jarních měsíců.</w:t>
      </w:r>
    </w:p>
    <w:p w14:paraId="3D6678F0" w14:textId="1B3EB0BE" w:rsidR="00F30F30" w:rsidRPr="00F30F30" w:rsidRDefault="00F30F30" w:rsidP="00FD3143">
      <w:pPr>
        <w:pStyle w:val="Nadpis3"/>
        <w:ind w:left="0"/>
        <w:jc w:val="both"/>
        <w:rPr>
          <w:rFonts w:asciiTheme="minorHAnsi" w:hAnsiTheme="minorHAnsi" w:cstheme="minorHAnsi"/>
          <w:sz w:val="22"/>
          <w:szCs w:val="22"/>
        </w:rPr>
      </w:pPr>
    </w:p>
    <w:p w14:paraId="4F0F1EAC" w14:textId="68BC449A" w:rsidR="00F30F30" w:rsidRPr="00F30F30" w:rsidRDefault="00F30F30" w:rsidP="00FD3143">
      <w:pPr>
        <w:pStyle w:val="Nadpis3"/>
        <w:ind w:left="0"/>
        <w:jc w:val="both"/>
        <w:rPr>
          <w:rFonts w:asciiTheme="minorHAnsi" w:hAnsiTheme="minorHAnsi" w:cstheme="minorHAnsi"/>
          <w:b/>
          <w:sz w:val="22"/>
          <w:szCs w:val="22"/>
        </w:rPr>
      </w:pPr>
      <w:r w:rsidRPr="00F30F30">
        <w:rPr>
          <w:rFonts w:asciiTheme="minorHAnsi" w:hAnsiTheme="minorHAnsi" w:cstheme="minorHAnsi"/>
          <w:i/>
          <w:sz w:val="22"/>
          <w:szCs w:val="22"/>
        </w:rPr>
        <w:t>„Podzim je obdobím, kdy domácnosti začínají počítat s vánočními výdaji, a část klientů proto sahá po bezúčelových půjčkách na pokrytí mimořádných nákladů. Některé banky sice umožňují odklad splátek až o tři měsíce, ale i tak se klient nakonec musí vrátit k pravidelnému splácení. Právě proto doporučujeme plánovat vyšší výdaje s předstihem a raději využívat vlastní úspo</w:t>
      </w:r>
      <w:r w:rsidR="008F726D">
        <w:rPr>
          <w:rFonts w:asciiTheme="minorHAnsi" w:hAnsiTheme="minorHAnsi" w:cstheme="minorHAnsi"/>
          <w:i/>
          <w:sz w:val="22"/>
          <w:szCs w:val="22"/>
        </w:rPr>
        <w:t>ry</w:t>
      </w:r>
      <w:r w:rsidRPr="00F30F30">
        <w:rPr>
          <w:rFonts w:asciiTheme="minorHAnsi" w:hAnsiTheme="minorHAnsi" w:cstheme="minorHAnsi"/>
          <w:i/>
          <w:sz w:val="22"/>
          <w:szCs w:val="22"/>
        </w:rPr>
        <w:t>,“</w:t>
      </w:r>
      <w:r w:rsidRPr="00F30F30">
        <w:rPr>
          <w:rFonts w:asciiTheme="minorHAnsi" w:hAnsiTheme="minorHAnsi" w:cstheme="minorHAnsi"/>
          <w:sz w:val="22"/>
          <w:szCs w:val="22"/>
        </w:rPr>
        <w:t xml:space="preserve"> dodává </w:t>
      </w:r>
      <w:r w:rsidRPr="00F30F30">
        <w:rPr>
          <w:rFonts w:asciiTheme="minorHAnsi" w:hAnsiTheme="minorHAnsi" w:cstheme="minorHAnsi"/>
          <w:b/>
          <w:sz w:val="22"/>
          <w:szCs w:val="22"/>
        </w:rPr>
        <w:t xml:space="preserve">Michaela Pudilová. </w:t>
      </w:r>
    </w:p>
    <w:p w14:paraId="1CF918F2" w14:textId="77777777" w:rsidR="00F30F30" w:rsidRDefault="00F30F30" w:rsidP="00FD3143">
      <w:pPr>
        <w:pStyle w:val="Nadpis3"/>
        <w:ind w:left="0"/>
        <w:jc w:val="both"/>
        <w:rPr>
          <w:rFonts w:asciiTheme="minorHAnsi" w:hAnsiTheme="minorHAnsi" w:cstheme="minorHAnsi"/>
          <w:sz w:val="22"/>
          <w:szCs w:val="22"/>
        </w:rPr>
      </w:pPr>
    </w:p>
    <w:p w14:paraId="0CD3DEE1" w14:textId="70B5420D" w:rsidR="00B8588E" w:rsidRDefault="007F7866" w:rsidP="00FD3143">
      <w:pPr>
        <w:pStyle w:val="Nadpis3"/>
        <w:ind w:left="0"/>
        <w:jc w:val="both"/>
        <w:rPr>
          <w:rFonts w:asciiTheme="minorHAnsi" w:eastAsia="Times New Roman" w:hAnsiTheme="minorHAnsi" w:cstheme="minorHAnsi"/>
          <w:b/>
          <w:bCs/>
          <w:noProof/>
          <w:color w:val="000000"/>
          <w:sz w:val="22"/>
          <w:szCs w:val="22"/>
          <w:lang w:bidi="ar-SA"/>
        </w:rPr>
      </w:pPr>
      <w:r>
        <w:rPr>
          <w:rFonts w:asciiTheme="minorHAnsi" w:eastAsia="Times New Roman" w:hAnsiTheme="minorHAnsi" w:cstheme="minorHAnsi"/>
          <w:b/>
          <w:bCs/>
          <w:noProof/>
          <w:color w:val="000000"/>
          <w:sz w:val="22"/>
          <w:szCs w:val="22"/>
          <w:lang w:bidi="ar-SA"/>
        </w:rPr>
        <w:drawing>
          <wp:inline distT="0" distB="0" distL="0" distR="0" wp14:anchorId="74B3F1DE" wp14:editId="5A16FB5F">
            <wp:extent cx="6635750" cy="30340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25">
                      <a:extLst>
                        <a:ext uri="{28A0092B-C50C-407E-A947-70E740481C1C}">
                          <a14:useLocalDpi xmlns:a14="http://schemas.microsoft.com/office/drawing/2010/main" val="0"/>
                        </a:ext>
                      </a:extLst>
                    </a:blip>
                    <a:stretch>
                      <a:fillRect/>
                    </a:stretch>
                  </pic:blipFill>
                  <pic:spPr>
                    <a:xfrm>
                      <a:off x="0" y="0"/>
                      <a:ext cx="6635750" cy="3034030"/>
                    </a:xfrm>
                    <a:prstGeom prst="rect">
                      <a:avLst/>
                    </a:prstGeom>
                  </pic:spPr>
                </pic:pic>
              </a:graphicData>
            </a:graphic>
          </wp:inline>
        </w:drawing>
      </w:r>
    </w:p>
    <w:p w14:paraId="7CD602F3" w14:textId="393C3078" w:rsidR="008F726D" w:rsidRDefault="008F726D" w:rsidP="00FD3143">
      <w:pPr>
        <w:pStyle w:val="Nadpis3"/>
        <w:ind w:left="0"/>
        <w:jc w:val="both"/>
        <w:rPr>
          <w:rFonts w:asciiTheme="minorHAnsi" w:eastAsia="Times New Roman" w:hAnsiTheme="minorHAnsi" w:cstheme="minorHAnsi"/>
          <w:b/>
          <w:bCs/>
          <w:noProof/>
          <w:color w:val="000000"/>
          <w:sz w:val="22"/>
          <w:szCs w:val="22"/>
          <w:lang w:bidi="ar-SA"/>
        </w:rPr>
      </w:pPr>
    </w:p>
    <w:p w14:paraId="13FBE76C" w14:textId="2AA52DD4" w:rsidR="005245D8" w:rsidRPr="005245D8" w:rsidRDefault="005245D8" w:rsidP="005111D2">
      <w:pPr>
        <w:widowControl/>
        <w:autoSpaceDE/>
        <w:autoSpaceDN/>
        <w:spacing w:before="100" w:beforeAutospacing="1" w:after="100" w:afterAutospacing="1"/>
        <w:jc w:val="both"/>
        <w:rPr>
          <w:rFonts w:asciiTheme="minorHAnsi" w:eastAsia="Times New Roman" w:hAnsiTheme="minorHAnsi" w:cstheme="minorHAnsi"/>
          <w:b/>
          <w:sz w:val="24"/>
          <w:szCs w:val="24"/>
          <w:lang w:bidi="ar-SA"/>
        </w:rPr>
      </w:pPr>
      <w:r w:rsidRPr="005245D8">
        <w:rPr>
          <w:rFonts w:asciiTheme="minorHAnsi" w:hAnsiTheme="minorHAnsi" w:cstheme="minorHAnsi"/>
          <w:b/>
          <w:sz w:val="24"/>
          <w:szCs w:val="24"/>
        </w:rPr>
        <w:t>Když splátka nepřijde včas: co hrozí a jak předejít problémům</w:t>
      </w:r>
    </w:p>
    <w:p w14:paraId="26EA6FBF" w14:textId="3FE37492" w:rsidR="008F726D" w:rsidRPr="008F726D" w:rsidRDefault="008F726D" w:rsidP="005111D2">
      <w:pPr>
        <w:widowControl/>
        <w:autoSpaceDE/>
        <w:autoSpaceDN/>
        <w:spacing w:before="100" w:beforeAutospacing="1" w:after="100" w:afterAutospacing="1"/>
        <w:jc w:val="both"/>
        <w:rPr>
          <w:rFonts w:asciiTheme="minorHAnsi" w:eastAsia="Times New Roman" w:hAnsiTheme="minorHAnsi" w:cstheme="minorHAnsi"/>
          <w:lang w:bidi="ar-SA"/>
        </w:rPr>
      </w:pPr>
      <w:r w:rsidRPr="008F726D">
        <w:rPr>
          <w:rFonts w:asciiTheme="minorHAnsi" w:eastAsia="Times New Roman" w:hAnsiTheme="minorHAnsi" w:cstheme="minorHAnsi"/>
          <w:lang w:bidi="ar-SA"/>
        </w:rPr>
        <w:t>Některé domácnosti se mohou dostat do situace, kdy splátku nezvládnou uhradit včas. Záleží však na tom, zda jde o výjimečné pochybení, nebo o opakovaný problém.</w:t>
      </w:r>
    </w:p>
    <w:p w14:paraId="0ACDB5E7" w14:textId="2909F289" w:rsidR="008F726D" w:rsidRPr="008F726D" w:rsidRDefault="008F726D" w:rsidP="005111D2">
      <w:pPr>
        <w:widowControl/>
        <w:autoSpaceDE/>
        <w:autoSpaceDN/>
        <w:spacing w:before="100" w:beforeAutospacing="1" w:after="100" w:afterAutospacing="1"/>
        <w:jc w:val="both"/>
        <w:rPr>
          <w:rFonts w:asciiTheme="minorHAnsi" w:eastAsia="Times New Roman" w:hAnsiTheme="minorHAnsi" w:cstheme="minorHAnsi"/>
          <w:b/>
          <w:lang w:bidi="ar-SA"/>
        </w:rPr>
      </w:pPr>
      <w:r w:rsidRPr="008F726D">
        <w:rPr>
          <w:rFonts w:asciiTheme="minorHAnsi" w:eastAsia="Times New Roman" w:hAnsiTheme="minorHAnsi" w:cstheme="minorHAnsi"/>
          <w:i/>
          <w:lang w:bidi="ar-SA"/>
        </w:rPr>
        <w:t>„Pokud se klient opozdí jen výjimečně a o několik dní, banky většinou neuplatňují žádné postihy. Problém nastává ve chvíli, kdy je prodle</w:t>
      </w:r>
      <w:r w:rsidR="00A3771E">
        <w:rPr>
          <w:rFonts w:asciiTheme="minorHAnsi" w:eastAsia="Times New Roman" w:hAnsiTheme="minorHAnsi" w:cstheme="minorHAnsi"/>
          <w:i/>
          <w:lang w:bidi="ar-SA"/>
        </w:rPr>
        <w:t>ní časté nebo trvá delší dobu. T</w:t>
      </w:r>
      <w:r w:rsidRPr="008F726D">
        <w:rPr>
          <w:rFonts w:asciiTheme="minorHAnsi" w:eastAsia="Times New Roman" w:hAnsiTheme="minorHAnsi" w:cstheme="minorHAnsi"/>
          <w:i/>
          <w:lang w:bidi="ar-SA"/>
        </w:rPr>
        <w:t>ehdy může poskytovatel účtovat smluvní pokutu za porušení podmínek a klient navíc platí úroky z částky v prodlení,“</w:t>
      </w:r>
      <w:r w:rsidRPr="008F726D">
        <w:rPr>
          <w:rFonts w:asciiTheme="minorHAnsi" w:eastAsia="Times New Roman" w:hAnsiTheme="minorHAnsi" w:cstheme="minorHAnsi"/>
          <w:lang w:bidi="ar-SA"/>
        </w:rPr>
        <w:t xml:space="preserve"> popisuje </w:t>
      </w:r>
      <w:r w:rsidRPr="008F726D">
        <w:rPr>
          <w:rFonts w:asciiTheme="minorHAnsi" w:eastAsia="Times New Roman" w:hAnsiTheme="minorHAnsi" w:cstheme="minorHAnsi"/>
          <w:b/>
          <w:lang w:bidi="ar-SA"/>
        </w:rPr>
        <w:t>Michaela Pudilová, analytička spotřebitelských a hypotečních úvěrů Broker Consulting.</w:t>
      </w:r>
    </w:p>
    <w:p w14:paraId="10C80549" w14:textId="6C8859AA" w:rsidR="008F726D" w:rsidRPr="005111D2" w:rsidRDefault="005111D2" w:rsidP="005111D2">
      <w:pPr>
        <w:widowControl/>
        <w:autoSpaceDE/>
        <w:autoSpaceDN/>
        <w:spacing w:before="100" w:beforeAutospacing="1" w:after="100" w:afterAutospacing="1"/>
        <w:jc w:val="both"/>
        <w:rPr>
          <w:rFonts w:asciiTheme="minorHAnsi" w:hAnsiTheme="minorHAnsi" w:cstheme="minorHAnsi"/>
        </w:rPr>
      </w:pPr>
      <w:r w:rsidRPr="005111D2">
        <w:rPr>
          <w:rFonts w:asciiTheme="minorHAnsi" w:hAnsiTheme="minorHAnsi" w:cstheme="minorHAnsi"/>
        </w:rPr>
        <w:lastRenderedPageBreak/>
        <w:t xml:space="preserve">Nejzávažnějším dopadem je zápis do externích registrů. </w:t>
      </w:r>
      <w:r w:rsidRPr="005111D2">
        <w:rPr>
          <w:rFonts w:asciiTheme="minorHAnsi" w:hAnsiTheme="minorHAnsi" w:cstheme="minorHAnsi"/>
          <w:i/>
        </w:rPr>
        <w:t>„Negativní informace v registru může zůstat i několik let a komplikuje přístup k dalším produktům. Poskytovatelé se na registr dívají jako na záznam o platební morálce klienta,“</w:t>
      </w:r>
      <w:r w:rsidRPr="005111D2">
        <w:rPr>
          <w:rFonts w:asciiTheme="minorHAnsi" w:hAnsiTheme="minorHAnsi" w:cstheme="minorHAnsi"/>
        </w:rPr>
        <w:t xml:space="preserve"> doplňuje </w:t>
      </w:r>
      <w:r w:rsidRPr="005111D2">
        <w:rPr>
          <w:rFonts w:asciiTheme="minorHAnsi" w:hAnsiTheme="minorHAnsi" w:cstheme="minorHAnsi"/>
          <w:b/>
        </w:rPr>
        <w:t>Michaela Pudilová.</w:t>
      </w:r>
    </w:p>
    <w:p w14:paraId="0E73B4BC" w14:textId="7BE9B7DA" w:rsidR="008F726D" w:rsidRPr="00A3771E" w:rsidRDefault="005111D2" w:rsidP="00A3771E">
      <w:pPr>
        <w:widowControl/>
        <w:autoSpaceDE/>
        <w:autoSpaceDN/>
        <w:spacing w:before="100" w:beforeAutospacing="1" w:after="100" w:afterAutospacing="1"/>
        <w:jc w:val="both"/>
        <w:rPr>
          <w:rFonts w:asciiTheme="minorHAnsi" w:eastAsia="Times New Roman" w:hAnsiTheme="minorHAnsi" w:cstheme="minorHAnsi"/>
          <w:lang w:bidi="ar-SA"/>
        </w:rPr>
      </w:pPr>
      <w:r w:rsidRPr="005111D2">
        <w:rPr>
          <w:rFonts w:asciiTheme="minorHAnsi" w:hAnsiTheme="minorHAnsi" w:cstheme="minorHAnsi"/>
        </w:rPr>
        <w:t>Aby klient předešel sankcím i zápisu do registrů, je zásadní hlídat termíny splátek a reagovat včas. Pokud se objeví potíž, je vždy lepší okamžitě kontaktovat poskytov</w:t>
      </w:r>
      <w:r>
        <w:rPr>
          <w:rFonts w:asciiTheme="minorHAnsi" w:hAnsiTheme="minorHAnsi" w:cstheme="minorHAnsi"/>
        </w:rPr>
        <w:t>atele a hledat společné řešení,</w:t>
      </w:r>
      <w:r w:rsidRPr="005111D2">
        <w:rPr>
          <w:rFonts w:asciiTheme="minorHAnsi" w:hAnsiTheme="minorHAnsi" w:cstheme="minorHAnsi"/>
        </w:rPr>
        <w:t xml:space="preserve"> například dočasnou úpravu splátkového kalendáře. Vyplatí se také poradit s odborníkem, který pomůže vyhodnotit situaci a doporučí vhodný postup. Důležité je nenechat problém narůstat. Včasná komunikace a aktivní přístup dokážou zabránit zbytečným n</w:t>
      </w:r>
      <w:r w:rsidR="00A3771E">
        <w:rPr>
          <w:rFonts w:asciiTheme="minorHAnsi" w:hAnsiTheme="minorHAnsi" w:cstheme="minorHAnsi"/>
        </w:rPr>
        <w:t>ákladům i dlouhodobým následkům.</w:t>
      </w:r>
    </w:p>
    <w:p w14:paraId="1A445B54" w14:textId="4B706F05" w:rsidR="008F726D" w:rsidRDefault="008F726D" w:rsidP="00DF7709">
      <w:pPr>
        <w:pBdr>
          <w:bottom w:val="single" w:sz="4" w:space="1" w:color="auto"/>
        </w:pBdr>
        <w:jc w:val="both"/>
        <w:rPr>
          <w:rFonts w:asciiTheme="minorHAnsi" w:hAnsiTheme="minorHAnsi" w:cstheme="minorHAnsi"/>
          <w:bCs/>
          <w:sz w:val="2"/>
          <w:szCs w:val="2"/>
        </w:rPr>
      </w:pPr>
    </w:p>
    <w:p w14:paraId="335FF3ED" w14:textId="031D8E2A" w:rsidR="008F726D" w:rsidRDefault="008F726D" w:rsidP="00DF7709">
      <w:pPr>
        <w:pBdr>
          <w:bottom w:val="single" w:sz="4" w:space="1" w:color="auto"/>
        </w:pBdr>
        <w:jc w:val="both"/>
        <w:rPr>
          <w:rFonts w:asciiTheme="minorHAnsi" w:hAnsiTheme="minorHAnsi" w:cstheme="minorHAnsi"/>
          <w:bCs/>
          <w:sz w:val="2"/>
          <w:szCs w:val="2"/>
        </w:rPr>
      </w:pPr>
    </w:p>
    <w:p w14:paraId="1FE3842D" w14:textId="76527E8D" w:rsidR="008F726D" w:rsidRDefault="008F726D" w:rsidP="00DF7709">
      <w:pPr>
        <w:pBdr>
          <w:bottom w:val="single" w:sz="4" w:space="1" w:color="auto"/>
        </w:pBdr>
        <w:jc w:val="both"/>
        <w:rPr>
          <w:rFonts w:asciiTheme="minorHAnsi" w:hAnsiTheme="minorHAnsi" w:cstheme="minorHAnsi"/>
          <w:bCs/>
          <w:sz w:val="2"/>
          <w:szCs w:val="2"/>
        </w:rPr>
      </w:pPr>
    </w:p>
    <w:p w14:paraId="55CDCDA6" w14:textId="53573ED5" w:rsidR="008F726D" w:rsidRDefault="008F726D" w:rsidP="00DF7709">
      <w:pPr>
        <w:pBdr>
          <w:bottom w:val="single" w:sz="4" w:space="1" w:color="auto"/>
        </w:pBdr>
        <w:jc w:val="both"/>
        <w:rPr>
          <w:rFonts w:asciiTheme="minorHAnsi" w:hAnsiTheme="minorHAnsi" w:cstheme="minorHAnsi"/>
          <w:bCs/>
          <w:sz w:val="2"/>
          <w:szCs w:val="2"/>
        </w:rPr>
      </w:pPr>
    </w:p>
    <w:p w14:paraId="55124FF0" w14:textId="77777777" w:rsidR="008F726D" w:rsidRPr="00EF6D8C" w:rsidRDefault="008F726D" w:rsidP="00DF7709">
      <w:pPr>
        <w:pBdr>
          <w:bottom w:val="single" w:sz="4" w:space="1" w:color="auto"/>
        </w:pBdr>
        <w:jc w:val="both"/>
        <w:rPr>
          <w:rFonts w:asciiTheme="minorHAnsi" w:hAnsiTheme="minorHAnsi" w:cstheme="minorHAnsi"/>
          <w:bCs/>
          <w:sz w:val="2"/>
          <w:szCs w:val="2"/>
        </w:rPr>
      </w:pPr>
    </w:p>
    <w:p w14:paraId="4CF17F9A" w14:textId="158230B1"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00C67476">
        <w:rPr>
          <w:rFonts w:asciiTheme="minorHAnsi" w:hAnsiTheme="minorHAnsi" w:cstheme="minorHAnsi"/>
          <w:sz w:val="21"/>
          <w:szCs w:val="21"/>
        </w:rPr>
        <w:t xml:space="preserve"> u poskytovatelů</w:t>
      </w:r>
      <w:r w:rsidRPr="00EF6D8C">
        <w:rPr>
          <w:rFonts w:asciiTheme="minorHAnsi" w:hAnsiTheme="minorHAnsi" w:cstheme="minorHAnsi"/>
          <w:sz w:val="21"/>
          <w:szCs w:val="21"/>
        </w:rPr>
        <w:t xml:space="preserve"> bankovních </w:t>
      </w:r>
      <w:r w:rsidR="00C67476">
        <w:rPr>
          <w:rFonts w:asciiTheme="minorHAnsi" w:hAnsiTheme="minorHAnsi" w:cstheme="minorHAnsi"/>
          <w:sz w:val="21"/>
          <w:szCs w:val="21"/>
        </w:rPr>
        <w:t xml:space="preserve">a nebankovních </w:t>
      </w:r>
      <w:r w:rsidRPr="00EF6D8C">
        <w:rPr>
          <w:rFonts w:asciiTheme="minorHAnsi" w:hAnsiTheme="minorHAnsi" w:cstheme="minorHAnsi"/>
          <w:sz w:val="21"/>
          <w:szCs w:val="21"/>
        </w:rPr>
        <w:t>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3E92A1D6"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11710" w14:textId="77777777" w:rsidR="009933F2" w:rsidRDefault="009933F2">
      <w:r>
        <w:separator/>
      </w:r>
    </w:p>
  </w:endnote>
  <w:endnote w:type="continuationSeparator" w:id="0">
    <w:p w14:paraId="59EDE33A" w14:textId="77777777" w:rsidR="009933F2" w:rsidRDefault="00993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9933F2"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764E1A"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9933F2"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764E1A"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9933F2"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764E1A"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E63EC" w14:textId="77777777" w:rsidR="009933F2" w:rsidRDefault="009933F2">
      <w:r>
        <w:separator/>
      </w:r>
    </w:p>
  </w:footnote>
  <w:footnote w:type="continuationSeparator" w:id="0">
    <w:p w14:paraId="2C6B9BAE" w14:textId="77777777" w:rsidR="009933F2" w:rsidRDefault="00993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17DD4"/>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3BCF"/>
    <w:rsid w:val="0004510B"/>
    <w:rsid w:val="00045B39"/>
    <w:rsid w:val="0005252A"/>
    <w:rsid w:val="0005423A"/>
    <w:rsid w:val="00057018"/>
    <w:rsid w:val="0005726B"/>
    <w:rsid w:val="00057DE7"/>
    <w:rsid w:val="000611E3"/>
    <w:rsid w:val="000618FE"/>
    <w:rsid w:val="00061ABB"/>
    <w:rsid w:val="00062CC5"/>
    <w:rsid w:val="00070317"/>
    <w:rsid w:val="00070675"/>
    <w:rsid w:val="00070BFE"/>
    <w:rsid w:val="000766E7"/>
    <w:rsid w:val="00076D0E"/>
    <w:rsid w:val="0007763B"/>
    <w:rsid w:val="00080552"/>
    <w:rsid w:val="00080ADE"/>
    <w:rsid w:val="00081616"/>
    <w:rsid w:val="00082FDB"/>
    <w:rsid w:val="000853D4"/>
    <w:rsid w:val="000865AA"/>
    <w:rsid w:val="00087263"/>
    <w:rsid w:val="00091F9C"/>
    <w:rsid w:val="0009776B"/>
    <w:rsid w:val="000A17EE"/>
    <w:rsid w:val="000A377B"/>
    <w:rsid w:val="000A5467"/>
    <w:rsid w:val="000A6063"/>
    <w:rsid w:val="000B0D84"/>
    <w:rsid w:val="000B2E5D"/>
    <w:rsid w:val="000B2F39"/>
    <w:rsid w:val="000B50B5"/>
    <w:rsid w:val="000B5339"/>
    <w:rsid w:val="000B54E5"/>
    <w:rsid w:val="000C0090"/>
    <w:rsid w:val="000C07FE"/>
    <w:rsid w:val="000C0C52"/>
    <w:rsid w:val="000C1853"/>
    <w:rsid w:val="000C4394"/>
    <w:rsid w:val="000C4C77"/>
    <w:rsid w:val="000C50AA"/>
    <w:rsid w:val="000D145E"/>
    <w:rsid w:val="000D14E2"/>
    <w:rsid w:val="000D5F5D"/>
    <w:rsid w:val="000D68AC"/>
    <w:rsid w:val="000D7A4D"/>
    <w:rsid w:val="000E0EEC"/>
    <w:rsid w:val="000E168E"/>
    <w:rsid w:val="000E3D86"/>
    <w:rsid w:val="000E41B8"/>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597"/>
    <w:rsid w:val="00166220"/>
    <w:rsid w:val="001675AF"/>
    <w:rsid w:val="00170556"/>
    <w:rsid w:val="00170D87"/>
    <w:rsid w:val="00170E0F"/>
    <w:rsid w:val="00173F5C"/>
    <w:rsid w:val="00174009"/>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770"/>
    <w:rsid w:val="001B08C7"/>
    <w:rsid w:val="001B296D"/>
    <w:rsid w:val="001B29C7"/>
    <w:rsid w:val="001B3C85"/>
    <w:rsid w:val="001B501B"/>
    <w:rsid w:val="001B6A93"/>
    <w:rsid w:val="001B745F"/>
    <w:rsid w:val="001C443D"/>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36D"/>
    <w:rsid w:val="002227D9"/>
    <w:rsid w:val="002238E8"/>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165"/>
    <w:rsid w:val="00244AC3"/>
    <w:rsid w:val="0024551C"/>
    <w:rsid w:val="002473B6"/>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3F19"/>
    <w:rsid w:val="002A6FA3"/>
    <w:rsid w:val="002A7325"/>
    <w:rsid w:val="002B0728"/>
    <w:rsid w:val="002B1317"/>
    <w:rsid w:val="002B47AF"/>
    <w:rsid w:val="002B7DA9"/>
    <w:rsid w:val="002B7F6D"/>
    <w:rsid w:val="002C00F6"/>
    <w:rsid w:val="002C0240"/>
    <w:rsid w:val="002C4A25"/>
    <w:rsid w:val="002C4B92"/>
    <w:rsid w:val="002C4BCE"/>
    <w:rsid w:val="002C7224"/>
    <w:rsid w:val="002D1619"/>
    <w:rsid w:val="002D20B9"/>
    <w:rsid w:val="002D6D20"/>
    <w:rsid w:val="002E1ABC"/>
    <w:rsid w:val="002E3DC6"/>
    <w:rsid w:val="002E566E"/>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15D5"/>
    <w:rsid w:val="003B3F0C"/>
    <w:rsid w:val="003B4BD8"/>
    <w:rsid w:val="003C0CBE"/>
    <w:rsid w:val="003C2A23"/>
    <w:rsid w:val="003C4A8F"/>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412"/>
    <w:rsid w:val="004B7436"/>
    <w:rsid w:val="004C222D"/>
    <w:rsid w:val="004C3DD1"/>
    <w:rsid w:val="004C3F71"/>
    <w:rsid w:val="004D5196"/>
    <w:rsid w:val="004D5CC6"/>
    <w:rsid w:val="004D6DB4"/>
    <w:rsid w:val="004D71E7"/>
    <w:rsid w:val="004E09B8"/>
    <w:rsid w:val="004E1737"/>
    <w:rsid w:val="004E2072"/>
    <w:rsid w:val="004F303D"/>
    <w:rsid w:val="004F38CD"/>
    <w:rsid w:val="004F5D36"/>
    <w:rsid w:val="004F6195"/>
    <w:rsid w:val="004F692B"/>
    <w:rsid w:val="00504EBB"/>
    <w:rsid w:val="0050659B"/>
    <w:rsid w:val="00507472"/>
    <w:rsid w:val="005111D2"/>
    <w:rsid w:val="005130A9"/>
    <w:rsid w:val="005141D4"/>
    <w:rsid w:val="00514932"/>
    <w:rsid w:val="005153F7"/>
    <w:rsid w:val="00515952"/>
    <w:rsid w:val="005220A8"/>
    <w:rsid w:val="005224C1"/>
    <w:rsid w:val="005231DA"/>
    <w:rsid w:val="005245D8"/>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478C7"/>
    <w:rsid w:val="00550147"/>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A78BC"/>
    <w:rsid w:val="005B3143"/>
    <w:rsid w:val="005B31D7"/>
    <w:rsid w:val="005B460E"/>
    <w:rsid w:val="005C0BC2"/>
    <w:rsid w:val="005C150C"/>
    <w:rsid w:val="005C318A"/>
    <w:rsid w:val="005D3285"/>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50BE"/>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2F40"/>
    <w:rsid w:val="00664259"/>
    <w:rsid w:val="00664867"/>
    <w:rsid w:val="00667012"/>
    <w:rsid w:val="00675867"/>
    <w:rsid w:val="006768F0"/>
    <w:rsid w:val="00677078"/>
    <w:rsid w:val="00681F49"/>
    <w:rsid w:val="00682A4A"/>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D76E0"/>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4267"/>
    <w:rsid w:val="00725BF5"/>
    <w:rsid w:val="00727B95"/>
    <w:rsid w:val="007320FB"/>
    <w:rsid w:val="007362E3"/>
    <w:rsid w:val="007408D1"/>
    <w:rsid w:val="00740A6C"/>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4E1A"/>
    <w:rsid w:val="0076665A"/>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90D"/>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11E7"/>
    <w:rsid w:val="007E1493"/>
    <w:rsid w:val="007E3027"/>
    <w:rsid w:val="007E38CD"/>
    <w:rsid w:val="007E5614"/>
    <w:rsid w:val="007E6E9A"/>
    <w:rsid w:val="007E768B"/>
    <w:rsid w:val="007F04C6"/>
    <w:rsid w:val="007F13CC"/>
    <w:rsid w:val="007F2512"/>
    <w:rsid w:val="007F2DE8"/>
    <w:rsid w:val="007F3E94"/>
    <w:rsid w:val="007F4493"/>
    <w:rsid w:val="007F4C72"/>
    <w:rsid w:val="007F5903"/>
    <w:rsid w:val="007F5D6E"/>
    <w:rsid w:val="007F64D9"/>
    <w:rsid w:val="007F71F9"/>
    <w:rsid w:val="007F7866"/>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47E9E"/>
    <w:rsid w:val="00850AB7"/>
    <w:rsid w:val="00852192"/>
    <w:rsid w:val="00852BBB"/>
    <w:rsid w:val="00856806"/>
    <w:rsid w:val="00856D3C"/>
    <w:rsid w:val="00857BC8"/>
    <w:rsid w:val="00860609"/>
    <w:rsid w:val="00863360"/>
    <w:rsid w:val="00863FC3"/>
    <w:rsid w:val="0087199F"/>
    <w:rsid w:val="00871CBD"/>
    <w:rsid w:val="00873732"/>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21A1"/>
    <w:rsid w:val="008D33FC"/>
    <w:rsid w:val="008E1286"/>
    <w:rsid w:val="008E19F3"/>
    <w:rsid w:val="008E1F4A"/>
    <w:rsid w:val="008E694A"/>
    <w:rsid w:val="008E79E2"/>
    <w:rsid w:val="008F08A1"/>
    <w:rsid w:val="008F0C4A"/>
    <w:rsid w:val="008F1824"/>
    <w:rsid w:val="008F2AEC"/>
    <w:rsid w:val="008F36CB"/>
    <w:rsid w:val="008F3C6D"/>
    <w:rsid w:val="008F6AAF"/>
    <w:rsid w:val="008F726D"/>
    <w:rsid w:val="00901DB4"/>
    <w:rsid w:val="00901E1F"/>
    <w:rsid w:val="0090292E"/>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78D"/>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6EE4"/>
    <w:rsid w:val="009771E2"/>
    <w:rsid w:val="009771E6"/>
    <w:rsid w:val="00977540"/>
    <w:rsid w:val="009834E2"/>
    <w:rsid w:val="00983BFD"/>
    <w:rsid w:val="00985DC8"/>
    <w:rsid w:val="009917AF"/>
    <w:rsid w:val="009933F2"/>
    <w:rsid w:val="009A0029"/>
    <w:rsid w:val="009A4FC0"/>
    <w:rsid w:val="009A52BA"/>
    <w:rsid w:val="009A63A0"/>
    <w:rsid w:val="009A69B1"/>
    <w:rsid w:val="009A700C"/>
    <w:rsid w:val="009B1D25"/>
    <w:rsid w:val="009C08AE"/>
    <w:rsid w:val="009C0ECA"/>
    <w:rsid w:val="009C16D4"/>
    <w:rsid w:val="009C45BA"/>
    <w:rsid w:val="009C58F0"/>
    <w:rsid w:val="009C7948"/>
    <w:rsid w:val="009C79BD"/>
    <w:rsid w:val="009D01A2"/>
    <w:rsid w:val="009D1D17"/>
    <w:rsid w:val="009D2197"/>
    <w:rsid w:val="009D24BB"/>
    <w:rsid w:val="009D44DD"/>
    <w:rsid w:val="009D64B2"/>
    <w:rsid w:val="009D729E"/>
    <w:rsid w:val="009D7493"/>
    <w:rsid w:val="009E233F"/>
    <w:rsid w:val="009E24B0"/>
    <w:rsid w:val="009E2575"/>
    <w:rsid w:val="009E317D"/>
    <w:rsid w:val="009E31C0"/>
    <w:rsid w:val="009E3B52"/>
    <w:rsid w:val="009E5992"/>
    <w:rsid w:val="009F21DD"/>
    <w:rsid w:val="009F2CB2"/>
    <w:rsid w:val="009F342D"/>
    <w:rsid w:val="009F3DA2"/>
    <w:rsid w:val="009F59EE"/>
    <w:rsid w:val="009F6CFC"/>
    <w:rsid w:val="00A008B8"/>
    <w:rsid w:val="00A00D89"/>
    <w:rsid w:val="00A04BAE"/>
    <w:rsid w:val="00A04EC0"/>
    <w:rsid w:val="00A05887"/>
    <w:rsid w:val="00A069E2"/>
    <w:rsid w:val="00A0713C"/>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71E"/>
    <w:rsid w:val="00A3783E"/>
    <w:rsid w:val="00A41EA4"/>
    <w:rsid w:val="00A43785"/>
    <w:rsid w:val="00A43AC5"/>
    <w:rsid w:val="00A44FE0"/>
    <w:rsid w:val="00A4618A"/>
    <w:rsid w:val="00A500F9"/>
    <w:rsid w:val="00A50D03"/>
    <w:rsid w:val="00A52128"/>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1F0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1601"/>
    <w:rsid w:val="00B0200B"/>
    <w:rsid w:val="00B03105"/>
    <w:rsid w:val="00B03461"/>
    <w:rsid w:val="00B0766F"/>
    <w:rsid w:val="00B07D78"/>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6CF"/>
    <w:rsid w:val="00B67AF0"/>
    <w:rsid w:val="00B7067C"/>
    <w:rsid w:val="00B72C6B"/>
    <w:rsid w:val="00B72E16"/>
    <w:rsid w:val="00B73012"/>
    <w:rsid w:val="00B73E39"/>
    <w:rsid w:val="00B83D7B"/>
    <w:rsid w:val="00B85620"/>
    <w:rsid w:val="00B8588E"/>
    <w:rsid w:val="00B91131"/>
    <w:rsid w:val="00B94E88"/>
    <w:rsid w:val="00B95BB2"/>
    <w:rsid w:val="00B95EBA"/>
    <w:rsid w:val="00B97151"/>
    <w:rsid w:val="00BA037E"/>
    <w:rsid w:val="00BA04AB"/>
    <w:rsid w:val="00BA23D8"/>
    <w:rsid w:val="00BA35C9"/>
    <w:rsid w:val="00BA3EE0"/>
    <w:rsid w:val="00BA43E2"/>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04CD1"/>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67476"/>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7209"/>
    <w:rsid w:val="00CC721B"/>
    <w:rsid w:val="00CD18B3"/>
    <w:rsid w:val="00CD2C10"/>
    <w:rsid w:val="00CD3324"/>
    <w:rsid w:val="00CD5FBC"/>
    <w:rsid w:val="00CD6162"/>
    <w:rsid w:val="00CE3B40"/>
    <w:rsid w:val="00CE4309"/>
    <w:rsid w:val="00CE5DBB"/>
    <w:rsid w:val="00CE6C6E"/>
    <w:rsid w:val="00CE7F66"/>
    <w:rsid w:val="00CF42B9"/>
    <w:rsid w:val="00CF580B"/>
    <w:rsid w:val="00CF7819"/>
    <w:rsid w:val="00D01832"/>
    <w:rsid w:val="00D033AD"/>
    <w:rsid w:val="00D04527"/>
    <w:rsid w:val="00D201A6"/>
    <w:rsid w:val="00D21C96"/>
    <w:rsid w:val="00D30854"/>
    <w:rsid w:val="00D31127"/>
    <w:rsid w:val="00D33134"/>
    <w:rsid w:val="00D366B5"/>
    <w:rsid w:val="00D4052C"/>
    <w:rsid w:val="00D43328"/>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4D96"/>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5EC0"/>
    <w:rsid w:val="00DD68B5"/>
    <w:rsid w:val="00DD7FC1"/>
    <w:rsid w:val="00DE62D6"/>
    <w:rsid w:val="00DE7740"/>
    <w:rsid w:val="00DF0000"/>
    <w:rsid w:val="00DF020C"/>
    <w:rsid w:val="00DF05CC"/>
    <w:rsid w:val="00DF1624"/>
    <w:rsid w:val="00DF16F7"/>
    <w:rsid w:val="00DF4BD2"/>
    <w:rsid w:val="00DF5A2C"/>
    <w:rsid w:val="00DF7709"/>
    <w:rsid w:val="00DF7D1B"/>
    <w:rsid w:val="00E003F9"/>
    <w:rsid w:val="00E00DC6"/>
    <w:rsid w:val="00E01A0A"/>
    <w:rsid w:val="00E02B4A"/>
    <w:rsid w:val="00E058A3"/>
    <w:rsid w:val="00E06422"/>
    <w:rsid w:val="00E07A88"/>
    <w:rsid w:val="00E11439"/>
    <w:rsid w:val="00E140B8"/>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6A60"/>
    <w:rsid w:val="00E57F9B"/>
    <w:rsid w:val="00E65A9A"/>
    <w:rsid w:val="00E6726D"/>
    <w:rsid w:val="00E74240"/>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64CD"/>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434"/>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0F30"/>
    <w:rsid w:val="00F311EB"/>
    <w:rsid w:val="00F31B7E"/>
    <w:rsid w:val="00F336A2"/>
    <w:rsid w:val="00F33826"/>
    <w:rsid w:val="00F33D58"/>
    <w:rsid w:val="00F34E7C"/>
    <w:rsid w:val="00F350A2"/>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5F8D"/>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36E8"/>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6F1F"/>
    <w:rsid w:val="00FC7D97"/>
    <w:rsid w:val="00FC7DA9"/>
    <w:rsid w:val="00FD3143"/>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64516345">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279454220">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00669686">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784617379">
      <w:bodyDiv w:val="1"/>
      <w:marLeft w:val="0"/>
      <w:marRight w:val="0"/>
      <w:marTop w:val="0"/>
      <w:marBottom w:val="0"/>
      <w:divBdr>
        <w:top w:val="none" w:sz="0" w:space="0" w:color="auto"/>
        <w:left w:val="none" w:sz="0" w:space="0" w:color="auto"/>
        <w:bottom w:val="none" w:sz="0" w:space="0" w:color="auto"/>
        <w:right w:val="none" w:sz="0" w:space="0" w:color="auto"/>
      </w:divBdr>
    </w:div>
    <w:div w:id="803158861">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10893456">
      <w:bodyDiv w:val="1"/>
      <w:marLeft w:val="0"/>
      <w:marRight w:val="0"/>
      <w:marTop w:val="0"/>
      <w:marBottom w:val="0"/>
      <w:divBdr>
        <w:top w:val="none" w:sz="0" w:space="0" w:color="auto"/>
        <w:left w:val="none" w:sz="0" w:space="0" w:color="auto"/>
        <w:bottom w:val="none" w:sz="0" w:space="0" w:color="auto"/>
        <w:right w:val="none" w:sz="0" w:space="0" w:color="auto"/>
      </w:divBdr>
    </w:div>
    <w:div w:id="950550362">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51290614">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199665655">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34126515">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665860585">
      <w:bodyDiv w:val="1"/>
      <w:marLeft w:val="0"/>
      <w:marRight w:val="0"/>
      <w:marTop w:val="0"/>
      <w:marBottom w:val="0"/>
      <w:divBdr>
        <w:top w:val="none" w:sz="0" w:space="0" w:color="auto"/>
        <w:left w:val="none" w:sz="0" w:space="0" w:color="auto"/>
        <w:bottom w:val="none" w:sz="0" w:space="0" w:color="auto"/>
        <w:right w:val="none" w:sz="0" w:space="0" w:color="auto"/>
      </w:divBdr>
    </w:div>
    <w:div w:id="1803692389">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3867307">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 w:id="2140146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33183-A0DB-414D-BE3B-9935423F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1039</Words>
  <Characters>6136</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5</cp:revision>
  <dcterms:created xsi:type="dcterms:W3CDTF">2025-11-20T17:01:00Z</dcterms:created>
  <dcterms:modified xsi:type="dcterms:W3CDTF">2025-11-21T11:05:00Z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