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A2802" w14:textId="77777777" w:rsidR="00211818" w:rsidRDefault="00000000">
      <w:pPr>
        <w:jc w:val="both"/>
        <w:rPr>
          <w:i/>
          <w:iCs/>
          <w:sz w:val="24"/>
          <w:szCs w:val="24"/>
        </w:rPr>
      </w:pPr>
      <w:r>
        <w:rPr>
          <w:i/>
          <w:iCs/>
          <w:sz w:val="24"/>
          <w:szCs w:val="24"/>
        </w:rPr>
        <w:t>Tisková zpráva</w:t>
      </w:r>
    </w:p>
    <w:p w14:paraId="18FD98C4" w14:textId="4766E3A6" w:rsidR="00211818" w:rsidRDefault="00000000">
      <w:pPr>
        <w:pStyle w:val="Nzev"/>
      </w:pPr>
      <w:r>
        <w:t>Sazby spotřebitelských úvěrů v červenci p</w:t>
      </w:r>
      <w:r w:rsidR="00D37DFD">
        <w:t>řekonaly</w:t>
      </w:r>
      <w:r>
        <w:t xml:space="preserve"> 8 %. Ukazatelů, podle </w:t>
      </w:r>
      <w:r w:rsidR="00D37DFD">
        <w:t>nichž</w:t>
      </w:r>
      <w:r>
        <w:t xml:space="preserve"> je dobré se řídit, je ale mnohem víc</w:t>
      </w:r>
      <w:r w:rsidR="00D37DFD">
        <w:t>e</w:t>
      </w:r>
    </w:p>
    <w:p w14:paraId="53DA47FB" w14:textId="77777777" w:rsidR="00211818" w:rsidRDefault="00211818">
      <w:pPr>
        <w:jc w:val="both"/>
        <w:rPr>
          <w:i/>
          <w:iCs/>
          <w:sz w:val="24"/>
          <w:szCs w:val="24"/>
        </w:rPr>
      </w:pPr>
    </w:p>
    <w:p w14:paraId="78084B89" w14:textId="22C69A55" w:rsidR="00211818" w:rsidRDefault="00376A27">
      <w:pPr>
        <w:jc w:val="both"/>
        <w:rPr>
          <w:b/>
          <w:bCs/>
          <w:sz w:val="20"/>
          <w:szCs w:val="20"/>
        </w:rPr>
      </w:pPr>
      <w:r>
        <w:rPr>
          <w:b/>
          <w:bCs/>
          <w:sz w:val="20"/>
          <w:szCs w:val="20"/>
        </w:rPr>
        <w:t>Praha, 1</w:t>
      </w:r>
      <w:r w:rsidR="00E83B4C">
        <w:rPr>
          <w:b/>
          <w:bCs/>
          <w:sz w:val="20"/>
          <w:szCs w:val="20"/>
        </w:rPr>
        <w:t>3</w:t>
      </w:r>
      <w:r>
        <w:rPr>
          <w:b/>
          <w:bCs/>
          <w:sz w:val="20"/>
          <w:szCs w:val="20"/>
        </w:rPr>
        <w:t xml:space="preserve">. srpna </w:t>
      </w:r>
      <w:proofErr w:type="gramStart"/>
      <w:r>
        <w:rPr>
          <w:b/>
          <w:bCs/>
          <w:sz w:val="20"/>
          <w:szCs w:val="20"/>
        </w:rPr>
        <w:t xml:space="preserve">-  </w:t>
      </w:r>
      <w:r w:rsidR="00000000">
        <w:rPr>
          <w:b/>
          <w:bCs/>
          <w:sz w:val="20"/>
          <w:szCs w:val="20"/>
        </w:rPr>
        <w:t>Červencový</w:t>
      </w:r>
      <w:proofErr w:type="gramEnd"/>
      <w:r w:rsidR="00000000">
        <w:rPr>
          <w:b/>
          <w:bCs/>
          <w:sz w:val="20"/>
          <w:szCs w:val="20"/>
        </w:rPr>
        <w:t xml:space="preserve"> Broker </w:t>
      </w:r>
      <w:proofErr w:type="spellStart"/>
      <w:r w:rsidR="00000000">
        <w:rPr>
          <w:b/>
          <w:bCs/>
          <w:sz w:val="20"/>
          <w:szCs w:val="20"/>
        </w:rPr>
        <w:t>Consulting</w:t>
      </w:r>
      <w:proofErr w:type="spellEnd"/>
      <w:r w:rsidR="00000000">
        <w:rPr>
          <w:b/>
          <w:bCs/>
          <w:sz w:val="20"/>
          <w:szCs w:val="20"/>
        </w:rPr>
        <w:t xml:space="preserve"> Index spotřebitelských úvěrů dosáhl hodnot</w:t>
      </w:r>
      <w:r w:rsidR="00D37DFD">
        <w:rPr>
          <w:b/>
          <w:bCs/>
          <w:sz w:val="20"/>
          <w:szCs w:val="20"/>
        </w:rPr>
        <w:t>y</w:t>
      </w:r>
      <w:r w:rsidR="00000000">
        <w:rPr>
          <w:b/>
          <w:bCs/>
          <w:sz w:val="20"/>
          <w:szCs w:val="20"/>
        </w:rPr>
        <w:t xml:space="preserve"> 8,28 %, což za</w:t>
      </w:r>
      <w:r w:rsidR="00D37DFD">
        <w:rPr>
          <w:b/>
          <w:bCs/>
          <w:sz w:val="20"/>
          <w:szCs w:val="20"/>
        </w:rPr>
        <w:t> </w:t>
      </w:r>
      <w:r w:rsidR="00000000">
        <w:rPr>
          <w:b/>
          <w:bCs/>
          <w:sz w:val="20"/>
          <w:szCs w:val="20"/>
        </w:rPr>
        <w:t xml:space="preserve">jediný měsíc představuje nárůst o </w:t>
      </w:r>
      <w:proofErr w:type="gramStart"/>
      <w:r w:rsidR="00000000">
        <w:rPr>
          <w:b/>
          <w:bCs/>
          <w:sz w:val="20"/>
          <w:szCs w:val="20"/>
        </w:rPr>
        <w:t>1,26 procentního</w:t>
      </w:r>
      <w:proofErr w:type="gramEnd"/>
      <w:r w:rsidR="00000000">
        <w:rPr>
          <w:b/>
          <w:bCs/>
          <w:sz w:val="20"/>
          <w:szCs w:val="20"/>
        </w:rPr>
        <w:t xml:space="preserve"> bodu. Ačkoliv se jedná o</w:t>
      </w:r>
      <w:r w:rsidR="00DD5848">
        <w:rPr>
          <w:b/>
          <w:bCs/>
          <w:sz w:val="20"/>
          <w:szCs w:val="20"/>
        </w:rPr>
        <w:t> </w:t>
      </w:r>
      <w:r w:rsidR="00000000">
        <w:rPr>
          <w:b/>
          <w:bCs/>
          <w:sz w:val="20"/>
          <w:szCs w:val="20"/>
        </w:rPr>
        <w:t>úvěrový produkt s kratší dobou splatnosti, u kterého jsou výkyvy oběma směry naprosto obvyklé, odborníci varují před neuváženým zadlužováním. Ukvapené sjednání spotřebitelského úvěru na letní radovánky nebo vybavení domácnosti totiž může rodinnou peněženku zatížit i</w:t>
      </w:r>
      <w:r w:rsidR="00DD5848">
        <w:rPr>
          <w:b/>
          <w:bCs/>
          <w:sz w:val="20"/>
          <w:szCs w:val="20"/>
        </w:rPr>
        <w:t> </w:t>
      </w:r>
      <w:r w:rsidR="00000000">
        <w:rPr>
          <w:b/>
          <w:bCs/>
          <w:sz w:val="20"/>
          <w:szCs w:val="20"/>
        </w:rPr>
        <w:t>na</w:t>
      </w:r>
      <w:r w:rsidR="00DD5848">
        <w:rPr>
          <w:b/>
          <w:bCs/>
          <w:sz w:val="20"/>
          <w:szCs w:val="20"/>
        </w:rPr>
        <w:t> </w:t>
      </w:r>
      <w:r w:rsidR="00000000">
        <w:rPr>
          <w:b/>
          <w:bCs/>
          <w:sz w:val="20"/>
          <w:szCs w:val="20"/>
        </w:rPr>
        <w:t>několik dalších let.</w:t>
      </w:r>
    </w:p>
    <w:p w14:paraId="7146C16D" w14:textId="77777777" w:rsidR="00211818" w:rsidRDefault="00211818">
      <w:pPr>
        <w:jc w:val="both"/>
        <w:rPr>
          <w:i/>
          <w:iCs/>
          <w:sz w:val="20"/>
          <w:szCs w:val="20"/>
        </w:rPr>
      </w:pPr>
    </w:p>
    <w:p w14:paraId="427759C6" w14:textId="77777777" w:rsidR="00211818" w:rsidRDefault="00000000">
      <w:pPr>
        <w:jc w:val="both"/>
        <w:rPr>
          <w:b/>
          <w:bCs/>
          <w:sz w:val="24"/>
          <w:szCs w:val="24"/>
        </w:rPr>
      </w:pPr>
      <w:r>
        <w:rPr>
          <w:b/>
          <w:bCs/>
          <w:sz w:val="24"/>
          <w:szCs w:val="24"/>
        </w:rPr>
        <w:t>Růst zrychlil během dvou měsíců</w:t>
      </w:r>
    </w:p>
    <w:p w14:paraId="77BBDF69" w14:textId="77777777" w:rsidR="00211818" w:rsidRDefault="00211818">
      <w:pPr>
        <w:jc w:val="both"/>
        <w:rPr>
          <w:b/>
          <w:bCs/>
          <w:i/>
          <w:iCs/>
          <w:sz w:val="20"/>
          <w:szCs w:val="20"/>
        </w:rPr>
      </w:pPr>
    </w:p>
    <w:p w14:paraId="7D76C137" w14:textId="6771DDF0" w:rsidR="00211818" w:rsidRDefault="00000000">
      <w:pPr>
        <w:jc w:val="both"/>
        <w:rPr>
          <w:sz w:val="20"/>
          <w:szCs w:val="20"/>
        </w:rPr>
      </w:pPr>
      <w:r>
        <w:rPr>
          <w:sz w:val="20"/>
          <w:szCs w:val="20"/>
        </w:rPr>
        <w:t xml:space="preserve">Od března do května se průměrné sazby takzvaných půjček na cokoliv držely v poměrně úzkém rozpětí. V březnu činily 6,41 procenta, v dubnu klesly na 6,13 procenta a v květnu mírně vzrostly na 6,24 procenta. Výraznější změna přišla v červnu, kdy průměrná sazba dosáhla 7,02 %. V červenci růst </w:t>
      </w:r>
      <w:r w:rsidR="00D37DFD">
        <w:rPr>
          <w:sz w:val="20"/>
          <w:szCs w:val="20"/>
        </w:rPr>
        <w:t>dále</w:t>
      </w:r>
      <w:r>
        <w:rPr>
          <w:sz w:val="20"/>
          <w:szCs w:val="20"/>
        </w:rPr>
        <w:t xml:space="preserve"> zrychlil a sazby se dostaly nad osmiprocentní hranici.</w:t>
      </w:r>
    </w:p>
    <w:p w14:paraId="4FDF67C5" w14:textId="77777777" w:rsidR="00211818" w:rsidRDefault="00211818">
      <w:pPr>
        <w:jc w:val="both"/>
        <w:rPr>
          <w:sz w:val="20"/>
          <w:szCs w:val="20"/>
        </w:rPr>
      </w:pPr>
    </w:p>
    <w:p w14:paraId="489CD618" w14:textId="29701DA0" w:rsidR="00211818" w:rsidRDefault="00000000">
      <w:pPr>
        <w:jc w:val="both"/>
        <w:rPr>
          <w:sz w:val="20"/>
          <w:szCs w:val="20"/>
        </w:rPr>
      </w:pPr>
      <w:r>
        <w:rPr>
          <w:i/>
          <w:iCs/>
          <w:sz w:val="20"/>
          <w:szCs w:val="20"/>
        </w:rPr>
        <w:t>„Kolísání sazeb je u spotřebitelských úvěrů poměrně běžné. Červencové zvýšení je ale natolik výrazné, že by mu lidé měli věnovat pozornost. Při rozhodování by neměli zůstat pouze u první nabídky, která</w:t>
      </w:r>
      <w:r w:rsidR="00DD5848">
        <w:rPr>
          <w:i/>
          <w:iCs/>
          <w:sz w:val="20"/>
          <w:szCs w:val="20"/>
        </w:rPr>
        <w:t> </w:t>
      </w:r>
      <w:r>
        <w:rPr>
          <w:i/>
          <w:iCs/>
          <w:sz w:val="20"/>
          <w:szCs w:val="20"/>
        </w:rPr>
        <w:t xml:space="preserve">slibuje rychlé vyřízení, ale porovnat skutečné podmínky a celkové náklady,“ </w:t>
      </w:r>
      <w:r>
        <w:rPr>
          <w:sz w:val="20"/>
          <w:szCs w:val="20"/>
        </w:rPr>
        <w:t xml:space="preserve">říká </w:t>
      </w:r>
      <w:r>
        <w:rPr>
          <w:b/>
          <w:bCs/>
          <w:sz w:val="20"/>
          <w:szCs w:val="20"/>
        </w:rPr>
        <w:t xml:space="preserve">Michaela Pudilová, analytička společnosti Broker </w:t>
      </w:r>
      <w:proofErr w:type="spellStart"/>
      <w:r>
        <w:rPr>
          <w:b/>
          <w:bCs/>
          <w:sz w:val="20"/>
          <w:szCs w:val="20"/>
        </w:rPr>
        <w:t>Consulting</w:t>
      </w:r>
      <w:proofErr w:type="spellEnd"/>
      <w:r>
        <w:rPr>
          <w:sz w:val="20"/>
          <w:szCs w:val="20"/>
        </w:rPr>
        <w:t>.</w:t>
      </w:r>
    </w:p>
    <w:p w14:paraId="43CE3547" w14:textId="77777777" w:rsidR="00211818" w:rsidRDefault="00211818">
      <w:pPr>
        <w:jc w:val="both"/>
        <w:rPr>
          <w:i/>
          <w:iCs/>
          <w:sz w:val="20"/>
          <w:szCs w:val="20"/>
        </w:rPr>
      </w:pPr>
    </w:p>
    <w:p w14:paraId="58DEC779" w14:textId="77777777" w:rsidR="00211818" w:rsidRDefault="00000000">
      <w:pPr>
        <w:jc w:val="both"/>
        <w:rPr>
          <w:b/>
          <w:bCs/>
          <w:sz w:val="24"/>
          <w:szCs w:val="24"/>
        </w:rPr>
      </w:pPr>
      <w:r>
        <w:rPr>
          <w:b/>
          <w:bCs/>
          <w:sz w:val="24"/>
          <w:szCs w:val="24"/>
        </w:rPr>
        <w:t>Zásah banky i letní poptávka. Do sazeb se promítá více faktorů</w:t>
      </w:r>
    </w:p>
    <w:p w14:paraId="75974F43" w14:textId="77777777" w:rsidR="00211818" w:rsidRDefault="00211818">
      <w:pPr>
        <w:jc w:val="both"/>
        <w:rPr>
          <w:b/>
          <w:bCs/>
          <w:i/>
          <w:iCs/>
          <w:sz w:val="20"/>
          <w:szCs w:val="20"/>
        </w:rPr>
      </w:pPr>
    </w:p>
    <w:p w14:paraId="48C8A32B" w14:textId="77777777" w:rsidR="00211818" w:rsidRDefault="00000000">
      <w:pPr>
        <w:jc w:val="both"/>
        <w:rPr>
          <w:sz w:val="20"/>
          <w:szCs w:val="20"/>
        </w:rPr>
      </w:pPr>
      <w:r>
        <w:rPr>
          <w:sz w:val="20"/>
          <w:szCs w:val="20"/>
        </w:rPr>
        <w:t xml:space="preserve">K červencovému zdražení přispělo více okolností. Jednou z nich je červnové zvýšení dvoutýdenní </w:t>
      </w:r>
      <w:proofErr w:type="spellStart"/>
      <w:r>
        <w:rPr>
          <w:sz w:val="20"/>
          <w:szCs w:val="20"/>
        </w:rPr>
        <w:t>repo</w:t>
      </w:r>
      <w:proofErr w:type="spellEnd"/>
      <w:r>
        <w:rPr>
          <w:sz w:val="20"/>
          <w:szCs w:val="20"/>
        </w:rPr>
        <w:t xml:space="preserve"> sazby Českou národní bankou. Takový krok bankám prodražuje získávání peněz, které následně půjčují svým klientům. Část vyšších nákladů se proto může projevit také v úrokových sazbách spotřebitelských úvěrů. Česká národní banka prostřednictvím měnové politiky usiluje o cenovou stabilitu a přiměřený vývoj úvěrů i množství peněz v ekonomice. </w:t>
      </w:r>
    </w:p>
    <w:p w14:paraId="54287CC4" w14:textId="77777777" w:rsidR="00211818" w:rsidRDefault="00211818">
      <w:pPr>
        <w:jc w:val="both"/>
        <w:rPr>
          <w:sz w:val="20"/>
          <w:szCs w:val="20"/>
        </w:rPr>
      </w:pPr>
    </w:p>
    <w:p w14:paraId="3047445E" w14:textId="78A1E363" w:rsidR="00211818" w:rsidRDefault="00000000">
      <w:pPr>
        <w:jc w:val="both"/>
        <w:rPr>
          <w:sz w:val="20"/>
          <w:szCs w:val="20"/>
        </w:rPr>
      </w:pPr>
      <w:r>
        <w:rPr>
          <w:sz w:val="20"/>
          <w:szCs w:val="20"/>
        </w:rPr>
        <w:t>U spotřebitelských půjček se do konečné sazby zároveň promítá řada dalších okolností, zejména rizikový profil klienta, jeho příjmy, úvěrová historie a již existující závazky. Roli může hrát také vyšší prázdninová poptávka po rychle dostupných penězích. Domácnosti si v létě půjčují například na</w:t>
      </w:r>
      <w:r w:rsidR="00D37DFD">
        <w:rPr>
          <w:sz w:val="20"/>
          <w:szCs w:val="20"/>
        </w:rPr>
        <w:t> </w:t>
      </w:r>
      <w:r>
        <w:rPr>
          <w:sz w:val="20"/>
          <w:szCs w:val="20"/>
        </w:rPr>
        <w:t>dovolenou, rekonstrukci nebo vybavení domácnosti, proto banky přicházejí se „zvýhodněnými nabídkami“.</w:t>
      </w:r>
    </w:p>
    <w:p w14:paraId="3916A9D5" w14:textId="77777777" w:rsidR="00211818" w:rsidRDefault="00211818">
      <w:pPr>
        <w:jc w:val="both"/>
        <w:rPr>
          <w:sz w:val="20"/>
          <w:szCs w:val="20"/>
        </w:rPr>
      </w:pPr>
    </w:p>
    <w:p w14:paraId="357E287F" w14:textId="30106C13" w:rsidR="00211818" w:rsidRDefault="00000000">
      <w:pPr>
        <w:jc w:val="both"/>
        <w:rPr>
          <w:sz w:val="20"/>
          <w:szCs w:val="20"/>
        </w:rPr>
      </w:pPr>
      <w:r>
        <w:rPr>
          <w:sz w:val="20"/>
          <w:szCs w:val="20"/>
        </w:rPr>
        <w:t>Nejnižší propagovaná sazba ale nemusí být dostupná každému a výsledné podmínky se mohou od</w:t>
      </w:r>
      <w:r w:rsidR="00D37DFD">
        <w:rPr>
          <w:sz w:val="20"/>
          <w:szCs w:val="20"/>
        </w:rPr>
        <w:t> </w:t>
      </w:r>
      <w:r>
        <w:rPr>
          <w:sz w:val="20"/>
          <w:szCs w:val="20"/>
        </w:rPr>
        <w:t xml:space="preserve">reklamy výrazně lišit. Jedno z největších rizik představuje časový tlak. Klient, který potřebuje peníze </w:t>
      </w:r>
      <w:r>
        <w:rPr>
          <w:sz w:val="20"/>
          <w:szCs w:val="20"/>
        </w:rPr>
        <w:lastRenderedPageBreak/>
        <w:t>rychle a s minimem administrativy, může upřednostnit snadné sjednání před důkladným porovnáním nabídek.</w:t>
      </w:r>
    </w:p>
    <w:p w14:paraId="43E45AFD" w14:textId="77777777" w:rsidR="00211818" w:rsidRDefault="00211818">
      <w:pPr>
        <w:jc w:val="both"/>
        <w:rPr>
          <w:sz w:val="20"/>
          <w:szCs w:val="20"/>
        </w:rPr>
      </w:pPr>
    </w:p>
    <w:p w14:paraId="2A83875C" w14:textId="77777777" w:rsidR="00211818" w:rsidRDefault="00000000">
      <w:pPr>
        <w:jc w:val="both"/>
        <w:rPr>
          <w:b/>
          <w:bCs/>
          <w:sz w:val="24"/>
          <w:szCs w:val="24"/>
        </w:rPr>
      </w:pPr>
      <w:r>
        <w:rPr>
          <w:b/>
          <w:bCs/>
          <w:sz w:val="24"/>
          <w:szCs w:val="24"/>
        </w:rPr>
        <w:t>Nízká splátka nemusí znamenat levný úvěr</w:t>
      </w:r>
    </w:p>
    <w:p w14:paraId="12EC9A09" w14:textId="77777777" w:rsidR="00211818" w:rsidRDefault="00211818">
      <w:pPr>
        <w:jc w:val="both"/>
        <w:rPr>
          <w:b/>
          <w:bCs/>
          <w:sz w:val="20"/>
          <w:szCs w:val="20"/>
        </w:rPr>
      </w:pPr>
    </w:p>
    <w:p w14:paraId="19DDF4EF" w14:textId="77777777" w:rsidR="00211818" w:rsidRDefault="00000000">
      <w:pPr>
        <w:jc w:val="both"/>
        <w:rPr>
          <w:sz w:val="20"/>
          <w:szCs w:val="20"/>
        </w:rPr>
      </w:pPr>
      <w:r>
        <w:rPr>
          <w:sz w:val="20"/>
          <w:szCs w:val="20"/>
        </w:rPr>
        <w:t>Jednotlivé nabídky je potřeba porovnávat při stejné výši úvěru a stejné době splácení. Jen tak lze zjistit, která půjčka je skutečně výhodnější. Vedle úrokové sazby je důležité sledovat také poplatky a celkovou částku, kterou klient zaplatí.</w:t>
      </w:r>
    </w:p>
    <w:p w14:paraId="730A27FF" w14:textId="77777777" w:rsidR="00211818" w:rsidRDefault="00211818">
      <w:pPr>
        <w:jc w:val="both"/>
        <w:rPr>
          <w:i/>
          <w:iCs/>
          <w:sz w:val="20"/>
          <w:szCs w:val="20"/>
        </w:rPr>
      </w:pPr>
    </w:p>
    <w:p w14:paraId="67AD6429" w14:textId="6A5BC24D" w:rsidR="00211818" w:rsidRDefault="00000000">
      <w:pPr>
        <w:jc w:val="both"/>
        <w:rPr>
          <w:sz w:val="20"/>
          <w:szCs w:val="20"/>
        </w:rPr>
      </w:pPr>
      <w:r>
        <w:rPr>
          <w:i/>
          <w:iCs/>
          <w:sz w:val="20"/>
          <w:szCs w:val="20"/>
        </w:rPr>
        <w:t>„Rychlost sjednání ani nízká měsíční splátka by neměly být jedinými kritérii. Klient by měl znát celkové náklady, délku splácení a ověřit si, zda splátku zvládne i v měsíci, kdy přijde nečekaný výdaj. Nižší splátka může působit lákavě, pokud je však výsledkem výrazně delší dob</w:t>
      </w:r>
      <w:r w:rsidR="00D37DFD">
        <w:rPr>
          <w:i/>
          <w:iCs/>
          <w:sz w:val="20"/>
          <w:szCs w:val="20"/>
        </w:rPr>
        <w:t>a</w:t>
      </w:r>
      <w:r>
        <w:rPr>
          <w:i/>
          <w:iCs/>
          <w:sz w:val="20"/>
          <w:szCs w:val="20"/>
        </w:rPr>
        <w:t xml:space="preserve"> splácení, může být půjčka nakonec podstatně dražší,“ </w:t>
      </w:r>
      <w:r>
        <w:rPr>
          <w:sz w:val="20"/>
          <w:szCs w:val="20"/>
        </w:rPr>
        <w:t>upozorňuje</w:t>
      </w:r>
      <w:r>
        <w:rPr>
          <w:i/>
          <w:iCs/>
          <w:sz w:val="20"/>
          <w:szCs w:val="20"/>
        </w:rPr>
        <w:t xml:space="preserve"> </w:t>
      </w:r>
      <w:r>
        <w:rPr>
          <w:b/>
          <w:bCs/>
          <w:sz w:val="20"/>
          <w:szCs w:val="20"/>
        </w:rPr>
        <w:t>Michaela Pudilová</w:t>
      </w:r>
      <w:r>
        <w:rPr>
          <w:sz w:val="20"/>
          <w:szCs w:val="20"/>
        </w:rPr>
        <w:t>.</w:t>
      </w:r>
    </w:p>
    <w:p w14:paraId="01E862EC" w14:textId="77777777" w:rsidR="00211818" w:rsidRDefault="00211818">
      <w:pPr>
        <w:jc w:val="both"/>
        <w:rPr>
          <w:sz w:val="20"/>
          <w:szCs w:val="20"/>
        </w:rPr>
      </w:pPr>
    </w:p>
    <w:p w14:paraId="4B27AC09" w14:textId="6C56A4F6" w:rsidR="00211818" w:rsidRDefault="00000000">
      <w:pPr>
        <w:jc w:val="both"/>
        <w:rPr>
          <w:sz w:val="20"/>
          <w:szCs w:val="20"/>
        </w:rPr>
      </w:pPr>
      <w:r>
        <w:rPr>
          <w:sz w:val="20"/>
          <w:szCs w:val="20"/>
        </w:rPr>
        <w:t>Spotřebitelský úvěr může být užitečným nástrojem, pokud odpovídá finanční situaci domácnosti a má jasný účel.</w:t>
      </w:r>
      <w:r w:rsidR="00D37DFD">
        <w:rPr>
          <w:sz w:val="20"/>
          <w:szCs w:val="20"/>
        </w:rPr>
        <w:t xml:space="preserve"> </w:t>
      </w:r>
      <w:r w:rsidR="00D37DFD" w:rsidRPr="00D37DFD">
        <w:rPr>
          <w:sz w:val="20"/>
          <w:szCs w:val="20"/>
        </w:rPr>
        <w:t>Několikatýdenní zážitek nebo jednorázový nákup by se však bez pečlivého zvážení neměl proměnit v závazek na několik dalších let</w:t>
      </w:r>
      <w:r>
        <w:rPr>
          <w:sz w:val="20"/>
          <w:szCs w:val="20"/>
        </w:rPr>
        <w:t>.</w:t>
      </w:r>
    </w:p>
    <w:p w14:paraId="4BFFA6DE" w14:textId="77777777" w:rsidR="00211818" w:rsidRDefault="00000000">
      <w:pPr>
        <w:spacing w:before="240" w:after="240"/>
        <w:jc w:val="both"/>
        <w:rPr>
          <w:rFonts w:ascii="Calibri" w:eastAsia="Calibri" w:hAnsi="Calibri" w:cs="Calibri"/>
        </w:rPr>
      </w:pPr>
      <w:bookmarkStart w:id="0" w:name="_heading=h.xaqcin3fx0nj" w:colFirst="0" w:colLast="0"/>
      <w:bookmarkEnd w:id="0"/>
      <w:r>
        <w:pict w14:anchorId="2F5B293A">
          <v:rect id="_x0000_i1025" style="width:0;height:1.5pt" o:hralign="center" o:hrstd="t" o:hr="t" fillcolor="#a0a0a0" stroked="f"/>
        </w:pict>
      </w:r>
    </w:p>
    <w:p w14:paraId="29B17C13" w14:textId="77777777" w:rsidR="00211818" w:rsidRDefault="00000000">
      <w:pPr>
        <w:spacing w:before="240" w:after="240"/>
        <w:jc w:val="both"/>
        <w:rPr>
          <w:sz w:val="18"/>
          <w:szCs w:val="18"/>
        </w:rPr>
      </w:pPr>
      <w:r>
        <w:rPr>
          <w:b/>
          <w:bCs/>
          <w:sz w:val="18"/>
          <w:szCs w:val="18"/>
        </w:rPr>
        <w:t xml:space="preserve">Broker </w:t>
      </w:r>
      <w:proofErr w:type="spellStart"/>
      <w:r>
        <w:rPr>
          <w:b/>
          <w:bCs/>
          <w:sz w:val="18"/>
          <w:szCs w:val="18"/>
        </w:rPr>
        <w:t>Consulting</w:t>
      </w:r>
      <w:proofErr w:type="spellEnd"/>
      <w:r>
        <w:rPr>
          <w:b/>
          <w:bCs/>
          <w:sz w:val="18"/>
          <w:szCs w:val="18"/>
        </w:rPr>
        <w:t xml:space="preserve"> Index spotřebitelských úvěrů</w:t>
      </w:r>
      <w:r>
        <w:rPr>
          <w:sz w:val="18"/>
          <w:szCs w:val="18"/>
        </w:rPr>
        <w:t xml:space="preserve"> je analytický nástroj, který ukazuje průměrnou úrokovou sazbu u spotřebitelských úvěrů, jež zprostředkovali konzultanti Broker </w:t>
      </w:r>
      <w:proofErr w:type="spellStart"/>
      <w:r>
        <w:rPr>
          <w:sz w:val="18"/>
          <w:szCs w:val="18"/>
        </w:rPr>
        <w:t>Consulting</w:t>
      </w:r>
      <w:proofErr w:type="spellEnd"/>
      <w:r>
        <w:rPr>
          <w:sz w:val="18"/>
          <w:szCs w:val="18"/>
        </w:rPr>
        <w:t xml:space="preserve"> a pobočky Broker Point či Broker Point Premium, u poskytovatelů bankovních a nebankovních úvěrů. Jedná se o vážený aritmetický průměr, kdy hlavní vahou je objem úvěru. Tedy čím vyšší úvěr, tím jeho sazba do Indexu vstupuje větší vahou. Výhodou metody výpočtu je to, že se do statistiky dostávají pouze skutečně schválené úvěry, a to bez výjimky všechny. Nemůže tak dojít ke zkreslení informací a index není závislý na datech dodávaných třetími stranami.</w:t>
      </w:r>
    </w:p>
    <w:p w14:paraId="18F1AE2F" w14:textId="77777777" w:rsidR="00211818" w:rsidRDefault="00000000">
      <w:pPr>
        <w:spacing w:before="240" w:after="240"/>
        <w:jc w:val="both"/>
        <w:rPr>
          <w:sz w:val="18"/>
          <w:szCs w:val="18"/>
        </w:rPr>
      </w:pPr>
      <w:r>
        <w:rPr>
          <w:b/>
          <w:bCs/>
          <w:sz w:val="18"/>
          <w:szCs w:val="18"/>
        </w:rPr>
        <w:t>Proč je dobré Index sledovat</w:t>
      </w:r>
      <w:r>
        <w:rPr>
          <w:sz w:val="18"/>
          <w:szCs w:val="18"/>
        </w:rPr>
        <w:t xml:space="preserve"> </w:t>
      </w:r>
    </w:p>
    <w:p w14:paraId="0AB40D48" w14:textId="77777777" w:rsidR="00211818" w:rsidRDefault="00000000">
      <w:pPr>
        <w:spacing w:before="240" w:after="240"/>
        <w:jc w:val="both"/>
        <w:rPr>
          <w:sz w:val="18"/>
          <w:szCs w:val="18"/>
        </w:rPr>
      </w:pPr>
      <w:r>
        <w:rPr>
          <w:sz w:val="18"/>
          <w:szCs w:val="18"/>
        </w:rPr>
        <w:t xml:space="preserve">Broker </w:t>
      </w:r>
      <w:proofErr w:type="spellStart"/>
      <w:r>
        <w:rPr>
          <w:sz w:val="18"/>
          <w:szCs w:val="18"/>
        </w:rPr>
        <w:t>Consulting</w:t>
      </w:r>
      <w:proofErr w:type="spellEnd"/>
      <w:r>
        <w:rPr>
          <w:sz w:val="18"/>
          <w:szCs w:val="18"/>
        </w:rPr>
        <w:t xml:space="preserve"> Index spotřebitelských úvěrů zachycuje vývoj úrokových sazeb u spotřebitelských úvěrů. Je praktickým indikátorem toho, jak se pro českou veřejnost úvěry vyvíjejí z hlediska úrokových sazeb, a tedy i výše splátek na určitou půjčenou sumu. Lidé si tyto typy úvěrů berou, aby financovali různé potřeby. Od dovolené přes nový telefon až po překlenutí nějaké tíživé situace. Zásadní význam má index pro domácnosti, které splácejí větší množství úvěrů a splátky je dusí. Index jim může otevřít oči, že půjčky je možné refinancovat s mnohem nižší úrokovou sazbou, a nastartovat tak cestu za ozdravením rodinných financí. Sazby spotřebitelských úvěrů jsou na trhu velmi různé, lidé často dobře nezhodnotí situaci a sjednají si drahou půjčku. Index je důvěryhodným podkladem pro média při komunikaci praktického a pro občany zajímavého tématu. Index nemá za cíl ukazovat průměr trhu, ale zdravou sazbu. Pokud si proto člověk chce sjednat spotřebitelský úvěr ať už v bance, nebo v nebankovní instituci, a úroková sazba je výrazněji vyšší než aktuální index, je potřeba zpozornět.</w:t>
      </w:r>
    </w:p>
    <w:p w14:paraId="386E2C38" w14:textId="77777777" w:rsidR="00211818" w:rsidRDefault="00000000">
      <w:pPr>
        <w:widowControl w:val="0"/>
        <w:spacing w:after="120" w:line="240" w:lineRule="auto"/>
        <w:rPr>
          <w:sz w:val="18"/>
          <w:szCs w:val="18"/>
        </w:rPr>
      </w:pPr>
      <w:r>
        <w:rPr>
          <w:b/>
          <w:bCs/>
          <w:sz w:val="18"/>
          <w:szCs w:val="18"/>
        </w:rPr>
        <w:t>Poznámka pro média:</w:t>
      </w:r>
      <w:r>
        <w:rPr>
          <w:sz w:val="18"/>
          <w:szCs w:val="18"/>
        </w:rPr>
        <w:t xml:space="preserve"> </w:t>
      </w:r>
      <w:r>
        <w:rPr>
          <w:color w:val="1D1D1B"/>
          <w:sz w:val="18"/>
          <w:szCs w:val="18"/>
        </w:rPr>
        <w:t xml:space="preserve">Broker </w:t>
      </w:r>
      <w:proofErr w:type="spellStart"/>
      <w:r>
        <w:rPr>
          <w:color w:val="1D1D1B"/>
          <w:sz w:val="18"/>
          <w:szCs w:val="18"/>
        </w:rPr>
        <w:t>Consulting</w:t>
      </w:r>
      <w:proofErr w:type="spellEnd"/>
      <w:r>
        <w:rPr>
          <w:color w:val="1D1D1B"/>
          <w:sz w:val="18"/>
          <w:szCs w:val="18"/>
        </w:rPr>
        <w:t xml:space="preserve"> Indexy je možné volně publikovat pouze s označením „Broker </w:t>
      </w:r>
      <w:proofErr w:type="spellStart"/>
      <w:r>
        <w:rPr>
          <w:color w:val="1D1D1B"/>
          <w:sz w:val="18"/>
          <w:szCs w:val="18"/>
        </w:rPr>
        <w:t>Consulting</w:t>
      </w:r>
      <w:proofErr w:type="spellEnd"/>
      <w:r>
        <w:rPr>
          <w:color w:val="1D1D1B"/>
          <w:sz w:val="18"/>
          <w:szCs w:val="18"/>
        </w:rPr>
        <w:t xml:space="preserve"> Index“ (</w:t>
      </w:r>
      <w:r>
        <w:rPr>
          <w:i/>
          <w:iCs/>
          <w:color w:val="1D1D1B"/>
          <w:sz w:val="18"/>
          <w:szCs w:val="18"/>
        </w:rPr>
        <w:t xml:space="preserve">např. Broker </w:t>
      </w:r>
      <w:proofErr w:type="spellStart"/>
      <w:r>
        <w:rPr>
          <w:i/>
          <w:iCs/>
          <w:color w:val="1D1D1B"/>
          <w:sz w:val="18"/>
          <w:szCs w:val="18"/>
        </w:rPr>
        <w:t>Consulting</w:t>
      </w:r>
      <w:proofErr w:type="spellEnd"/>
      <w:r>
        <w:rPr>
          <w:i/>
          <w:iCs/>
          <w:color w:val="1D1D1B"/>
          <w:sz w:val="18"/>
          <w:szCs w:val="18"/>
        </w:rPr>
        <w:t xml:space="preserve"> Index hypotečních úvěrů). Více informací najdete též na webu </w:t>
      </w:r>
      <w:r>
        <w:rPr>
          <w:i/>
          <w:iCs/>
          <w:color w:val="0000FF"/>
          <w:sz w:val="18"/>
          <w:szCs w:val="18"/>
          <w:u w:val="single"/>
        </w:rPr>
        <w:t>https://www.bcas.cz/onas/pro-media/</w:t>
      </w:r>
      <w:r>
        <w:rPr>
          <w:i/>
          <w:iCs/>
          <w:color w:val="1D1D1B"/>
          <w:sz w:val="18"/>
          <w:szCs w:val="18"/>
        </w:rPr>
        <w:t xml:space="preserve">. </w:t>
      </w:r>
    </w:p>
    <w:p w14:paraId="75A3287F" w14:textId="77777777" w:rsidR="00211818" w:rsidRDefault="00000000">
      <w:pPr>
        <w:widowControl w:val="0"/>
        <w:spacing w:line="360" w:lineRule="auto"/>
        <w:rPr>
          <w:rFonts w:ascii="Calibri" w:eastAsia="Calibri" w:hAnsi="Calibri" w:cs="Calibri"/>
          <w:b/>
          <w:bCs/>
          <w:color w:val="1D1D1B"/>
          <w:sz w:val="20"/>
          <w:szCs w:val="20"/>
        </w:rPr>
      </w:pPr>
      <w:r>
        <w:rPr>
          <w:b/>
          <w:bCs/>
          <w:color w:val="FF0000"/>
          <w:sz w:val="18"/>
          <w:szCs w:val="18"/>
        </w:rPr>
        <w:t xml:space="preserve">Broker </w:t>
      </w:r>
      <w:proofErr w:type="spellStart"/>
      <w:r>
        <w:rPr>
          <w:b/>
          <w:bCs/>
          <w:color w:val="FF0000"/>
          <w:sz w:val="18"/>
          <w:szCs w:val="18"/>
        </w:rPr>
        <w:t>Consulting</w:t>
      </w:r>
      <w:proofErr w:type="spellEnd"/>
      <w:r>
        <w:rPr>
          <w:b/>
          <w:bCs/>
          <w:color w:val="FF0000"/>
          <w:sz w:val="18"/>
          <w:szCs w:val="18"/>
        </w:rPr>
        <w:t xml:space="preserve"> Indexy je nyní možné sledovat v interaktivní formě na webu</w:t>
      </w:r>
      <w:r>
        <w:rPr>
          <w:color w:val="1D1D1B"/>
          <w:sz w:val="18"/>
          <w:szCs w:val="18"/>
        </w:rPr>
        <w:t>. Zde lze zároveň exportovat zdrojová data ke grafům. Vice dostupné na odkaze</w:t>
      </w:r>
      <w:r>
        <w:rPr>
          <w:b/>
          <w:bCs/>
          <w:color w:val="1D1D1B"/>
          <w:sz w:val="18"/>
          <w:szCs w:val="18"/>
        </w:rPr>
        <w:t xml:space="preserve">: </w:t>
      </w:r>
      <w:hyperlink r:id="rId7">
        <w:r>
          <w:rPr>
            <w:b/>
            <w:bCs/>
            <w:color w:val="0000FF"/>
            <w:sz w:val="18"/>
            <w:szCs w:val="18"/>
            <w:u w:val="single"/>
          </w:rPr>
          <w:t>https://www.bcas.cz/o-nas/broker-consulting-index-spotrebitelskych-uveru/</w:t>
        </w:r>
      </w:hyperlink>
      <w:r>
        <w:rPr>
          <w:rFonts w:ascii="Calibri" w:eastAsia="Calibri" w:hAnsi="Calibri" w:cs="Calibri"/>
          <w:b/>
          <w:bCs/>
          <w:sz w:val="20"/>
          <w:szCs w:val="20"/>
        </w:rPr>
        <w:t xml:space="preserve">. </w:t>
      </w:r>
    </w:p>
    <w:p w14:paraId="0F558D45" w14:textId="77777777" w:rsidR="00211818" w:rsidRDefault="00211818">
      <w:pPr>
        <w:jc w:val="both"/>
        <w:rPr>
          <w:sz w:val="20"/>
          <w:szCs w:val="20"/>
        </w:rPr>
      </w:pPr>
    </w:p>
    <w:p w14:paraId="601950BA" w14:textId="77777777" w:rsidR="00211818" w:rsidRDefault="00000000">
      <w:pPr>
        <w:pStyle w:val="Nadpis3"/>
        <w:rPr>
          <w:sz w:val="22"/>
          <w:szCs w:val="22"/>
        </w:rPr>
      </w:pPr>
      <w:bookmarkStart w:id="1" w:name="_heading=h.vehrqumafm8j" w:colFirst="0" w:colLast="0"/>
      <w:bookmarkEnd w:id="1"/>
      <w:r>
        <w:rPr>
          <w:sz w:val="22"/>
          <w:szCs w:val="22"/>
        </w:rPr>
        <w:lastRenderedPageBreak/>
        <w:t xml:space="preserve">O společnosti Broker </w:t>
      </w:r>
      <w:proofErr w:type="spellStart"/>
      <w:r>
        <w:rPr>
          <w:sz w:val="22"/>
          <w:szCs w:val="22"/>
        </w:rPr>
        <w:t>Consulting</w:t>
      </w:r>
      <w:proofErr w:type="spellEnd"/>
    </w:p>
    <w:p w14:paraId="463AE668" w14:textId="77777777" w:rsidR="00211818" w:rsidRDefault="00000000">
      <w:pPr>
        <w:widowControl w:val="0"/>
        <w:spacing w:line="240" w:lineRule="auto"/>
        <w:jc w:val="both"/>
        <w:rPr>
          <w:sz w:val="18"/>
          <w:szCs w:val="18"/>
        </w:rPr>
      </w:pPr>
      <w:r>
        <w:rPr>
          <w:sz w:val="18"/>
          <w:szCs w:val="18"/>
        </w:rPr>
        <w:t xml:space="preserve">Broker </w:t>
      </w:r>
      <w:proofErr w:type="spellStart"/>
      <w:r>
        <w:rPr>
          <w:sz w:val="18"/>
          <w:szCs w:val="18"/>
        </w:rPr>
        <w:t>Consulting</w:t>
      </w:r>
      <w:proofErr w:type="spellEnd"/>
      <w:r>
        <w:rPr>
          <w:sz w:val="18"/>
          <w:szCs w:val="18"/>
        </w:rPr>
        <w:t xml:space="preserve"> je jednou z největších společností na českém a slovenském trhu, která poskytuje služby v oblasti financí a realit. Od roku 1998 získala důvěru více než 700 000 klientů. Poskytuje také služby přes 4 000 firmám. Distribuci služeb zajišťuje přibližně 2 000 konzultantů (profesionální konzultanti, zaměstnanci, konzultanti v zapracování v ČR i SR) ve více než 150 kancelářích a na několika desítkách poboček Broker Point Premium. Společnost uvedla na český a slovenský trh řadu inovací. Jednalo se například o investice do otevřených podílových fondů se zamykáním zisků nebo unikátní produkty životního dopojištění, které umožňují pojistit smrt a invaliditu za zlomek obvyklých cen. Bankovní, finanční a realitní služby společně, to je Broker Point Premium, jehož přináší společnost Broker </w:t>
      </w:r>
      <w:proofErr w:type="spellStart"/>
      <w:r>
        <w:rPr>
          <w:sz w:val="18"/>
          <w:szCs w:val="18"/>
        </w:rPr>
        <w:t>Consulting</w:t>
      </w:r>
      <w:proofErr w:type="spellEnd"/>
      <w:r>
        <w:rPr>
          <w:sz w:val="18"/>
          <w:szCs w:val="18"/>
        </w:rPr>
        <w:t xml:space="preserve">, která za vedení franšízy a její podporu získala ocenění </w:t>
      </w:r>
      <w:proofErr w:type="spellStart"/>
      <w:r>
        <w:rPr>
          <w:b/>
          <w:bCs/>
          <w:color w:val="FF0000"/>
          <w:sz w:val="18"/>
          <w:szCs w:val="18"/>
        </w:rPr>
        <w:t>Franchisor</w:t>
      </w:r>
      <w:proofErr w:type="spellEnd"/>
      <w:r>
        <w:rPr>
          <w:b/>
          <w:bCs/>
          <w:color w:val="FF0000"/>
          <w:sz w:val="18"/>
          <w:szCs w:val="18"/>
        </w:rPr>
        <w:t xml:space="preserve"> roku 2022</w:t>
      </w:r>
      <w:r>
        <w:rPr>
          <w:color w:val="FF0000"/>
          <w:sz w:val="18"/>
          <w:szCs w:val="18"/>
        </w:rPr>
        <w:t xml:space="preserve"> </w:t>
      </w:r>
      <w:r>
        <w:rPr>
          <w:sz w:val="18"/>
          <w:szCs w:val="18"/>
        </w:rPr>
        <w:t xml:space="preserve">od České asociace </w:t>
      </w:r>
      <w:proofErr w:type="spellStart"/>
      <w:r>
        <w:rPr>
          <w:sz w:val="18"/>
          <w:szCs w:val="18"/>
        </w:rPr>
        <w:t>franchisingu</w:t>
      </w:r>
      <w:proofErr w:type="spellEnd"/>
      <w:r>
        <w:rPr>
          <w:sz w:val="18"/>
          <w:szCs w:val="18"/>
        </w:rPr>
        <w:t xml:space="preserve">. Více na </w:t>
      </w:r>
      <w:hyperlink r:id="rId8">
        <w:r>
          <w:rPr>
            <w:color w:val="0000FF"/>
            <w:sz w:val="18"/>
            <w:szCs w:val="18"/>
            <w:u w:val="single"/>
          </w:rPr>
          <w:t>bcas.cz</w:t>
        </w:r>
      </w:hyperlink>
      <w:r>
        <w:rPr>
          <w:color w:val="0000FF"/>
          <w:sz w:val="18"/>
          <w:szCs w:val="18"/>
          <w:u w:val="single"/>
        </w:rPr>
        <w:t xml:space="preserve"> </w:t>
      </w:r>
      <w:r>
        <w:rPr>
          <w:sz w:val="18"/>
          <w:szCs w:val="18"/>
        </w:rPr>
        <w:t xml:space="preserve">a na </w:t>
      </w:r>
      <w:hyperlink r:id="rId9">
        <w:r>
          <w:rPr>
            <w:color w:val="0000FF"/>
            <w:sz w:val="18"/>
            <w:szCs w:val="18"/>
            <w:u w:val="single"/>
          </w:rPr>
          <w:t>realityspolu.cz</w:t>
        </w:r>
      </w:hyperlink>
      <w:r>
        <w:rPr>
          <w:color w:val="0000FF"/>
          <w:sz w:val="18"/>
          <w:szCs w:val="18"/>
          <w:u w:val="single"/>
        </w:rPr>
        <w:t xml:space="preserve">. </w:t>
      </w:r>
      <w:r>
        <w:rPr>
          <w:sz w:val="18"/>
          <w:szCs w:val="18"/>
        </w:rPr>
        <w:t xml:space="preserve">Navštivte také náš </w:t>
      </w:r>
      <w:hyperlink r:id="rId10">
        <w:r>
          <w:rPr>
            <w:color w:val="0000FF"/>
            <w:sz w:val="18"/>
            <w:szCs w:val="18"/>
            <w:u w:val="single"/>
          </w:rPr>
          <w:t>Facebook</w:t>
        </w:r>
      </w:hyperlink>
      <w:r>
        <w:rPr>
          <w:sz w:val="18"/>
          <w:szCs w:val="18"/>
        </w:rPr>
        <w:t xml:space="preserve">, </w:t>
      </w:r>
      <w:hyperlink r:id="rId11">
        <w:proofErr w:type="spellStart"/>
        <w:r>
          <w:rPr>
            <w:color w:val="0000FF"/>
            <w:sz w:val="18"/>
            <w:szCs w:val="18"/>
            <w:u w:val="single"/>
          </w:rPr>
          <w:t>LinkedIN</w:t>
        </w:r>
        <w:proofErr w:type="spellEnd"/>
      </w:hyperlink>
      <w:r>
        <w:rPr>
          <w:sz w:val="18"/>
          <w:szCs w:val="18"/>
        </w:rPr>
        <w:t xml:space="preserve"> Broker </w:t>
      </w:r>
      <w:proofErr w:type="spellStart"/>
      <w:r>
        <w:rPr>
          <w:sz w:val="18"/>
          <w:szCs w:val="18"/>
        </w:rPr>
        <w:t>Consulting</w:t>
      </w:r>
      <w:proofErr w:type="spellEnd"/>
      <w:r>
        <w:rPr>
          <w:sz w:val="18"/>
          <w:szCs w:val="18"/>
        </w:rPr>
        <w:t xml:space="preserve">, Twitter </w:t>
      </w:r>
      <w:r>
        <w:rPr>
          <w:sz w:val="18"/>
          <w:szCs w:val="18"/>
          <w:highlight w:val="white"/>
        </w:rPr>
        <w:t xml:space="preserve">@BC_oficialni, </w:t>
      </w:r>
      <w:r>
        <w:rPr>
          <w:sz w:val="18"/>
          <w:szCs w:val="18"/>
        </w:rPr>
        <w:t xml:space="preserve"> </w:t>
      </w:r>
      <w:hyperlink r:id="rId12">
        <w:r>
          <w:rPr>
            <w:color w:val="0000FF"/>
            <w:sz w:val="18"/>
            <w:szCs w:val="18"/>
            <w:u w:val="single"/>
          </w:rPr>
          <w:t>Facebook</w:t>
        </w:r>
      </w:hyperlink>
      <w:r>
        <w:rPr>
          <w:sz w:val="18"/>
          <w:szCs w:val="18"/>
        </w:rPr>
        <w:t xml:space="preserve"> a </w:t>
      </w:r>
      <w:hyperlink r:id="rId13">
        <w:proofErr w:type="spellStart"/>
        <w:r>
          <w:rPr>
            <w:color w:val="0000FF"/>
            <w:sz w:val="18"/>
            <w:szCs w:val="18"/>
            <w:u w:val="single"/>
          </w:rPr>
          <w:t>LinkedI</w:t>
        </w:r>
      </w:hyperlink>
      <w:r>
        <w:rPr>
          <w:color w:val="0000FF"/>
          <w:sz w:val="18"/>
          <w:szCs w:val="18"/>
          <w:u w:val="single"/>
        </w:rPr>
        <w:t>N</w:t>
      </w:r>
      <w:proofErr w:type="spellEnd"/>
      <w:r>
        <w:rPr>
          <w:sz w:val="18"/>
          <w:szCs w:val="18"/>
        </w:rPr>
        <w:t xml:space="preserve"> Broker Point Premium. </w:t>
      </w:r>
    </w:p>
    <w:p w14:paraId="5CA600C4" w14:textId="77777777" w:rsidR="00211818" w:rsidRDefault="00000000">
      <w:pPr>
        <w:pStyle w:val="Nadpis3"/>
        <w:rPr>
          <w:sz w:val="22"/>
          <w:szCs w:val="22"/>
        </w:rPr>
      </w:pPr>
      <w:bookmarkStart w:id="2" w:name="_heading=h.y5cqlwaobvsv" w:colFirst="0" w:colLast="0"/>
      <w:bookmarkEnd w:id="2"/>
      <w:r>
        <w:rPr>
          <w:sz w:val="22"/>
          <w:szCs w:val="22"/>
        </w:rPr>
        <w:t>Kontakt pro média:</w:t>
      </w:r>
    </w:p>
    <w:p w14:paraId="67784900" w14:textId="77777777" w:rsidR="00211818" w:rsidRDefault="00000000">
      <w:pPr>
        <w:widowControl w:val="0"/>
        <w:spacing w:line="240" w:lineRule="auto"/>
        <w:jc w:val="both"/>
        <w:rPr>
          <w:sz w:val="16"/>
          <w:szCs w:val="16"/>
        </w:rPr>
      </w:pPr>
      <w:r>
        <w:rPr>
          <w:sz w:val="16"/>
          <w:szCs w:val="16"/>
        </w:rPr>
        <w:t>Ondřej Lukáš</w:t>
      </w:r>
    </w:p>
    <w:p w14:paraId="0C957120" w14:textId="77777777" w:rsidR="00211818" w:rsidRDefault="00000000">
      <w:pPr>
        <w:spacing w:line="240" w:lineRule="auto"/>
        <w:jc w:val="both"/>
        <w:rPr>
          <w:sz w:val="16"/>
          <w:szCs w:val="16"/>
        </w:rPr>
      </w:pPr>
      <w:r>
        <w:rPr>
          <w:sz w:val="16"/>
          <w:szCs w:val="16"/>
        </w:rPr>
        <w:t>Insighters, s. r. o.</w:t>
      </w:r>
    </w:p>
    <w:p w14:paraId="5C219038" w14:textId="77777777" w:rsidR="00211818" w:rsidRDefault="00000000">
      <w:pPr>
        <w:spacing w:line="240" w:lineRule="auto"/>
        <w:jc w:val="both"/>
        <w:rPr>
          <w:sz w:val="17"/>
          <w:szCs w:val="17"/>
        </w:rPr>
      </w:pPr>
      <w:r>
        <w:rPr>
          <w:sz w:val="17"/>
          <w:szCs w:val="17"/>
        </w:rPr>
        <w:t>Mobil: +420 776 186 529</w:t>
      </w:r>
    </w:p>
    <w:p w14:paraId="0EA6AC02" w14:textId="77777777" w:rsidR="00211818" w:rsidRDefault="00000000">
      <w:pPr>
        <w:spacing w:line="240" w:lineRule="auto"/>
        <w:jc w:val="both"/>
        <w:rPr>
          <w:sz w:val="18"/>
          <w:szCs w:val="18"/>
        </w:rPr>
      </w:pPr>
      <w:r>
        <w:rPr>
          <w:sz w:val="17"/>
          <w:szCs w:val="17"/>
        </w:rPr>
        <w:t xml:space="preserve">e-mail: </w:t>
      </w:r>
      <w:hyperlink r:id="rId14">
        <w:r>
          <w:rPr>
            <w:color w:val="0000FF"/>
            <w:sz w:val="17"/>
            <w:szCs w:val="17"/>
            <w:u w:val="single"/>
          </w:rPr>
          <w:t>ondrej.lukas@insighters.cz</w:t>
        </w:r>
      </w:hyperlink>
      <w:r>
        <w:rPr>
          <w:sz w:val="17"/>
          <w:szCs w:val="17"/>
        </w:rPr>
        <w:t xml:space="preserve"> </w:t>
      </w:r>
    </w:p>
    <w:sectPr w:rsidR="00211818">
      <w:headerReference w:type="default" r:id="rId15"/>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6642F" w14:textId="77777777" w:rsidR="004A392D" w:rsidRDefault="004A392D">
      <w:pPr>
        <w:spacing w:line="240" w:lineRule="auto"/>
      </w:pPr>
      <w:r>
        <w:separator/>
      </w:r>
    </w:p>
  </w:endnote>
  <w:endnote w:type="continuationSeparator" w:id="0">
    <w:p w14:paraId="2B66C37A" w14:textId="77777777" w:rsidR="004A392D" w:rsidRDefault="004A39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6957B30F-1F65-4A9D-8129-2507E3320700}"/>
    <w:embedBold r:id="rId2" w:fontKey="{50010F47-1AF2-47C3-B3F1-E1C00496ACF8}"/>
  </w:font>
  <w:font w:name="Cambria">
    <w:panose1 w:val="02040503050406030204"/>
    <w:charset w:val="EE"/>
    <w:family w:val="roman"/>
    <w:pitch w:val="variable"/>
    <w:sig w:usb0="E00006FF" w:usb1="420024FF" w:usb2="02000000" w:usb3="00000000" w:csb0="0000019F" w:csb1="00000000"/>
    <w:embedRegular r:id="rId3" w:fontKey="{CAC8CD65-4AD9-464C-8E51-34297E2C783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E0D53" w14:textId="77777777" w:rsidR="004A392D" w:rsidRDefault="004A392D">
      <w:pPr>
        <w:spacing w:line="240" w:lineRule="auto"/>
      </w:pPr>
      <w:r>
        <w:separator/>
      </w:r>
    </w:p>
  </w:footnote>
  <w:footnote w:type="continuationSeparator" w:id="0">
    <w:p w14:paraId="15F6AB86" w14:textId="77777777" w:rsidR="004A392D" w:rsidRDefault="004A39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998E" w14:textId="77777777" w:rsidR="00211818" w:rsidRDefault="00000000">
    <w:r>
      <w:rPr>
        <w:noProof/>
      </w:rPr>
      <w:drawing>
        <wp:inline distT="114300" distB="114300" distL="114300" distR="114300" wp14:anchorId="0F211635" wp14:editId="035D9A7E">
          <wp:extent cx="1879038" cy="96678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79038" cy="966788"/>
                  </a:xfrm>
                  <a:prstGeom prst="rect">
                    <a:avLst/>
                  </a:prstGeom>
                  <a:ln/>
                </pic:spPr>
              </pic:pic>
            </a:graphicData>
          </a:graphic>
        </wp:inline>
      </w:drawing>
    </w:r>
  </w:p>
  <w:p w14:paraId="085DD96C" w14:textId="77777777" w:rsidR="00211818" w:rsidRDefault="002118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18"/>
    <w:rsid w:val="00211818"/>
    <w:rsid w:val="00376A27"/>
    <w:rsid w:val="004A392D"/>
    <w:rsid w:val="00667A09"/>
    <w:rsid w:val="00D37DFD"/>
    <w:rsid w:val="00DD5848"/>
    <w:rsid w:val="00E83B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0E0BA"/>
  <w15:docId w15:val="{98A9AF9D-FBC9-449A-AC69-346384C09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unhideWhenUsed/>
    <w:qFormat/>
    <w:pPr>
      <w:keepNext/>
      <w:keepLines/>
      <w:spacing w:before="360" w:after="120"/>
      <w:jc w:val="both"/>
      <w:outlineLvl w:val="1"/>
    </w:pPr>
    <w:rPr>
      <w:b/>
      <w:bCs/>
    </w:rPr>
  </w:style>
  <w:style w:type="paragraph" w:styleId="Nadpis3">
    <w:name w:val="heading 3"/>
    <w:basedOn w:val="Normln"/>
    <w:next w:val="Normln"/>
    <w:uiPriority w:val="9"/>
    <w:unhideWhenUsed/>
    <w:qFormat/>
    <w:pPr>
      <w:keepNext/>
      <w:keepLines/>
      <w:spacing w:before="280" w:after="80"/>
      <w:jc w:val="both"/>
      <w:outlineLvl w:val="2"/>
    </w:pPr>
    <w:rPr>
      <w:b/>
      <w:bCs/>
      <w:sz w:val="24"/>
      <w:szCs w:val="24"/>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iCs/>
      <w:color w:val="66666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after="60"/>
      <w:jc w:val="both"/>
    </w:pPr>
    <w:rPr>
      <w:b/>
      <w:bCs/>
      <w:color w:val="CC0000"/>
      <w:sz w:val="48"/>
      <w:szCs w:val="48"/>
    </w:rPr>
  </w:style>
  <w:style w:type="table" w:customStyle="1" w:styleId="TableNormal0">
    <w:name w:val="TableNormal"/>
    <w:tblPr>
      <w:tblCellMar>
        <w:top w:w="100" w:type="dxa"/>
        <w:left w:w="100" w:type="dxa"/>
        <w:bottom w:w="100" w:type="dxa"/>
        <w:right w:w="100" w:type="dxa"/>
      </w:tblCellMar>
    </w:tblPr>
  </w:style>
  <w:style w:type="paragraph" w:styleId="Odstavecseseznamem">
    <w:name w:val="List Paragraph"/>
    <w:uiPriority w:val="34"/>
    <w:qFormat/>
    <w:rsid w:val="00914188"/>
    <w:pPr>
      <w:ind w:left="720"/>
      <w:contextualSpacing/>
    </w:pPr>
  </w:style>
  <w:style w:type="paragraph" w:styleId="Revize">
    <w:name w:val="Revision"/>
    <w:hidden/>
    <w:uiPriority w:val="99"/>
    <w:semiHidden/>
    <w:rsid w:val="00496EBD"/>
    <w:pPr>
      <w:spacing w:line="240" w:lineRule="auto"/>
    </w:pPr>
  </w:style>
  <w:style w:type="character" w:styleId="Odkaznakoment">
    <w:name w:val="annotation reference"/>
    <w:basedOn w:val="Standardnpsmoodstavce"/>
    <w:uiPriority w:val="99"/>
    <w:semiHidden/>
    <w:unhideWhenUsed/>
    <w:rsid w:val="00496EBD"/>
    <w:rPr>
      <w:sz w:val="16"/>
      <w:szCs w:val="16"/>
    </w:rPr>
  </w:style>
  <w:style w:type="paragraph" w:styleId="Textkomente">
    <w:name w:val="annotation text"/>
    <w:link w:val="TextkomenteChar"/>
    <w:uiPriority w:val="99"/>
    <w:unhideWhenUsed/>
    <w:rsid w:val="00496EBD"/>
    <w:pPr>
      <w:spacing w:line="240" w:lineRule="auto"/>
    </w:pPr>
    <w:rPr>
      <w:sz w:val="20"/>
      <w:szCs w:val="20"/>
    </w:rPr>
  </w:style>
  <w:style w:type="character" w:customStyle="1" w:styleId="TextkomenteChar">
    <w:name w:val="Text komentáře Char"/>
    <w:basedOn w:val="Standardnpsmoodstavce"/>
    <w:link w:val="Textkomente"/>
    <w:uiPriority w:val="99"/>
    <w:rsid w:val="00496EBD"/>
    <w:rPr>
      <w:sz w:val="20"/>
      <w:szCs w:val="20"/>
    </w:rPr>
  </w:style>
  <w:style w:type="paragraph" w:styleId="Pedmtkomente">
    <w:name w:val="annotation subject"/>
    <w:basedOn w:val="Textkomente"/>
    <w:next w:val="Textkomente"/>
    <w:link w:val="PedmtkomenteChar"/>
    <w:uiPriority w:val="99"/>
    <w:semiHidden/>
    <w:unhideWhenUsed/>
    <w:rsid w:val="00496EBD"/>
    <w:rPr>
      <w:b/>
      <w:bCs/>
    </w:rPr>
  </w:style>
  <w:style w:type="character" w:customStyle="1" w:styleId="PedmtkomenteChar">
    <w:name w:val="Předmět komentáře Char"/>
    <w:basedOn w:val="TextkomenteChar"/>
    <w:link w:val="Pedmtkomente"/>
    <w:uiPriority w:val="99"/>
    <w:semiHidden/>
    <w:rsid w:val="00496EBD"/>
    <w:rPr>
      <w:b/>
      <w:bCs/>
      <w:sz w:val="20"/>
      <w:szCs w:val="20"/>
    </w:rPr>
  </w:style>
  <w:style w:type="paragraph" w:styleId="Podnadpis">
    <w:name w:val="Subtitle"/>
    <w:basedOn w:val="Normln"/>
    <w:next w:val="Normln"/>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bcas.cz" TargetMode="External"/><Relationship Id="rId13" Type="http://schemas.openxmlformats.org/officeDocument/2006/relationships/hyperlink" Target="https://www.linkedin.com/company/10668151/" TargetMode="External"/><Relationship Id="rId3" Type="http://schemas.openxmlformats.org/officeDocument/2006/relationships/settings" Target="settings.xml"/><Relationship Id="rId7" Type="http://schemas.openxmlformats.org/officeDocument/2006/relationships/hyperlink" Target="https://www.bcas.cz/o-nas/broker-consulting-index-spotrebitelskych-uveru/" TargetMode="External"/><Relationship Id="rId12" Type="http://schemas.openxmlformats.org/officeDocument/2006/relationships/hyperlink" Target="https://www.facebook.com/okpoin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linkedin.com/company/78654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acebook.com/Broker.Consulting/" TargetMode="External"/><Relationship Id="rId4" Type="http://schemas.openxmlformats.org/officeDocument/2006/relationships/webSettings" Target="webSettings.xml"/><Relationship Id="rId9" Type="http://schemas.openxmlformats.org/officeDocument/2006/relationships/hyperlink" Target="http://www.realityspolu.cz" TargetMode="External"/><Relationship Id="rId14" Type="http://schemas.openxmlformats.org/officeDocument/2006/relationships/hyperlink" Target="mailto:ondrej.lukas@insighters.cz"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36dnGbwFCKiG57xbwT+Cs7pLBw==">CgMxLjAyDmgueGFxY2luM2Z4MG5qMg5oLnZlaHJxdW1hZm04ajIOaC55NWNxbHdhb2J2c3Y4AHIhMUx2a18xaVYwZ2lkck1WVl80OVRNSGRMSmtSX0Q3cDFi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1065</Words>
  <Characters>6284</Characters>
  <Application>Microsoft Office Word</Application>
  <DocSecurity>0</DocSecurity>
  <Lines>52</Lines>
  <Paragraphs>14</Paragraphs>
  <ScaleCrop>false</ScaleCrop>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Insighters</dc:creator>
  <cp:lastModifiedBy>PR 3</cp:lastModifiedBy>
  <cp:revision>2</cp:revision>
  <dcterms:created xsi:type="dcterms:W3CDTF">2026-08-13T06:44:00Z</dcterms:created>
  <dcterms:modified xsi:type="dcterms:W3CDTF">2026-08-13T06:44:00Z</dcterms:modified>
</cp:coreProperties>
</file>