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7A912C88" w14:textId="1D6FBE11" w:rsidR="005A1EE0"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DA68D5">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xml:space="preserve">) </w:t>
      </w:r>
      <w:r w:rsidR="005A1EE0">
        <w:rPr>
          <w:rFonts w:asciiTheme="minorHAnsi" w:hAnsiTheme="minorHAnsi" w:cstheme="minorHAnsi"/>
          <w:sz w:val="20"/>
          <w:szCs w:val="20"/>
        </w:rPr>
        <w:t>na více než 110 obchodních místech pod názvy</w:t>
      </w:r>
      <w:r>
        <w:rPr>
          <w:rFonts w:asciiTheme="minorHAnsi" w:hAnsiTheme="minorHAnsi" w:cstheme="minorHAnsi"/>
          <w:sz w:val="20"/>
          <w:szCs w:val="20"/>
        </w:rPr>
        <w:t xml:space="preserve"> Broker Point Premium</w:t>
      </w:r>
      <w:r w:rsidR="005A1EE0">
        <w:rPr>
          <w:rFonts w:asciiTheme="minorHAnsi" w:hAnsiTheme="minorHAnsi" w:cstheme="minorHAnsi"/>
          <w:sz w:val="20"/>
          <w:szCs w:val="20"/>
        </w:rPr>
        <w:t xml:space="preserve"> nebo Broker Point. Společnost uvedla na český a</w:t>
      </w:r>
      <w:r w:rsidRPr="005B7E46">
        <w:rPr>
          <w:rFonts w:asciiTheme="minorHAnsi" w:hAnsiTheme="minorHAnsi" w:cstheme="minorHAnsi"/>
          <w:sz w:val="20"/>
          <w:szCs w:val="20"/>
        </w:rPr>
        <w:t xml:space="preserve"> slovenský trh řadu inovací. Jednalo se například o investice do otevřených podílových fondů se zamykáním zisků nebo unikátní produkty životního dopojištění, které umožňují pojistit smrt a inv</w:t>
      </w:r>
      <w:r w:rsidR="005A1EE0">
        <w:rPr>
          <w:rFonts w:asciiTheme="minorHAnsi" w:hAnsiTheme="minorHAnsi" w:cstheme="minorHAnsi"/>
          <w:sz w:val="20"/>
          <w:szCs w:val="20"/>
        </w:rPr>
        <w:t>aliditu za zlomek obvyklých cen</w:t>
      </w:r>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9"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0"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1"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2"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712E396C" w14:textId="77777777" w:rsidR="005A1EE0" w:rsidRDefault="005A1EE0" w:rsidP="00E54C6F">
      <w:pPr>
        <w:spacing w:after="120"/>
        <w:jc w:val="center"/>
        <w:rPr>
          <w:rFonts w:asciiTheme="minorHAnsi" w:hAnsiTheme="minorHAnsi" w:cstheme="minorHAnsi"/>
          <w:b/>
          <w:color w:val="000000" w:themeColor="text1"/>
          <w:sz w:val="32"/>
          <w:szCs w:val="32"/>
        </w:rPr>
      </w:pPr>
    </w:p>
    <w:p w14:paraId="754C4A66" w14:textId="4A0D5999" w:rsidR="009E6D78" w:rsidRPr="00791C19" w:rsidRDefault="00A56EAF" w:rsidP="00791C19">
      <w:pPr>
        <w:pStyle w:val="Nadpis1"/>
        <w:jc w:val="center"/>
        <w:rPr>
          <w:rFonts w:asciiTheme="minorHAnsi" w:hAnsiTheme="minorHAnsi" w:cstheme="minorHAnsi"/>
          <w:b/>
          <w:sz w:val="28"/>
          <w:szCs w:val="28"/>
        </w:rPr>
      </w:pPr>
      <w:r w:rsidRPr="00791C19">
        <w:rPr>
          <w:rFonts w:asciiTheme="minorHAnsi" w:hAnsiTheme="minorHAnsi" w:cstheme="minorHAnsi"/>
          <w:b/>
          <w:sz w:val="28"/>
          <w:szCs w:val="28"/>
        </w:rPr>
        <w:lastRenderedPageBreak/>
        <w:t>Začátek roku přinesl mírné navýšení cen povinného ručení</w:t>
      </w:r>
    </w:p>
    <w:p w14:paraId="62C3E588" w14:textId="77777777" w:rsidR="00B15353" w:rsidRPr="00791C19" w:rsidRDefault="00B15353" w:rsidP="00791C19">
      <w:pPr>
        <w:pStyle w:val="Nadpis1"/>
        <w:jc w:val="both"/>
        <w:rPr>
          <w:rFonts w:asciiTheme="minorHAnsi" w:hAnsiTheme="minorHAnsi" w:cstheme="minorHAnsi"/>
          <w:b/>
          <w:color w:val="000000" w:themeColor="text1"/>
          <w:sz w:val="22"/>
          <w:szCs w:val="22"/>
          <w:lang w:val="de-DE"/>
        </w:rPr>
      </w:pPr>
    </w:p>
    <w:p w14:paraId="2BA76716" w14:textId="77777777" w:rsidR="00A56EAF" w:rsidRPr="00791C19" w:rsidRDefault="00A56EAF" w:rsidP="00791C19">
      <w:pPr>
        <w:pStyle w:val="Odstavecseseznamem"/>
        <w:numPr>
          <w:ilvl w:val="0"/>
          <w:numId w:val="24"/>
        </w:numPr>
        <w:ind w:left="357" w:right="40" w:hanging="357"/>
        <w:jc w:val="both"/>
        <w:rPr>
          <w:rFonts w:ascii="Calibri" w:hAnsi="Calibri" w:cs="Calibri"/>
          <w:b/>
          <w:color w:val="000000" w:themeColor="text1"/>
          <w:sz w:val="21"/>
          <w:szCs w:val="21"/>
        </w:rPr>
      </w:pPr>
      <w:r w:rsidRPr="00791C19">
        <w:rPr>
          <w:rFonts w:ascii="Calibri" w:hAnsi="Calibri" w:cs="Calibri"/>
          <w:b/>
          <w:sz w:val="21"/>
          <w:szCs w:val="21"/>
        </w:rPr>
        <w:t>Broker Consulting Index povinného ručení v lednu vzrostl na 7 525 Kč.</w:t>
      </w:r>
    </w:p>
    <w:p w14:paraId="3D36A244" w14:textId="77777777" w:rsidR="00A56EAF" w:rsidRPr="00791C19" w:rsidRDefault="00A56EAF" w:rsidP="00791C19">
      <w:pPr>
        <w:pStyle w:val="Odstavecseseznamem"/>
        <w:numPr>
          <w:ilvl w:val="0"/>
          <w:numId w:val="24"/>
        </w:numPr>
        <w:ind w:left="357" w:right="40" w:hanging="357"/>
        <w:jc w:val="both"/>
        <w:rPr>
          <w:rFonts w:ascii="Calibri" w:hAnsi="Calibri" w:cs="Calibri"/>
          <w:b/>
          <w:color w:val="000000" w:themeColor="text1"/>
          <w:sz w:val="21"/>
          <w:szCs w:val="21"/>
        </w:rPr>
      </w:pPr>
      <w:r w:rsidRPr="00791C19">
        <w:rPr>
          <w:rFonts w:ascii="Calibri" w:hAnsi="Calibri" w:cs="Calibri"/>
          <w:b/>
          <w:sz w:val="21"/>
          <w:szCs w:val="21"/>
        </w:rPr>
        <w:t>Praha se pohybuje na úrovni 8 266 Kč, Benešov dosáhl hodnoty 6 785 Kč.</w:t>
      </w:r>
    </w:p>
    <w:p w14:paraId="631FD780" w14:textId="52165138" w:rsidR="005C6C1D" w:rsidRPr="00791C19" w:rsidRDefault="00A56EAF" w:rsidP="00791C19">
      <w:pPr>
        <w:pStyle w:val="Odstavecseseznamem"/>
        <w:numPr>
          <w:ilvl w:val="0"/>
          <w:numId w:val="24"/>
        </w:numPr>
        <w:ind w:left="357" w:right="40" w:hanging="357"/>
        <w:jc w:val="both"/>
        <w:rPr>
          <w:rFonts w:ascii="Calibri" w:hAnsi="Calibri" w:cs="Calibri"/>
          <w:b/>
          <w:color w:val="000000" w:themeColor="text1"/>
          <w:sz w:val="21"/>
          <w:szCs w:val="21"/>
        </w:rPr>
      </w:pPr>
      <w:r w:rsidRPr="00791C19">
        <w:rPr>
          <w:rFonts w:ascii="Calibri" w:hAnsi="Calibri" w:cs="Calibri"/>
          <w:b/>
          <w:sz w:val="21"/>
          <w:szCs w:val="21"/>
        </w:rPr>
        <w:t>Začátek roku bývá obdobím, kdy se ceny pojištění přirozeně upravují.</w:t>
      </w:r>
    </w:p>
    <w:p w14:paraId="2D77FB76" w14:textId="43771D50" w:rsidR="00A56EAF" w:rsidRPr="00791C19" w:rsidRDefault="0084697B" w:rsidP="00791C19">
      <w:pPr>
        <w:pStyle w:val="Normlnweb"/>
        <w:jc w:val="both"/>
        <w:rPr>
          <w:rFonts w:asciiTheme="minorHAnsi" w:eastAsia="Times New Roman" w:hAnsiTheme="minorHAnsi" w:cstheme="minorHAnsi"/>
          <w:sz w:val="22"/>
          <w:szCs w:val="22"/>
        </w:rPr>
      </w:pPr>
      <w:r>
        <w:rPr>
          <w:rFonts w:asciiTheme="minorHAnsi" w:hAnsiTheme="minorHAnsi" w:cstheme="minorHAnsi"/>
          <w:i/>
          <w:sz w:val="22"/>
          <w:szCs w:val="22"/>
        </w:rPr>
        <w:t>Praha, 23</w:t>
      </w:r>
      <w:bookmarkStart w:id="0" w:name="_GoBack"/>
      <w:bookmarkEnd w:id="0"/>
      <w:r w:rsidR="00791C19">
        <w:rPr>
          <w:rFonts w:asciiTheme="minorHAnsi" w:hAnsiTheme="minorHAnsi" w:cstheme="minorHAnsi"/>
          <w:i/>
          <w:sz w:val="22"/>
          <w:szCs w:val="22"/>
        </w:rPr>
        <w:t>. února 2026</w:t>
      </w:r>
      <w:r w:rsidR="00861492" w:rsidRPr="00791C19">
        <w:rPr>
          <w:rFonts w:asciiTheme="minorHAnsi" w:hAnsiTheme="minorHAnsi" w:cstheme="minorHAnsi"/>
          <w:i/>
          <w:sz w:val="22"/>
          <w:szCs w:val="22"/>
        </w:rPr>
        <w:t xml:space="preserve"> –</w:t>
      </w:r>
      <w:r w:rsidR="00861492" w:rsidRPr="00791C19">
        <w:rPr>
          <w:rFonts w:asciiTheme="minorHAnsi" w:hAnsiTheme="minorHAnsi" w:cstheme="minorHAnsi"/>
          <w:b/>
          <w:sz w:val="22"/>
          <w:szCs w:val="22"/>
        </w:rPr>
        <w:t xml:space="preserve"> </w:t>
      </w:r>
      <w:r w:rsidR="00A56EAF" w:rsidRPr="00791C19">
        <w:rPr>
          <w:rFonts w:asciiTheme="minorHAnsi" w:eastAsia="Times New Roman" w:hAnsiTheme="minorHAnsi" w:cstheme="minorHAnsi"/>
          <w:b/>
          <w:sz w:val="22"/>
          <w:szCs w:val="22"/>
        </w:rPr>
        <w:t>Broker Consulting Index povinného ručení, který pravidelně sleduje vývoj průměrných nákladů na zákonné pojištění vozidel pro řidiče bez pojistné historie, v lednu zaznamenal růst. Průměrná hodnota POVIndexu dosáhla 7 525 korun. Po závěru roku, kdy se ceny vyvíjely stabilně, tak lednová data ukazují na posun směrem nahoru, který je pro toto období typický.</w:t>
      </w:r>
    </w:p>
    <w:p w14:paraId="6EF69A8E" w14:textId="37EA5742" w:rsidR="00A56EAF" w:rsidRPr="00A56EAF" w:rsidRDefault="00A56EAF" w:rsidP="00791C19">
      <w:pPr>
        <w:widowControl/>
        <w:autoSpaceDE/>
        <w:autoSpaceDN/>
        <w:spacing w:before="100" w:beforeAutospacing="1" w:after="100" w:afterAutospacing="1"/>
        <w:jc w:val="both"/>
        <w:rPr>
          <w:rFonts w:asciiTheme="minorHAnsi" w:eastAsia="Times New Roman" w:hAnsiTheme="minorHAnsi" w:cstheme="minorHAnsi"/>
          <w:b/>
          <w:lang w:bidi="ar-SA"/>
        </w:rPr>
      </w:pPr>
      <w:r w:rsidRPr="00A56EAF">
        <w:rPr>
          <w:rFonts w:asciiTheme="minorHAnsi" w:eastAsia="Times New Roman" w:hAnsiTheme="minorHAnsi" w:cstheme="minorHAnsi"/>
          <w:i/>
          <w:lang w:bidi="ar-SA"/>
        </w:rPr>
        <w:t>„Začátek roku bývá tradičně spojený s úpravami sazeb a přeceněním pojistných produktů. Výši povinného ručení ovlivňují mimo jiné náklady na opravy, ceny pr</w:t>
      </w:r>
      <w:r w:rsidR="00791C19">
        <w:rPr>
          <w:rFonts w:asciiTheme="minorHAnsi" w:eastAsia="Times New Roman" w:hAnsiTheme="minorHAnsi" w:cstheme="minorHAnsi"/>
          <w:i/>
          <w:lang w:bidi="ar-SA"/>
        </w:rPr>
        <w:t xml:space="preserve">áce i vývoj cen náhradních dílů, </w:t>
      </w:r>
      <w:r w:rsidRPr="00A56EAF">
        <w:rPr>
          <w:rFonts w:asciiTheme="minorHAnsi" w:eastAsia="Times New Roman" w:hAnsiTheme="minorHAnsi" w:cstheme="minorHAnsi"/>
          <w:i/>
          <w:lang w:bidi="ar-SA"/>
        </w:rPr>
        <w:t xml:space="preserve">“ </w:t>
      </w:r>
      <w:r w:rsidRPr="00A56EAF">
        <w:rPr>
          <w:rFonts w:asciiTheme="minorHAnsi" w:eastAsia="Times New Roman" w:hAnsiTheme="minorHAnsi" w:cstheme="minorHAnsi"/>
          <w:lang w:bidi="ar-SA"/>
        </w:rPr>
        <w:t xml:space="preserve">říká </w:t>
      </w:r>
      <w:r w:rsidRPr="00A56EAF">
        <w:rPr>
          <w:rFonts w:asciiTheme="minorHAnsi" w:eastAsia="Times New Roman" w:hAnsiTheme="minorHAnsi" w:cstheme="minorHAnsi"/>
          <w:b/>
          <w:lang w:bidi="ar-SA"/>
        </w:rPr>
        <w:t>Jiří Váchal, analytik neživotního pojištění společnosti Broker Consulting.</w:t>
      </w:r>
    </w:p>
    <w:p w14:paraId="05943EBD" w14:textId="0700FE59" w:rsidR="00A56EAF" w:rsidRPr="00A56EAF" w:rsidRDefault="00A56EAF" w:rsidP="00791C19">
      <w:pPr>
        <w:widowControl/>
        <w:autoSpaceDE/>
        <w:autoSpaceDN/>
        <w:spacing w:before="100" w:beforeAutospacing="1" w:after="100" w:afterAutospacing="1"/>
        <w:jc w:val="both"/>
        <w:rPr>
          <w:rFonts w:asciiTheme="minorHAnsi" w:eastAsia="Times New Roman" w:hAnsiTheme="minorHAnsi" w:cstheme="minorHAnsi"/>
          <w:lang w:bidi="ar-SA"/>
        </w:rPr>
      </w:pPr>
      <w:r w:rsidRPr="00A56EAF">
        <w:rPr>
          <w:rFonts w:asciiTheme="minorHAnsi" w:eastAsia="Times New Roman" w:hAnsiTheme="minorHAnsi" w:cstheme="minorHAnsi"/>
          <w:lang w:bidi="ar-SA"/>
        </w:rPr>
        <w:t>V</w:t>
      </w:r>
      <w:r w:rsidR="00791C19">
        <w:rPr>
          <w:rFonts w:asciiTheme="minorHAnsi" w:eastAsia="Times New Roman" w:hAnsiTheme="minorHAnsi" w:cstheme="minorHAnsi"/>
          <w:lang w:bidi="ar-SA"/>
        </w:rPr>
        <w:t xml:space="preserve"> Praze dosáhla průměrná hodnota</w:t>
      </w:r>
      <w:r w:rsidRPr="00A56EAF">
        <w:rPr>
          <w:rFonts w:asciiTheme="minorHAnsi" w:eastAsia="Times New Roman" w:hAnsiTheme="minorHAnsi" w:cstheme="minorHAnsi"/>
          <w:lang w:bidi="ar-SA"/>
        </w:rPr>
        <w:t xml:space="preserve"> povinného ručení v lednu hodnoty 8 266 korun. Ve středočesk</w:t>
      </w:r>
      <w:r w:rsidR="00791C19">
        <w:rPr>
          <w:rFonts w:asciiTheme="minorHAnsi" w:eastAsia="Times New Roman" w:hAnsiTheme="minorHAnsi" w:cstheme="minorHAnsi"/>
          <w:lang w:bidi="ar-SA"/>
        </w:rPr>
        <w:t xml:space="preserve">ém Benešově pak činila </w:t>
      </w:r>
      <w:r w:rsidRPr="00A56EAF">
        <w:rPr>
          <w:rFonts w:asciiTheme="minorHAnsi" w:eastAsia="Times New Roman" w:hAnsiTheme="minorHAnsi" w:cstheme="minorHAnsi"/>
          <w:lang w:bidi="ar-SA"/>
        </w:rPr>
        <w:t xml:space="preserve"> 6 785 korun. </w:t>
      </w:r>
      <w:r w:rsidRPr="00791C19">
        <w:rPr>
          <w:rFonts w:asciiTheme="minorHAnsi" w:eastAsia="Times New Roman" w:hAnsiTheme="minorHAnsi" w:cstheme="minorHAnsi"/>
          <w:i/>
          <w:lang w:bidi="ar-SA"/>
        </w:rPr>
        <w:t>„</w:t>
      </w:r>
      <w:r w:rsidRPr="00791C19">
        <w:rPr>
          <w:rFonts w:asciiTheme="minorHAnsi" w:hAnsiTheme="minorHAnsi" w:cstheme="minorHAnsi"/>
          <w:i/>
        </w:rPr>
        <w:t xml:space="preserve">Hlavní město zůstává regionem s nejvyššími náklady na zákonné pojištění vozidel, což dlouhodobě odpovídá vyšší hustotě provozu i většímu riziku pojistných událostí,“ </w:t>
      </w:r>
      <w:r w:rsidRPr="00791C19">
        <w:rPr>
          <w:rFonts w:asciiTheme="minorHAnsi" w:hAnsiTheme="minorHAnsi" w:cstheme="minorHAnsi"/>
        </w:rPr>
        <w:t xml:space="preserve">dodává </w:t>
      </w:r>
      <w:r w:rsidRPr="00791C19">
        <w:rPr>
          <w:rFonts w:asciiTheme="minorHAnsi" w:hAnsiTheme="minorHAnsi" w:cstheme="minorHAnsi"/>
          <w:b/>
        </w:rPr>
        <w:t>Jiří Váchal.</w:t>
      </w:r>
    </w:p>
    <w:p w14:paraId="23378399" w14:textId="1EAECC03" w:rsidR="00A56EAF" w:rsidRPr="00A56EAF" w:rsidRDefault="00A56EAF" w:rsidP="00791C19">
      <w:pPr>
        <w:widowControl/>
        <w:autoSpaceDE/>
        <w:autoSpaceDN/>
        <w:spacing w:before="100" w:beforeAutospacing="1" w:after="100" w:afterAutospacing="1"/>
        <w:jc w:val="both"/>
        <w:rPr>
          <w:rFonts w:asciiTheme="minorHAnsi" w:eastAsia="Times New Roman" w:hAnsiTheme="minorHAnsi" w:cstheme="minorHAnsi"/>
          <w:lang w:bidi="ar-SA"/>
        </w:rPr>
      </w:pPr>
      <w:r w:rsidRPr="00A56EAF">
        <w:rPr>
          <w:rFonts w:asciiTheme="minorHAnsi" w:eastAsia="Times New Roman" w:hAnsiTheme="minorHAnsi" w:cstheme="minorHAnsi"/>
          <w:lang w:bidi="ar-SA"/>
        </w:rPr>
        <w:t>Z pohledu posledních let je patrné, že povinné ručení vykazuje pozvolný růst.</w:t>
      </w:r>
      <w:r w:rsidR="00471C27" w:rsidRPr="00791C19">
        <w:rPr>
          <w:rFonts w:asciiTheme="minorHAnsi" w:hAnsiTheme="minorHAnsi" w:cstheme="minorHAnsi"/>
        </w:rPr>
        <w:t xml:space="preserve"> V lednu 2022 činila průměrná hodnota povinného ručení 6 522 korun, o rok později 6 735 korun a v roce 2024 dosáhla 7 023 korun. Loni v lednu už Index ukazoval 7 690 korun.</w:t>
      </w:r>
      <w:r w:rsidRPr="00A56EAF">
        <w:rPr>
          <w:rFonts w:asciiTheme="minorHAnsi" w:eastAsia="Times New Roman" w:hAnsiTheme="minorHAnsi" w:cstheme="minorHAnsi"/>
          <w:lang w:bidi="ar-SA"/>
        </w:rPr>
        <w:t xml:space="preserve"> Ten</w:t>
      </w:r>
      <w:r w:rsidR="00471C27" w:rsidRPr="00791C19">
        <w:rPr>
          <w:rFonts w:asciiTheme="minorHAnsi" w:eastAsia="Times New Roman" w:hAnsiTheme="minorHAnsi" w:cstheme="minorHAnsi"/>
          <w:lang w:bidi="ar-SA"/>
        </w:rPr>
        <w:t>to vývoj</w:t>
      </w:r>
      <w:r w:rsidRPr="00A56EAF">
        <w:rPr>
          <w:rFonts w:asciiTheme="minorHAnsi" w:eastAsia="Times New Roman" w:hAnsiTheme="minorHAnsi" w:cstheme="minorHAnsi"/>
          <w:lang w:bidi="ar-SA"/>
        </w:rPr>
        <w:t xml:space="preserve"> souvisí především s celkovým vývojem nákladů v automobilovém sektoru a s tím, že opravy vozidel jsou stále technologicky náročnější</w:t>
      </w:r>
      <w:r w:rsidRPr="00791C19">
        <w:rPr>
          <w:rFonts w:asciiTheme="minorHAnsi" w:hAnsiTheme="minorHAnsi" w:cstheme="minorHAnsi"/>
        </w:rPr>
        <w:t xml:space="preserve">. </w:t>
      </w:r>
    </w:p>
    <w:p w14:paraId="7E0A08B1" w14:textId="4B5CFA66" w:rsidR="00A56EAF" w:rsidRPr="00A56EAF" w:rsidRDefault="00522927" w:rsidP="00A56EAF">
      <w:pPr>
        <w:widowControl/>
        <w:autoSpaceDE/>
        <w:autoSpaceDN/>
        <w:spacing w:before="100" w:beforeAutospacing="1" w:after="100" w:afterAutospacing="1"/>
        <w:jc w:val="both"/>
        <w:rPr>
          <w:rFonts w:asciiTheme="minorHAnsi" w:hAnsiTheme="minorHAnsi" w:cstheme="minorHAnsi"/>
          <w:b/>
        </w:rPr>
      </w:pPr>
      <w:r>
        <w:rPr>
          <w:rFonts w:asciiTheme="minorHAnsi" w:hAnsiTheme="minorHAnsi" w:cstheme="minorHAnsi"/>
          <w:b/>
          <w:noProof/>
          <w:lang w:bidi="ar-SA"/>
        </w:rPr>
        <w:drawing>
          <wp:inline distT="0" distB="0" distL="0" distR="0" wp14:anchorId="48FEF8A4" wp14:editId="69EC2108">
            <wp:extent cx="6654165" cy="298577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 k vývoji.png"/>
                    <pic:cNvPicPr/>
                  </pic:nvPicPr>
                  <pic:blipFill>
                    <a:blip r:embed="rId13">
                      <a:extLst>
                        <a:ext uri="{28A0092B-C50C-407E-A947-70E740481C1C}">
                          <a14:useLocalDpi xmlns:a14="http://schemas.microsoft.com/office/drawing/2010/main" val="0"/>
                        </a:ext>
                      </a:extLst>
                    </a:blip>
                    <a:stretch>
                      <a:fillRect/>
                    </a:stretch>
                  </pic:blipFill>
                  <pic:spPr>
                    <a:xfrm>
                      <a:off x="0" y="0"/>
                      <a:ext cx="6654165" cy="2985770"/>
                    </a:xfrm>
                    <a:prstGeom prst="rect">
                      <a:avLst/>
                    </a:prstGeom>
                  </pic:spPr>
                </pic:pic>
              </a:graphicData>
            </a:graphic>
          </wp:inline>
        </w:drawing>
      </w:r>
    </w:p>
    <w:p w14:paraId="3C7A82F8" w14:textId="77777777" w:rsidR="00791C19" w:rsidRDefault="00522927" w:rsidP="00791C19">
      <w:pPr>
        <w:pStyle w:val="Nadpis2"/>
        <w:ind w:left="0"/>
        <w:rPr>
          <w:rFonts w:asciiTheme="minorHAnsi" w:hAnsiTheme="minorHAnsi" w:cstheme="minorHAnsi"/>
          <w:b/>
          <w:sz w:val="24"/>
          <w:szCs w:val="24"/>
        </w:rPr>
      </w:pPr>
      <w:r w:rsidRPr="00791C19">
        <w:rPr>
          <w:rFonts w:asciiTheme="minorHAnsi" w:hAnsiTheme="minorHAnsi" w:cstheme="minorHAnsi"/>
          <w:b/>
          <w:sz w:val="24"/>
          <w:szCs w:val="24"/>
        </w:rPr>
        <w:t>Autem do zahraničí: na co myslet před odjezdem</w:t>
      </w:r>
    </w:p>
    <w:p w14:paraId="3AFD850C" w14:textId="6FE19769" w:rsidR="00522927" w:rsidRPr="00791C19" w:rsidRDefault="00522927" w:rsidP="00791C19">
      <w:pPr>
        <w:pStyle w:val="Nadpis2"/>
        <w:ind w:left="0"/>
        <w:rPr>
          <w:rFonts w:asciiTheme="minorHAnsi" w:eastAsia="Times New Roman" w:hAnsiTheme="minorHAnsi" w:cstheme="minorHAnsi"/>
          <w:b/>
          <w:sz w:val="24"/>
          <w:szCs w:val="24"/>
          <w:lang w:bidi="ar-SA"/>
        </w:rPr>
      </w:pPr>
      <w:r w:rsidRPr="00791C19">
        <w:rPr>
          <w:rFonts w:ascii="Calibri" w:hAnsi="Calibri" w:cs="Calibri"/>
          <w:sz w:val="22"/>
          <w:szCs w:val="22"/>
        </w:rPr>
        <w:t xml:space="preserve">Cesta autem na zimní dovolenou patří pro mnoho rodin k tradičním začátkům roku. Vedle kontroly technického stavu </w:t>
      </w:r>
      <w:r w:rsidRPr="00791C19">
        <w:rPr>
          <w:rFonts w:ascii="Calibri" w:hAnsi="Calibri" w:cs="Calibri"/>
          <w:sz w:val="22"/>
          <w:szCs w:val="22"/>
        </w:rPr>
        <w:lastRenderedPageBreak/>
        <w:t>vozu je ale vhodné věnovat pozornost také nastavení pojištění. Povinné ručení je sice zákonnou nutností, jeho rozsah má však své hranice a nemusí pokrýt všechny situace, které mohou na cestách nastat.</w:t>
      </w:r>
    </w:p>
    <w:p w14:paraId="2AE5E8AA" w14:textId="77777777" w:rsidR="00522927" w:rsidRPr="00791C19" w:rsidRDefault="00522927" w:rsidP="00791C19">
      <w:pPr>
        <w:pStyle w:val="Normlnweb"/>
        <w:jc w:val="both"/>
        <w:rPr>
          <w:rFonts w:ascii="Calibri" w:hAnsi="Calibri" w:cs="Calibri"/>
          <w:sz w:val="22"/>
          <w:szCs w:val="22"/>
        </w:rPr>
      </w:pPr>
      <w:r w:rsidRPr="00791C19">
        <w:rPr>
          <w:rFonts w:ascii="Calibri" w:hAnsi="Calibri" w:cs="Calibri"/>
          <w:sz w:val="22"/>
          <w:szCs w:val="22"/>
        </w:rPr>
        <w:t>Povinné ručení řeší škody způsobené třetím osobám, tedy například poškození cizího vozidla nebo újmu na zdraví. Škody na vlastním vozidle už ale kryje pouze havarijní pojištění. Právě při delších cestách do zahraničí se proto vyplatí ověřit nejen platnost smlouvy, ale i rozsah asistenčních služeb, limity odtahu nebo podmínky opravy vozidla mimo Českou republiku.</w:t>
      </w:r>
    </w:p>
    <w:p w14:paraId="511B8A4A" w14:textId="1189AFA5" w:rsidR="00522927" w:rsidRPr="00791C19" w:rsidRDefault="00522927" w:rsidP="00791C19">
      <w:pPr>
        <w:pStyle w:val="Normlnweb"/>
        <w:jc w:val="both"/>
        <w:rPr>
          <w:rFonts w:ascii="Calibri" w:hAnsi="Calibri" w:cs="Calibri"/>
          <w:b/>
          <w:sz w:val="22"/>
          <w:szCs w:val="22"/>
        </w:rPr>
      </w:pPr>
      <w:r w:rsidRPr="00791C19">
        <w:rPr>
          <w:rFonts w:ascii="Calibri" w:hAnsi="Calibri" w:cs="Calibri"/>
          <w:i/>
          <w:sz w:val="22"/>
          <w:szCs w:val="22"/>
        </w:rPr>
        <w:t>„Řidiči často před cestou řeší dálniční známky nebo povinnou výbavu, na detaily pojištění ale někdy zapomenou. Přitom právě dostupnost asistence, správně nastavené limity nebo pojištění odpovědnosti v rámci cestovního pojištění mohou výrazně usnadnit řešení případné komplikace,“</w:t>
      </w:r>
      <w:r w:rsidRPr="00791C19">
        <w:rPr>
          <w:rFonts w:ascii="Calibri" w:hAnsi="Calibri" w:cs="Calibri"/>
          <w:sz w:val="22"/>
          <w:szCs w:val="22"/>
        </w:rPr>
        <w:t xml:space="preserve"> říká </w:t>
      </w:r>
      <w:r w:rsidRPr="00791C19">
        <w:rPr>
          <w:rFonts w:ascii="Calibri" w:hAnsi="Calibri" w:cs="Calibri"/>
          <w:b/>
          <w:sz w:val="22"/>
          <w:szCs w:val="22"/>
        </w:rPr>
        <w:t>Jiří Váchal, analytik neživotního pojištění společnosti Broker Consulting.</w:t>
      </w:r>
    </w:p>
    <w:p w14:paraId="6A240FA0" w14:textId="68EDEA25" w:rsidR="00791C19" w:rsidRPr="00791C19" w:rsidRDefault="00791C19" w:rsidP="00791C19">
      <w:pPr>
        <w:pStyle w:val="Normlnweb"/>
        <w:jc w:val="both"/>
        <w:rPr>
          <w:rFonts w:ascii="Calibri" w:hAnsi="Calibri" w:cs="Calibri"/>
          <w:sz w:val="22"/>
          <w:szCs w:val="22"/>
        </w:rPr>
      </w:pPr>
      <w:r w:rsidRPr="00791C19">
        <w:rPr>
          <w:rFonts w:ascii="Calibri" w:hAnsi="Calibri" w:cs="Calibri"/>
          <w:sz w:val="22"/>
          <w:szCs w:val="22"/>
        </w:rPr>
        <w:t xml:space="preserve">Při cestě do zahraničí se vyplatí mít po ruce také zelenou kartu jako doklad o pojištění. Stejně tak je dobré vědět, jaké krytí máte sjednané a kam se v případě potřeby obrátit. </w:t>
      </w:r>
    </w:p>
    <w:p w14:paraId="4E7F8CBF" w14:textId="77777777" w:rsidR="00B20F7B" w:rsidRPr="00AD79CC" w:rsidRDefault="00B20F7B" w:rsidP="00342E0B">
      <w:pPr>
        <w:pBdr>
          <w:top w:val="single" w:sz="4" w:space="1" w:color="auto"/>
        </w:pBdr>
        <w:spacing w:before="120"/>
        <w:jc w:val="both"/>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342E0B">
      <w:pPr>
        <w:pStyle w:val="Zkladntext"/>
        <w:spacing w:before="240" w:line="237" w:lineRule="auto"/>
        <w:jc w:val="both"/>
        <w:rPr>
          <w:rFonts w:asciiTheme="minorHAnsi" w:hAnsiTheme="minorHAnsi" w:cstheme="minorHAnsi"/>
          <w:sz w:val="21"/>
          <w:szCs w:val="21"/>
        </w:rPr>
      </w:pPr>
      <w:r w:rsidRPr="00AD79CC">
        <w:rPr>
          <w:rFonts w:asciiTheme="minorHAnsi" w:hAnsiTheme="minorHAnsi" w:cstheme="minorHAnsi"/>
          <w:b/>
          <w:sz w:val="21"/>
          <w:szCs w:val="21"/>
        </w:rPr>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10097972" w14:textId="6F8C2698" w:rsidR="00342E0B" w:rsidRDefault="00B24DBE" w:rsidP="00AD2933">
      <w:pPr>
        <w:rPr>
          <w:rFonts w:asciiTheme="minorHAnsi" w:hAnsiTheme="minorHAnsi" w:cstheme="minorHAnsi"/>
          <w:color w:val="1D1D1B"/>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hyperlink r:id="rId14" w:history="1">
        <w:r w:rsidR="00342E0B" w:rsidRPr="00C3366E">
          <w:rPr>
            <w:rStyle w:val="Hypertextovodkaz"/>
            <w:rFonts w:asciiTheme="minorHAnsi" w:hAnsiTheme="minorHAnsi" w:cstheme="minorHAnsi"/>
            <w:w w:val="105"/>
            <w:sz w:val="21"/>
            <w:szCs w:val="21"/>
          </w:rPr>
          <w:t>https://bcas.cz/pro-media/detail-indexu-broker-consulting-povindex</w:t>
        </w:r>
      </w:hyperlink>
    </w:p>
    <w:p w14:paraId="6C52618D" w14:textId="64258FC6" w:rsidR="00B24DBE" w:rsidRPr="00AD79CC" w:rsidRDefault="00BB27FC" w:rsidP="00AD2933">
      <w:pPr>
        <w:rPr>
          <w:rStyle w:val="Hypertextovodkaz"/>
          <w:rFonts w:asciiTheme="minorHAnsi" w:hAnsiTheme="minorHAnsi" w:cstheme="minorHAnsi"/>
          <w:w w:val="105"/>
          <w:sz w:val="21"/>
          <w:szCs w:val="21"/>
        </w:rPr>
      </w:pPr>
      <w:r w:rsidRPr="00AD79CC">
        <w:rPr>
          <w:rFonts w:asciiTheme="minorHAnsi" w:hAnsiTheme="minorHAnsi" w:cstheme="minorHAnsi"/>
          <w:b/>
          <w:i/>
          <w:w w:val="105"/>
          <w:sz w:val="21"/>
          <w:szCs w:val="21"/>
        </w:rPr>
        <w:fldChar w:fldCharType="begin"/>
      </w:r>
      <w:r w:rsidRPr="00AD79CC">
        <w:rPr>
          <w:rFonts w:asciiTheme="minorHAnsi" w:hAnsiTheme="minorHAnsi" w:cstheme="minorHAnsi"/>
          <w:b/>
          <w:i/>
          <w:w w:val="105"/>
          <w:sz w:val="21"/>
          <w:szCs w:val="21"/>
        </w:rPr>
        <w:instrText xml:space="preserve"> HYPERLINK "https://www.bcas.cz/o-nas/broker-consulting-povindex/" </w:instrText>
      </w:r>
      <w:r w:rsidRPr="00AD79CC">
        <w:rPr>
          <w:rFonts w:asciiTheme="minorHAnsi" w:hAnsiTheme="minorHAnsi" w:cstheme="minorHAnsi"/>
          <w:b/>
          <w:i/>
          <w:w w:val="105"/>
          <w:sz w:val="21"/>
          <w:szCs w:val="21"/>
        </w:rPr>
        <w:fldChar w:fldCharType="separate"/>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5"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6"/>
      <w:footerReference w:type="default" r:id="rId17"/>
      <w:headerReference w:type="first" r:id="rId18"/>
      <w:footerReference w:type="first" r:id="rId19"/>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A033E" w14:textId="77777777" w:rsidR="00FC0728" w:rsidRDefault="00FC0728">
      <w:r>
        <w:separator/>
      </w:r>
    </w:p>
  </w:endnote>
  <w:endnote w:type="continuationSeparator" w:id="0">
    <w:p w14:paraId="09A4F449" w14:textId="77777777" w:rsidR="00FC0728" w:rsidRDefault="00FC0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6BFD9948"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84697B">
          <w:rPr>
            <w:rFonts w:asciiTheme="minorHAnsi" w:hAnsiTheme="minorHAnsi" w:cstheme="minorHAnsi"/>
            <w:noProof/>
            <w:sz w:val="20"/>
            <w:szCs w:val="20"/>
          </w:rPr>
          <w:t>2</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FC0728">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9F104" w14:textId="77777777" w:rsidR="00FC0728" w:rsidRDefault="00FC0728">
      <w:r>
        <w:separator/>
      </w:r>
    </w:p>
  </w:footnote>
  <w:footnote w:type="continuationSeparator" w:id="0">
    <w:p w14:paraId="15AE3016" w14:textId="77777777" w:rsidR="00FC0728" w:rsidRDefault="00FC0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DC4"/>
    <w:multiLevelType w:val="hybridMultilevel"/>
    <w:tmpl w:val="1A1055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D662D9D"/>
    <w:multiLevelType w:val="multilevel"/>
    <w:tmpl w:val="2A4E4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6"/>
  </w:num>
  <w:num w:numId="4">
    <w:abstractNumId w:val="7"/>
  </w:num>
  <w:num w:numId="5">
    <w:abstractNumId w:val="1"/>
  </w:num>
  <w:num w:numId="6">
    <w:abstractNumId w:val="28"/>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1"/>
  </w:num>
  <w:num w:numId="14">
    <w:abstractNumId w:val="34"/>
  </w:num>
  <w:num w:numId="15">
    <w:abstractNumId w:val="2"/>
  </w:num>
  <w:num w:numId="16">
    <w:abstractNumId w:val="17"/>
  </w:num>
  <w:num w:numId="17">
    <w:abstractNumId w:val="6"/>
  </w:num>
  <w:num w:numId="18">
    <w:abstractNumId w:val="12"/>
  </w:num>
  <w:num w:numId="19">
    <w:abstractNumId w:val="25"/>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9"/>
    <w:lvlOverride w:ilvl="0"/>
    <w:lvlOverride w:ilvl="1">
      <w:startOverride w:val="4"/>
    </w:lvlOverride>
    <w:lvlOverride w:ilvl="2"/>
    <w:lvlOverride w:ilvl="3"/>
    <w:lvlOverride w:ilvl="4"/>
    <w:lvlOverride w:ilvl="5"/>
    <w:lvlOverride w:ilvl="6"/>
    <w:lvlOverride w:ilvl="7"/>
    <w:lvlOverride w:ilvl="8"/>
  </w:num>
  <w:num w:numId="24">
    <w:abstractNumId w:val="27"/>
  </w:num>
  <w:num w:numId="25">
    <w:abstractNumId w:val="20"/>
  </w:num>
  <w:num w:numId="26">
    <w:abstractNumId w:val="23"/>
  </w:num>
  <w:num w:numId="27">
    <w:abstractNumId w:val="0"/>
  </w:num>
  <w:num w:numId="28">
    <w:abstractNumId w:val="31"/>
  </w:num>
  <w:num w:numId="29">
    <w:abstractNumId w:val="27"/>
  </w:num>
  <w:num w:numId="30">
    <w:abstractNumId w:val="33"/>
  </w:num>
  <w:num w:numId="31">
    <w:abstractNumId w:val="4"/>
  </w:num>
  <w:num w:numId="32">
    <w:abstractNumId w:val="19"/>
  </w:num>
  <w:num w:numId="33">
    <w:abstractNumId w:val="32"/>
  </w:num>
  <w:num w:numId="34">
    <w:abstractNumId w:val="35"/>
  </w:num>
  <w:num w:numId="35">
    <w:abstractNumId w:val="22"/>
  </w:num>
  <w:num w:numId="36">
    <w:abstractNumId w:val="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06CE3"/>
    <w:rsid w:val="00010812"/>
    <w:rsid w:val="000118E9"/>
    <w:rsid w:val="00011BB8"/>
    <w:rsid w:val="00011E95"/>
    <w:rsid w:val="00012E2F"/>
    <w:rsid w:val="00014A3B"/>
    <w:rsid w:val="000153FB"/>
    <w:rsid w:val="00015694"/>
    <w:rsid w:val="00016100"/>
    <w:rsid w:val="00024582"/>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3099"/>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47F"/>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3637"/>
    <w:rsid w:val="000A51D0"/>
    <w:rsid w:val="000A6FB0"/>
    <w:rsid w:val="000A7437"/>
    <w:rsid w:val="000A74DD"/>
    <w:rsid w:val="000A77CE"/>
    <w:rsid w:val="000B6053"/>
    <w:rsid w:val="000C1AB4"/>
    <w:rsid w:val="000C1BE2"/>
    <w:rsid w:val="000C32B0"/>
    <w:rsid w:val="000C351D"/>
    <w:rsid w:val="000C38CB"/>
    <w:rsid w:val="000C3C4C"/>
    <w:rsid w:val="000C4DDE"/>
    <w:rsid w:val="000C53D6"/>
    <w:rsid w:val="000C5490"/>
    <w:rsid w:val="000C5B38"/>
    <w:rsid w:val="000C7119"/>
    <w:rsid w:val="000C74BD"/>
    <w:rsid w:val="000C7FAE"/>
    <w:rsid w:val="000D11FB"/>
    <w:rsid w:val="000D133F"/>
    <w:rsid w:val="000D1503"/>
    <w:rsid w:val="000D2044"/>
    <w:rsid w:val="000D2DDE"/>
    <w:rsid w:val="000D333C"/>
    <w:rsid w:val="000D6870"/>
    <w:rsid w:val="000E21D2"/>
    <w:rsid w:val="000E286C"/>
    <w:rsid w:val="000E36C6"/>
    <w:rsid w:val="000E4DDD"/>
    <w:rsid w:val="000E7086"/>
    <w:rsid w:val="000F040D"/>
    <w:rsid w:val="000F1935"/>
    <w:rsid w:val="000F47AE"/>
    <w:rsid w:val="000F56EF"/>
    <w:rsid w:val="000F6249"/>
    <w:rsid w:val="000F7DEE"/>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539C"/>
    <w:rsid w:val="0012713E"/>
    <w:rsid w:val="0013044E"/>
    <w:rsid w:val="00131F7B"/>
    <w:rsid w:val="001338F6"/>
    <w:rsid w:val="00133BFD"/>
    <w:rsid w:val="0013512D"/>
    <w:rsid w:val="00136D21"/>
    <w:rsid w:val="00137003"/>
    <w:rsid w:val="001377A4"/>
    <w:rsid w:val="00137E3C"/>
    <w:rsid w:val="00140DA4"/>
    <w:rsid w:val="00141303"/>
    <w:rsid w:val="001434CE"/>
    <w:rsid w:val="0014388A"/>
    <w:rsid w:val="001449CB"/>
    <w:rsid w:val="00146956"/>
    <w:rsid w:val="00147427"/>
    <w:rsid w:val="00147995"/>
    <w:rsid w:val="00150500"/>
    <w:rsid w:val="00151FD6"/>
    <w:rsid w:val="00152185"/>
    <w:rsid w:val="00152EDC"/>
    <w:rsid w:val="00153161"/>
    <w:rsid w:val="00155667"/>
    <w:rsid w:val="00160060"/>
    <w:rsid w:val="001603AF"/>
    <w:rsid w:val="00164219"/>
    <w:rsid w:val="00165614"/>
    <w:rsid w:val="0016561D"/>
    <w:rsid w:val="001665AA"/>
    <w:rsid w:val="0017117C"/>
    <w:rsid w:val="001722EA"/>
    <w:rsid w:val="001727F8"/>
    <w:rsid w:val="00173C9F"/>
    <w:rsid w:val="00174065"/>
    <w:rsid w:val="00174394"/>
    <w:rsid w:val="00176EF9"/>
    <w:rsid w:val="0017797E"/>
    <w:rsid w:val="00177E6B"/>
    <w:rsid w:val="0018139F"/>
    <w:rsid w:val="00181E9B"/>
    <w:rsid w:val="00182AED"/>
    <w:rsid w:val="00183213"/>
    <w:rsid w:val="001844F8"/>
    <w:rsid w:val="0018541B"/>
    <w:rsid w:val="00186E95"/>
    <w:rsid w:val="00190C04"/>
    <w:rsid w:val="00190E10"/>
    <w:rsid w:val="00193B5D"/>
    <w:rsid w:val="001944E9"/>
    <w:rsid w:val="001945FC"/>
    <w:rsid w:val="00194628"/>
    <w:rsid w:val="00194A47"/>
    <w:rsid w:val="00197408"/>
    <w:rsid w:val="00197411"/>
    <w:rsid w:val="00197AF4"/>
    <w:rsid w:val="00197DE5"/>
    <w:rsid w:val="001A04EE"/>
    <w:rsid w:val="001A210B"/>
    <w:rsid w:val="001A269A"/>
    <w:rsid w:val="001A4DDB"/>
    <w:rsid w:val="001A54DD"/>
    <w:rsid w:val="001A6282"/>
    <w:rsid w:val="001B195D"/>
    <w:rsid w:val="001B1C05"/>
    <w:rsid w:val="001B444A"/>
    <w:rsid w:val="001B4EE4"/>
    <w:rsid w:val="001B5A35"/>
    <w:rsid w:val="001B5D34"/>
    <w:rsid w:val="001B79AC"/>
    <w:rsid w:val="001B7B44"/>
    <w:rsid w:val="001C0941"/>
    <w:rsid w:val="001C4A67"/>
    <w:rsid w:val="001C4C44"/>
    <w:rsid w:val="001D2EF2"/>
    <w:rsid w:val="001D3C90"/>
    <w:rsid w:val="001E1593"/>
    <w:rsid w:val="001E265F"/>
    <w:rsid w:val="001E2B55"/>
    <w:rsid w:val="001E2DCC"/>
    <w:rsid w:val="001E3E63"/>
    <w:rsid w:val="001E4C14"/>
    <w:rsid w:val="001E4D1C"/>
    <w:rsid w:val="001E68DE"/>
    <w:rsid w:val="001F108C"/>
    <w:rsid w:val="001F27AC"/>
    <w:rsid w:val="001F4AE1"/>
    <w:rsid w:val="001F7F2E"/>
    <w:rsid w:val="00200F89"/>
    <w:rsid w:val="002018E9"/>
    <w:rsid w:val="0020191F"/>
    <w:rsid w:val="00202BE8"/>
    <w:rsid w:val="002108A4"/>
    <w:rsid w:val="00211C5C"/>
    <w:rsid w:val="002137BD"/>
    <w:rsid w:val="00214949"/>
    <w:rsid w:val="00214E98"/>
    <w:rsid w:val="00215EF1"/>
    <w:rsid w:val="00215FFE"/>
    <w:rsid w:val="00216985"/>
    <w:rsid w:val="002174D5"/>
    <w:rsid w:val="002234A8"/>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0F71"/>
    <w:rsid w:val="00241313"/>
    <w:rsid w:val="002414C7"/>
    <w:rsid w:val="0024150C"/>
    <w:rsid w:val="00242251"/>
    <w:rsid w:val="00243E38"/>
    <w:rsid w:val="00246661"/>
    <w:rsid w:val="002506AD"/>
    <w:rsid w:val="00251CC1"/>
    <w:rsid w:val="0025264B"/>
    <w:rsid w:val="00253417"/>
    <w:rsid w:val="0025408A"/>
    <w:rsid w:val="00254F1F"/>
    <w:rsid w:val="002555B1"/>
    <w:rsid w:val="00255D9F"/>
    <w:rsid w:val="00255E96"/>
    <w:rsid w:val="00255FAB"/>
    <w:rsid w:val="00256498"/>
    <w:rsid w:val="0026064A"/>
    <w:rsid w:val="002609B2"/>
    <w:rsid w:val="00261C33"/>
    <w:rsid w:val="00261EE7"/>
    <w:rsid w:val="002620DC"/>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96C74"/>
    <w:rsid w:val="002A0C59"/>
    <w:rsid w:val="002A2FB9"/>
    <w:rsid w:val="002A4AC0"/>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2F7D09"/>
    <w:rsid w:val="003009FF"/>
    <w:rsid w:val="00301660"/>
    <w:rsid w:val="00302322"/>
    <w:rsid w:val="00302AE6"/>
    <w:rsid w:val="00303223"/>
    <w:rsid w:val="00303BCE"/>
    <w:rsid w:val="00303C85"/>
    <w:rsid w:val="0030477F"/>
    <w:rsid w:val="003059C9"/>
    <w:rsid w:val="00305EA9"/>
    <w:rsid w:val="00307CEB"/>
    <w:rsid w:val="00307D0F"/>
    <w:rsid w:val="00312311"/>
    <w:rsid w:val="003128F8"/>
    <w:rsid w:val="00317F08"/>
    <w:rsid w:val="003203FF"/>
    <w:rsid w:val="00321026"/>
    <w:rsid w:val="0032274C"/>
    <w:rsid w:val="00322757"/>
    <w:rsid w:val="00322BE1"/>
    <w:rsid w:val="00325CD8"/>
    <w:rsid w:val="00326268"/>
    <w:rsid w:val="00330918"/>
    <w:rsid w:val="0033104C"/>
    <w:rsid w:val="00331193"/>
    <w:rsid w:val="00334CD1"/>
    <w:rsid w:val="003404F4"/>
    <w:rsid w:val="00341A59"/>
    <w:rsid w:val="003428A4"/>
    <w:rsid w:val="00342E0B"/>
    <w:rsid w:val="003434AD"/>
    <w:rsid w:val="003450E1"/>
    <w:rsid w:val="00345D3E"/>
    <w:rsid w:val="003466B5"/>
    <w:rsid w:val="003473B3"/>
    <w:rsid w:val="00347557"/>
    <w:rsid w:val="003504FD"/>
    <w:rsid w:val="003516FF"/>
    <w:rsid w:val="00352433"/>
    <w:rsid w:val="0035286E"/>
    <w:rsid w:val="00352D61"/>
    <w:rsid w:val="00354DBF"/>
    <w:rsid w:val="00356FFC"/>
    <w:rsid w:val="00357D66"/>
    <w:rsid w:val="00361C2E"/>
    <w:rsid w:val="00362251"/>
    <w:rsid w:val="00362A5B"/>
    <w:rsid w:val="00363124"/>
    <w:rsid w:val="0037368D"/>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5CF9"/>
    <w:rsid w:val="003A76E8"/>
    <w:rsid w:val="003A7C59"/>
    <w:rsid w:val="003A7C9A"/>
    <w:rsid w:val="003B08AC"/>
    <w:rsid w:val="003B2C75"/>
    <w:rsid w:val="003B4B9E"/>
    <w:rsid w:val="003B54D9"/>
    <w:rsid w:val="003B612F"/>
    <w:rsid w:val="003B7BFE"/>
    <w:rsid w:val="003C0030"/>
    <w:rsid w:val="003C1497"/>
    <w:rsid w:val="003C42F9"/>
    <w:rsid w:val="003C4D4B"/>
    <w:rsid w:val="003C7C52"/>
    <w:rsid w:val="003D03A6"/>
    <w:rsid w:val="003D07A2"/>
    <w:rsid w:val="003D1AFF"/>
    <w:rsid w:val="003D2590"/>
    <w:rsid w:val="003D2711"/>
    <w:rsid w:val="003D2CAC"/>
    <w:rsid w:val="003D2EF0"/>
    <w:rsid w:val="003D386F"/>
    <w:rsid w:val="003D405C"/>
    <w:rsid w:val="003D43DB"/>
    <w:rsid w:val="003D4C73"/>
    <w:rsid w:val="003D556B"/>
    <w:rsid w:val="003D5718"/>
    <w:rsid w:val="003D653E"/>
    <w:rsid w:val="003E2280"/>
    <w:rsid w:val="003E2ADC"/>
    <w:rsid w:val="003E5948"/>
    <w:rsid w:val="003E5F6E"/>
    <w:rsid w:val="003E601E"/>
    <w:rsid w:val="003F0EA3"/>
    <w:rsid w:val="003F1184"/>
    <w:rsid w:val="003F38E5"/>
    <w:rsid w:val="003F5DCD"/>
    <w:rsid w:val="003F73C3"/>
    <w:rsid w:val="00400126"/>
    <w:rsid w:val="00400F75"/>
    <w:rsid w:val="00401210"/>
    <w:rsid w:val="00402AC6"/>
    <w:rsid w:val="00404CDA"/>
    <w:rsid w:val="00406B06"/>
    <w:rsid w:val="00410BF5"/>
    <w:rsid w:val="0041222E"/>
    <w:rsid w:val="0041224F"/>
    <w:rsid w:val="00412C89"/>
    <w:rsid w:val="004130A2"/>
    <w:rsid w:val="00413446"/>
    <w:rsid w:val="0041452A"/>
    <w:rsid w:val="004151E6"/>
    <w:rsid w:val="00415290"/>
    <w:rsid w:val="00415BA7"/>
    <w:rsid w:val="00416F40"/>
    <w:rsid w:val="00417A8F"/>
    <w:rsid w:val="00417E36"/>
    <w:rsid w:val="00421722"/>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40B"/>
    <w:rsid w:val="00437639"/>
    <w:rsid w:val="004407C2"/>
    <w:rsid w:val="004413A6"/>
    <w:rsid w:val="004418DE"/>
    <w:rsid w:val="00441D22"/>
    <w:rsid w:val="0044467D"/>
    <w:rsid w:val="00444BB9"/>
    <w:rsid w:val="00445D0A"/>
    <w:rsid w:val="00447E56"/>
    <w:rsid w:val="00447F18"/>
    <w:rsid w:val="004504BC"/>
    <w:rsid w:val="00453482"/>
    <w:rsid w:val="00453762"/>
    <w:rsid w:val="00453CFE"/>
    <w:rsid w:val="004560F3"/>
    <w:rsid w:val="004571D6"/>
    <w:rsid w:val="00457E45"/>
    <w:rsid w:val="0046325B"/>
    <w:rsid w:val="00463570"/>
    <w:rsid w:val="00465961"/>
    <w:rsid w:val="00467207"/>
    <w:rsid w:val="0047109D"/>
    <w:rsid w:val="00471C27"/>
    <w:rsid w:val="00472B53"/>
    <w:rsid w:val="00474E92"/>
    <w:rsid w:val="0047564E"/>
    <w:rsid w:val="00476C23"/>
    <w:rsid w:val="004776FD"/>
    <w:rsid w:val="004809C7"/>
    <w:rsid w:val="00483A48"/>
    <w:rsid w:val="00487579"/>
    <w:rsid w:val="0048779A"/>
    <w:rsid w:val="00493430"/>
    <w:rsid w:val="004951BF"/>
    <w:rsid w:val="00495519"/>
    <w:rsid w:val="00495C15"/>
    <w:rsid w:val="00496EFA"/>
    <w:rsid w:val="004978E9"/>
    <w:rsid w:val="004A0C72"/>
    <w:rsid w:val="004A1F27"/>
    <w:rsid w:val="004A245D"/>
    <w:rsid w:val="004A2D42"/>
    <w:rsid w:val="004A2E7A"/>
    <w:rsid w:val="004A3A91"/>
    <w:rsid w:val="004A557B"/>
    <w:rsid w:val="004A6125"/>
    <w:rsid w:val="004A6343"/>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2ED3"/>
    <w:rsid w:val="004D4111"/>
    <w:rsid w:val="004D52BD"/>
    <w:rsid w:val="004D69FB"/>
    <w:rsid w:val="004E1108"/>
    <w:rsid w:val="004E16C3"/>
    <w:rsid w:val="004E207F"/>
    <w:rsid w:val="004E3877"/>
    <w:rsid w:val="004E4203"/>
    <w:rsid w:val="004E42A8"/>
    <w:rsid w:val="004E44A2"/>
    <w:rsid w:val="004E6864"/>
    <w:rsid w:val="004E7863"/>
    <w:rsid w:val="004F07BC"/>
    <w:rsid w:val="004F0D7B"/>
    <w:rsid w:val="004F0DC0"/>
    <w:rsid w:val="004F1CA3"/>
    <w:rsid w:val="004F2548"/>
    <w:rsid w:val="004F43C7"/>
    <w:rsid w:val="004F5BEC"/>
    <w:rsid w:val="004F5CC5"/>
    <w:rsid w:val="004F6067"/>
    <w:rsid w:val="004F63FD"/>
    <w:rsid w:val="00500534"/>
    <w:rsid w:val="0050130C"/>
    <w:rsid w:val="005039B0"/>
    <w:rsid w:val="00504953"/>
    <w:rsid w:val="005058FE"/>
    <w:rsid w:val="00507696"/>
    <w:rsid w:val="005154F9"/>
    <w:rsid w:val="00515C68"/>
    <w:rsid w:val="00517EF2"/>
    <w:rsid w:val="00520EA0"/>
    <w:rsid w:val="00522927"/>
    <w:rsid w:val="00522E25"/>
    <w:rsid w:val="00523BD9"/>
    <w:rsid w:val="00524E33"/>
    <w:rsid w:val="005253B2"/>
    <w:rsid w:val="0052644E"/>
    <w:rsid w:val="0052748B"/>
    <w:rsid w:val="005336E7"/>
    <w:rsid w:val="005337B6"/>
    <w:rsid w:val="00534F82"/>
    <w:rsid w:val="00540002"/>
    <w:rsid w:val="00540A5E"/>
    <w:rsid w:val="00543BFB"/>
    <w:rsid w:val="00543F98"/>
    <w:rsid w:val="00544A6F"/>
    <w:rsid w:val="00544F68"/>
    <w:rsid w:val="00545CF4"/>
    <w:rsid w:val="00547816"/>
    <w:rsid w:val="00552CC5"/>
    <w:rsid w:val="005541A6"/>
    <w:rsid w:val="005546DD"/>
    <w:rsid w:val="00555E73"/>
    <w:rsid w:val="005613E9"/>
    <w:rsid w:val="00561757"/>
    <w:rsid w:val="00561997"/>
    <w:rsid w:val="00562CA8"/>
    <w:rsid w:val="00562DBA"/>
    <w:rsid w:val="00563088"/>
    <w:rsid w:val="00564B35"/>
    <w:rsid w:val="00567402"/>
    <w:rsid w:val="00570D87"/>
    <w:rsid w:val="005733BD"/>
    <w:rsid w:val="0057359A"/>
    <w:rsid w:val="00576552"/>
    <w:rsid w:val="005773EE"/>
    <w:rsid w:val="00580B4C"/>
    <w:rsid w:val="00580D50"/>
    <w:rsid w:val="00582562"/>
    <w:rsid w:val="00582565"/>
    <w:rsid w:val="005837F8"/>
    <w:rsid w:val="005853C3"/>
    <w:rsid w:val="0058601E"/>
    <w:rsid w:val="0058659C"/>
    <w:rsid w:val="00587549"/>
    <w:rsid w:val="00587B4C"/>
    <w:rsid w:val="0059081F"/>
    <w:rsid w:val="00592002"/>
    <w:rsid w:val="00592071"/>
    <w:rsid w:val="00595E44"/>
    <w:rsid w:val="00596E22"/>
    <w:rsid w:val="005973B7"/>
    <w:rsid w:val="00597E85"/>
    <w:rsid w:val="005A08D2"/>
    <w:rsid w:val="005A1EE0"/>
    <w:rsid w:val="005A22B2"/>
    <w:rsid w:val="005A46D5"/>
    <w:rsid w:val="005A5F89"/>
    <w:rsid w:val="005A61D5"/>
    <w:rsid w:val="005A6E1C"/>
    <w:rsid w:val="005A75AE"/>
    <w:rsid w:val="005B015E"/>
    <w:rsid w:val="005B13F7"/>
    <w:rsid w:val="005B32C5"/>
    <w:rsid w:val="005B34C0"/>
    <w:rsid w:val="005B35D6"/>
    <w:rsid w:val="005B360B"/>
    <w:rsid w:val="005B3DDD"/>
    <w:rsid w:val="005B3E4A"/>
    <w:rsid w:val="005C3043"/>
    <w:rsid w:val="005C42D9"/>
    <w:rsid w:val="005C5A6E"/>
    <w:rsid w:val="005C6C1D"/>
    <w:rsid w:val="005D11F0"/>
    <w:rsid w:val="005D3281"/>
    <w:rsid w:val="005D3BDE"/>
    <w:rsid w:val="005D41E6"/>
    <w:rsid w:val="005D4C94"/>
    <w:rsid w:val="005D5B42"/>
    <w:rsid w:val="005D6F9F"/>
    <w:rsid w:val="005D74FB"/>
    <w:rsid w:val="005D7DFF"/>
    <w:rsid w:val="005E1F28"/>
    <w:rsid w:val="005E443E"/>
    <w:rsid w:val="005E4600"/>
    <w:rsid w:val="005E4C96"/>
    <w:rsid w:val="005E60F6"/>
    <w:rsid w:val="005F102C"/>
    <w:rsid w:val="005F2232"/>
    <w:rsid w:val="005F2CF3"/>
    <w:rsid w:val="005F31C1"/>
    <w:rsid w:val="005F3678"/>
    <w:rsid w:val="00601F8F"/>
    <w:rsid w:val="006033BD"/>
    <w:rsid w:val="006056A4"/>
    <w:rsid w:val="00605C99"/>
    <w:rsid w:val="00605FAF"/>
    <w:rsid w:val="00606B19"/>
    <w:rsid w:val="00606FBC"/>
    <w:rsid w:val="006070F0"/>
    <w:rsid w:val="00612B3B"/>
    <w:rsid w:val="006156DC"/>
    <w:rsid w:val="00623B26"/>
    <w:rsid w:val="00624C21"/>
    <w:rsid w:val="00625503"/>
    <w:rsid w:val="00627876"/>
    <w:rsid w:val="00630C55"/>
    <w:rsid w:val="0063340F"/>
    <w:rsid w:val="00633924"/>
    <w:rsid w:val="00633DC6"/>
    <w:rsid w:val="00633FA8"/>
    <w:rsid w:val="006340BB"/>
    <w:rsid w:val="00636B42"/>
    <w:rsid w:val="00637399"/>
    <w:rsid w:val="00640494"/>
    <w:rsid w:val="006446C1"/>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690"/>
    <w:rsid w:val="00681C83"/>
    <w:rsid w:val="00682B2C"/>
    <w:rsid w:val="006849F6"/>
    <w:rsid w:val="00684B75"/>
    <w:rsid w:val="00684BC2"/>
    <w:rsid w:val="00684D30"/>
    <w:rsid w:val="006856FF"/>
    <w:rsid w:val="006863D8"/>
    <w:rsid w:val="00686B26"/>
    <w:rsid w:val="0068796B"/>
    <w:rsid w:val="006900AC"/>
    <w:rsid w:val="00690AD8"/>
    <w:rsid w:val="00695734"/>
    <w:rsid w:val="00695EEC"/>
    <w:rsid w:val="006972BF"/>
    <w:rsid w:val="006A20B3"/>
    <w:rsid w:val="006A32FE"/>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D5FD8"/>
    <w:rsid w:val="006E01C2"/>
    <w:rsid w:val="006E15E4"/>
    <w:rsid w:val="006E1F02"/>
    <w:rsid w:val="006E28C1"/>
    <w:rsid w:val="006E3397"/>
    <w:rsid w:val="006F11BD"/>
    <w:rsid w:val="006F3882"/>
    <w:rsid w:val="006F4BEB"/>
    <w:rsid w:val="006F5AEF"/>
    <w:rsid w:val="006F6676"/>
    <w:rsid w:val="006F7B58"/>
    <w:rsid w:val="007001E0"/>
    <w:rsid w:val="00702C82"/>
    <w:rsid w:val="00704089"/>
    <w:rsid w:val="007123C2"/>
    <w:rsid w:val="0071316F"/>
    <w:rsid w:val="007136E6"/>
    <w:rsid w:val="00717444"/>
    <w:rsid w:val="00717FE9"/>
    <w:rsid w:val="0072021D"/>
    <w:rsid w:val="00720E37"/>
    <w:rsid w:val="00720F68"/>
    <w:rsid w:val="00720FC0"/>
    <w:rsid w:val="0072349E"/>
    <w:rsid w:val="007238DB"/>
    <w:rsid w:val="00724536"/>
    <w:rsid w:val="007253E3"/>
    <w:rsid w:val="007255CD"/>
    <w:rsid w:val="007315C3"/>
    <w:rsid w:val="007318BA"/>
    <w:rsid w:val="007334EA"/>
    <w:rsid w:val="00733DB0"/>
    <w:rsid w:val="00735F36"/>
    <w:rsid w:val="00736701"/>
    <w:rsid w:val="00736B2F"/>
    <w:rsid w:val="00737025"/>
    <w:rsid w:val="00737A54"/>
    <w:rsid w:val="00737FB2"/>
    <w:rsid w:val="00741E4A"/>
    <w:rsid w:val="007435FE"/>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73CE7"/>
    <w:rsid w:val="00781039"/>
    <w:rsid w:val="007825E8"/>
    <w:rsid w:val="00790246"/>
    <w:rsid w:val="00791031"/>
    <w:rsid w:val="0079157C"/>
    <w:rsid w:val="00791C19"/>
    <w:rsid w:val="00792A34"/>
    <w:rsid w:val="00793C25"/>
    <w:rsid w:val="007A1136"/>
    <w:rsid w:val="007A4B8E"/>
    <w:rsid w:val="007A5C4C"/>
    <w:rsid w:val="007B0579"/>
    <w:rsid w:val="007B3A99"/>
    <w:rsid w:val="007B41A6"/>
    <w:rsid w:val="007B6AD8"/>
    <w:rsid w:val="007B6D97"/>
    <w:rsid w:val="007B7906"/>
    <w:rsid w:val="007C4432"/>
    <w:rsid w:val="007C680E"/>
    <w:rsid w:val="007D14DF"/>
    <w:rsid w:val="007D22BA"/>
    <w:rsid w:val="007D3AB9"/>
    <w:rsid w:val="007D3C35"/>
    <w:rsid w:val="007D42A1"/>
    <w:rsid w:val="007D441F"/>
    <w:rsid w:val="007D4868"/>
    <w:rsid w:val="007D4A60"/>
    <w:rsid w:val="007D53BF"/>
    <w:rsid w:val="007D7BA6"/>
    <w:rsid w:val="007E0AC1"/>
    <w:rsid w:val="007E30B0"/>
    <w:rsid w:val="007E37C0"/>
    <w:rsid w:val="007E5598"/>
    <w:rsid w:val="007E6279"/>
    <w:rsid w:val="007E6E94"/>
    <w:rsid w:val="007F2249"/>
    <w:rsid w:val="007F28B9"/>
    <w:rsid w:val="007F5778"/>
    <w:rsid w:val="007F6C2A"/>
    <w:rsid w:val="008001D1"/>
    <w:rsid w:val="008008D4"/>
    <w:rsid w:val="00801262"/>
    <w:rsid w:val="00801E4C"/>
    <w:rsid w:val="008020D3"/>
    <w:rsid w:val="00802C52"/>
    <w:rsid w:val="008043AE"/>
    <w:rsid w:val="00804869"/>
    <w:rsid w:val="00804908"/>
    <w:rsid w:val="0080704C"/>
    <w:rsid w:val="00807BBD"/>
    <w:rsid w:val="00811289"/>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50E"/>
    <w:rsid w:val="008355CE"/>
    <w:rsid w:val="00835736"/>
    <w:rsid w:val="00836DF0"/>
    <w:rsid w:val="00837AF9"/>
    <w:rsid w:val="0084046D"/>
    <w:rsid w:val="008464E5"/>
    <w:rsid w:val="0084697B"/>
    <w:rsid w:val="00850F9B"/>
    <w:rsid w:val="008511B1"/>
    <w:rsid w:val="00853260"/>
    <w:rsid w:val="00854470"/>
    <w:rsid w:val="00857D72"/>
    <w:rsid w:val="00861492"/>
    <w:rsid w:val="00861B39"/>
    <w:rsid w:val="00864D3B"/>
    <w:rsid w:val="00866220"/>
    <w:rsid w:val="008672D5"/>
    <w:rsid w:val="00870A8D"/>
    <w:rsid w:val="00871D8A"/>
    <w:rsid w:val="00873067"/>
    <w:rsid w:val="0087448C"/>
    <w:rsid w:val="00874C32"/>
    <w:rsid w:val="00874E79"/>
    <w:rsid w:val="0087547E"/>
    <w:rsid w:val="00876BBB"/>
    <w:rsid w:val="00876E01"/>
    <w:rsid w:val="00880D87"/>
    <w:rsid w:val="008819C0"/>
    <w:rsid w:val="00881B29"/>
    <w:rsid w:val="00882EAC"/>
    <w:rsid w:val="008838E4"/>
    <w:rsid w:val="008838E8"/>
    <w:rsid w:val="0088428C"/>
    <w:rsid w:val="00884340"/>
    <w:rsid w:val="00886394"/>
    <w:rsid w:val="00886981"/>
    <w:rsid w:val="00887004"/>
    <w:rsid w:val="00891305"/>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4A9"/>
    <w:rsid w:val="008D368D"/>
    <w:rsid w:val="008D4344"/>
    <w:rsid w:val="008D4839"/>
    <w:rsid w:val="008D5A5C"/>
    <w:rsid w:val="008E0C1C"/>
    <w:rsid w:val="008E45B5"/>
    <w:rsid w:val="008E4A71"/>
    <w:rsid w:val="008E5FF5"/>
    <w:rsid w:val="008F0075"/>
    <w:rsid w:val="008F00F6"/>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26ED6"/>
    <w:rsid w:val="0092700A"/>
    <w:rsid w:val="0093538A"/>
    <w:rsid w:val="009362DC"/>
    <w:rsid w:val="009365EB"/>
    <w:rsid w:val="00936E2B"/>
    <w:rsid w:val="00936F1B"/>
    <w:rsid w:val="00937D6D"/>
    <w:rsid w:val="00937EF5"/>
    <w:rsid w:val="00940EA3"/>
    <w:rsid w:val="00942785"/>
    <w:rsid w:val="00943C72"/>
    <w:rsid w:val="00946F6E"/>
    <w:rsid w:val="00947A3E"/>
    <w:rsid w:val="00947E0F"/>
    <w:rsid w:val="00950337"/>
    <w:rsid w:val="009509CC"/>
    <w:rsid w:val="00951DB8"/>
    <w:rsid w:val="0095216F"/>
    <w:rsid w:val="009565EF"/>
    <w:rsid w:val="0095680F"/>
    <w:rsid w:val="00956932"/>
    <w:rsid w:val="00956A25"/>
    <w:rsid w:val="009573FF"/>
    <w:rsid w:val="00957E00"/>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5A46"/>
    <w:rsid w:val="00967EDE"/>
    <w:rsid w:val="009706CE"/>
    <w:rsid w:val="00972607"/>
    <w:rsid w:val="00974A2D"/>
    <w:rsid w:val="009762EA"/>
    <w:rsid w:val="0097633B"/>
    <w:rsid w:val="00976A70"/>
    <w:rsid w:val="00977B31"/>
    <w:rsid w:val="0098018F"/>
    <w:rsid w:val="00982060"/>
    <w:rsid w:val="00982774"/>
    <w:rsid w:val="00982991"/>
    <w:rsid w:val="00983C40"/>
    <w:rsid w:val="00984D4F"/>
    <w:rsid w:val="00986C46"/>
    <w:rsid w:val="009911D2"/>
    <w:rsid w:val="009925A1"/>
    <w:rsid w:val="009932A1"/>
    <w:rsid w:val="00996A46"/>
    <w:rsid w:val="00996ED3"/>
    <w:rsid w:val="009A1543"/>
    <w:rsid w:val="009A315A"/>
    <w:rsid w:val="009A36FD"/>
    <w:rsid w:val="009A3C36"/>
    <w:rsid w:val="009A40CA"/>
    <w:rsid w:val="009A5538"/>
    <w:rsid w:val="009A6BB3"/>
    <w:rsid w:val="009B4FF9"/>
    <w:rsid w:val="009C0793"/>
    <w:rsid w:val="009C0ECA"/>
    <w:rsid w:val="009C138D"/>
    <w:rsid w:val="009C1B84"/>
    <w:rsid w:val="009C365B"/>
    <w:rsid w:val="009C535B"/>
    <w:rsid w:val="009C5891"/>
    <w:rsid w:val="009C5C65"/>
    <w:rsid w:val="009C7478"/>
    <w:rsid w:val="009D23D9"/>
    <w:rsid w:val="009D2988"/>
    <w:rsid w:val="009D3BDF"/>
    <w:rsid w:val="009D4160"/>
    <w:rsid w:val="009D556F"/>
    <w:rsid w:val="009D66DF"/>
    <w:rsid w:val="009D6FFC"/>
    <w:rsid w:val="009E2667"/>
    <w:rsid w:val="009E2B4E"/>
    <w:rsid w:val="009E3060"/>
    <w:rsid w:val="009E317D"/>
    <w:rsid w:val="009E4188"/>
    <w:rsid w:val="009E561A"/>
    <w:rsid w:val="009E6ADA"/>
    <w:rsid w:val="009E6D78"/>
    <w:rsid w:val="009F0FAC"/>
    <w:rsid w:val="009F2CB2"/>
    <w:rsid w:val="009F42D5"/>
    <w:rsid w:val="009F59EE"/>
    <w:rsid w:val="00A0034A"/>
    <w:rsid w:val="00A00614"/>
    <w:rsid w:val="00A03F16"/>
    <w:rsid w:val="00A0626C"/>
    <w:rsid w:val="00A06687"/>
    <w:rsid w:val="00A0680F"/>
    <w:rsid w:val="00A071AB"/>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1814"/>
    <w:rsid w:val="00A326E5"/>
    <w:rsid w:val="00A34404"/>
    <w:rsid w:val="00A345F7"/>
    <w:rsid w:val="00A351F4"/>
    <w:rsid w:val="00A35204"/>
    <w:rsid w:val="00A35900"/>
    <w:rsid w:val="00A36D79"/>
    <w:rsid w:val="00A371A8"/>
    <w:rsid w:val="00A401A3"/>
    <w:rsid w:val="00A40F39"/>
    <w:rsid w:val="00A41322"/>
    <w:rsid w:val="00A4441D"/>
    <w:rsid w:val="00A477F8"/>
    <w:rsid w:val="00A51DB8"/>
    <w:rsid w:val="00A526C9"/>
    <w:rsid w:val="00A52E40"/>
    <w:rsid w:val="00A553F8"/>
    <w:rsid w:val="00A56EAF"/>
    <w:rsid w:val="00A577B7"/>
    <w:rsid w:val="00A644DF"/>
    <w:rsid w:val="00A661EE"/>
    <w:rsid w:val="00A672EA"/>
    <w:rsid w:val="00A67865"/>
    <w:rsid w:val="00A7039D"/>
    <w:rsid w:val="00A706DB"/>
    <w:rsid w:val="00A71413"/>
    <w:rsid w:val="00A729A8"/>
    <w:rsid w:val="00A72FF0"/>
    <w:rsid w:val="00A741C7"/>
    <w:rsid w:val="00A75581"/>
    <w:rsid w:val="00A80A8B"/>
    <w:rsid w:val="00A82D27"/>
    <w:rsid w:val="00A83718"/>
    <w:rsid w:val="00A84D63"/>
    <w:rsid w:val="00A85069"/>
    <w:rsid w:val="00A86EF2"/>
    <w:rsid w:val="00A902B4"/>
    <w:rsid w:val="00A93669"/>
    <w:rsid w:val="00A94298"/>
    <w:rsid w:val="00A969E4"/>
    <w:rsid w:val="00A973F9"/>
    <w:rsid w:val="00AA0C1B"/>
    <w:rsid w:val="00AA104C"/>
    <w:rsid w:val="00AA13C3"/>
    <w:rsid w:val="00AA1D7A"/>
    <w:rsid w:val="00AA1EF9"/>
    <w:rsid w:val="00AA264F"/>
    <w:rsid w:val="00AA3C5C"/>
    <w:rsid w:val="00AA58B4"/>
    <w:rsid w:val="00AB150A"/>
    <w:rsid w:val="00AB3B2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B4D"/>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353"/>
    <w:rsid w:val="00B1561F"/>
    <w:rsid w:val="00B15FD4"/>
    <w:rsid w:val="00B169AF"/>
    <w:rsid w:val="00B16D05"/>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27AE"/>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92F"/>
    <w:rsid w:val="00B55F72"/>
    <w:rsid w:val="00B564A6"/>
    <w:rsid w:val="00B626AC"/>
    <w:rsid w:val="00B64864"/>
    <w:rsid w:val="00B64945"/>
    <w:rsid w:val="00B6512E"/>
    <w:rsid w:val="00B65A3B"/>
    <w:rsid w:val="00B67429"/>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35B3"/>
    <w:rsid w:val="00BB5F03"/>
    <w:rsid w:val="00BC10FE"/>
    <w:rsid w:val="00BC1BA1"/>
    <w:rsid w:val="00BC30D1"/>
    <w:rsid w:val="00BC3CB6"/>
    <w:rsid w:val="00BC43C3"/>
    <w:rsid w:val="00BC6C6E"/>
    <w:rsid w:val="00BC7898"/>
    <w:rsid w:val="00BD0305"/>
    <w:rsid w:val="00BD18EA"/>
    <w:rsid w:val="00BD25BD"/>
    <w:rsid w:val="00BD26AB"/>
    <w:rsid w:val="00BD4FB4"/>
    <w:rsid w:val="00BD56CC"/>
    <w:rsid w:val="00BD5B45"/>
    <w:rsid w:val="00BD6A7F"/>
    <w:rsid w:val="00BD7095"/>
    <w:rsid w:val="00BE0B0E"/>
    <w:rsid w:val="00BE127F"/>
    <w:rsid w:val="00BE34DD"/>
    <w:rsid w:val="00BE7D75"/>
    <w:rsid w:val="00BF02EE"/>
    <w:rsid w:val="00BF0F80"/>
    <w:rsid w:val="00BF1CB0"/>
    <w:rsid w:val="00BF1D03"/>
    <w:rsid w:val="00BF2980"/>
    <w:rsid w:val="00BF2B2A"/>
    <w:rsid w:val="00BF3B93"/>
    <w:rsid w:val="00BF3C3D"/>
    <w:rsid w:val="00BF4FA6"/>
    <w:rsid w:val="00BF5573"/>
    <w:rsid w:val="00BF5DE1"/>
    <w:rsid w:val="00BF69D4"/>
    <w:rsid w:val="00C00860"/>
    <w:rsid w:val="00C01736"/>
    <w:rsid w:val="00C0488B"/>
    <w:rsid w:val="00C05509"/>
    <w:rsid w:val="00C1291C"/>
    <w:rsid w:val="00C129F0"/>
    <w:rsid w:val="00C12B80"/>
    <w:rsid w:val="00C1553C"/>
    <w:rsid w:val="00C16738"/>
    <w:rsid w:val="00C16A07"/>
    <w:rsid w:val="00C171EA"/>
    <w:rsid w:val="00C213F3"/>
    <w:rsid w:val="00C2196C"/>
    <w:rsid w:val="00C25196"/>
    <w:rsid w:val="00C25A49"/>
    <w:rsid w:val="00C30103"/>
    <w:rsid w:val="00C30556"/>
    <w:rsid w:val="00C306CA"/>
    <w:rsid w:val="00C30F7A"/>
    <w:rsid w:val="00C322B6"/>
    <w:rsid w:val="00C32C7C"/>
    <w:rsid w:val="00C35BFC"/>
    <w:rsid w:val="00C36244"/>
    <w:rsid w:val="00C362AF"/>
    <w:rsid w:val="00C36818"/>
    <w:rsid w:val="00C36AC8"/>
    <w:rsid w:val="00C36C63"/>
    <w:rsid w:val="00C36E73"/>
    <w:rsid w:val="00C40157"/>
    <w:rsid w:val="00C41064"/>
    <w:rsid w:val="00C411A0"/>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CE3"/>
    <w:rsid w:val="00C86EBC"/>
    <w:rsid w:val="00C87E22"/>
    <w:rsid w:val="00C91F7F"/>
    <w:rsid w:val="00C96C4F"/>
    <w:rsid w:val="00CA3F3D"/>
    <w:rsid w:val="00CA3FE4"/>
    <w:rsid w:val="00CA5323"/>
    <w:rsid w:val="00CA5FC8"/>
    <w:rsid w:val="00CA6A04"/>
    <w:rsid w:val="00CB057E"/>
    <w:rsid w:val="00CB1985"/>
    <w:rsid w:val="00CB40F4"/>
    <w:rsid w:val="00CB50DD"/>
    <w:rsid w:val="00CB7416"/>
    <w:rsid w:val="00CC04E3"/>
    <w:rsid w:val="00CC32D9"/>
    <w:rsid w:val="00CC453F"/>
    <w:rsid w:val="00CC45E5"/>
    <w:rsid w:val="00CC5BEB"/>
    <w:rsid w:val="00CC60A9"/>
    <w:rsid w:val="00CC7C89"/>
    <w:rsid w:val="00CD1C31"/>
    <w:rsid w:val="00CD2522"/>
    <w:rsid w:val="00CD31F0"/>
    <w:rsid w:val="00CD3324"/>
    <w:rsid w:val="00CD3C1E"/>
    <w:rsid w:val="00CD4B4B"/>
    <w:rsid w:val="00CD6EEC"/>
    <w:rsid w:val="00CE0AC1"/>
    <w:rsid w:val="00CE220A"/>
    <w:rsid w:val="00CE2578"/>
    <w:rsid w:val="00CE3577"/>
    <w:rsid w:val="00CF10DA"/>
    <w:rsid w:val="00CF2718"/>
    <w:rsid w:val="00CF3762"/>
    <w:rsid w:val="00CF7691"/>
    <w:rsid w:val="00D01461"/>
    <w:rsid w:val="00D01832"/>
    <w:rsid w:val="00D04122"/>
    <w:rsid w:val="00D047B7"/>
    <w:rsid w:val="00D06C9F"/>
    <w:rsid w:val="00D11870"/>
    <w:rsid w:val="00D132FF"/>
    <w:rsid w:val="00D15557"/>
    <w:rsid w:val="00D15686"/>
    <w:rsid w:val="00D16F9E"/>
    <w:rsid w:val="00D21B27"/>
    <w:rsid w:val="00D21E06"/>
    <w:rsid w:val="00D223BF"/>
    <w:rsid w:val="00D223FC"/>
    <w:rsid w:val="00D2253B"/>
    <w:rsid w:val="00D22A67"/>
    <w:rsid w:val="00D245D2"/>
    <w:rsid w:val="00D25B0B"/>
    <w:rsid w:val="00D2745A"/>
    <w:rsid w:val="00D31127"/>
    <w:rsid w:val="00D31386"/>
    <w:rsid w:val="00D31FA8"/>
    <w:rsid w:val="00D3396D"/>
    <w:rsid w:val="00D3397B"/>
    <w:rsid w:val="00D3569B"/>
    <w:rsid w:val="00D35A90"/>
    <w:rsid w:val="00D36065"/>
    <w:rsid w:val="00D36130"/>
    <w:rsid w:val="00D40D11"/>
    <w:rsid w:val="00D423AD"/>
    <w:rsid w:val="00D44899"/>
    <w:rsid w:val="00D46528"/>
    <w:rsid w:val="00D46587"/>
    <w:rsid w:val="00D46E13"/>
    <w:rsid w:val="00D4733D"/>
    <w:rsid w:val="00D53085"/>
    <w:rsid w:val="00D532C1"/>
    <w:rsid w:val="00D57146"/>
    <w:rsid w:val="00D618AD"/>
    <w:rsid w:val="00D63DD3"/>
    <w:rsid w:val="00D6464D"/>
    <w:rsid w:val="00D65088"/>
    <w:rsid w:val="00D72895"/>
    <w:rsid w:val="00D73D3F"/>
    <w:rsid w:val="00D76F6E"/>
    <w:rsid w:val="00D777C9"/>
    <w:rsid w:val="00D77E6E"/>
    <w:rsid w:val="00D80B6D"/>
    <w:rsid w:val="00D82E2D"/>
    <w:rsid w:val="00D8513A"/>
    <w:rsid w:val="00D87CCE"/>
    <w:rsid w:val="00D9306C"/>
    <w:rsid w:val="00DA087D"/>
    <w:rsid w:val="00DA10BE"/>
    <w:rsid w:val="00DA1662"/>
    <w:rsid w:val="00DA327C"/>
    <w:rsid w:val="00DA576C"/>
    <w:rsid w:val="00DA68D5"/>
    <w:rsid w:val="00DA6D6A"/>
    <w:rsid w:val="00DA7689"/>
    <w:rsid w:val="00DA78FC"/>
    <w:rsid w:val="00DB270B"/>
    <w:rsid w:val="00DB365A"/>
    <w:rsid w:val="00DB4335"/>
    <w:rsid w:val="00DB7664"/>
    <w:rsid w:val="00DB7E2F"/>
    <w:rsid w:val="00DC1FA8"/>
    <w:rsid w:val="00DC2A4B"/>
    <w:rsid w:val="00DC4212"/>
    <w:rsid w:val="00DC6476"/>
    <w:rsid w:val="00DC6AB6"/>
    <w:rsid w:val="00DD1126"/>
    <w:rsid w:val="00DD1EC1"/>
    <w:rsid w:val="00DD5E05"/>
    <w:rsid w:val="00DE17B0"/>
    <w:rsid w:val="00DE36DE"/>
    <w:rsid w:val="00DE448F"/>
    <w:rsid w:val="00DE4919"/>
    <w:rsid w:val="00DE75F4"/>
    <w:rsid w:val="00DE7686"/>
    <w:rsid w:val="00DE7CE1"/>
    <w:rsid w:val="00DF006F"/>
    <w:rsid w:val="00DF1F56"/>
    <w:rsid w:val="00DF2428"/>
    <w:rsid w:val="00DF296C"/>
    <w:rsid w:val="00DF2A53"/>
    <w:rsid w:val="00DF388B"/>
    <w:rsid w:val="00DF5CAA"/>
    <w:rsid w:val="00DF5E95"/>
    <w:rsid w:val="00DF606A"/>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43E"/>
    <w:rsid w:val="00E2591F"/>
    <w:rsid w:val="00E30148"/>
    <w:rsid w:val="00E31ED3"/>
    <w:rsid w:val="00E343B0"/>
    <w:rsid w:val="00E35A9F"/>
    <w:rsid w:val="00E364A9"/>
    <w:rsid w:val="00E36E36"/>
    <w:rsid w:val="00E400AA"/>
    <w:rsid w:val="00E40BF0"/>
    <w:rsid w:val="00E41EE8"/>
    <w:rsid w:val="00E42149"/>
    <w:rsid w:val="00E4768E"/>
    <w:rsid w:val="00E47BA7"/>
    <w:rsid w:val="00E50121"/>
    <w:rsid w:val="00E50AEA"/>
    <w:rsid w:val="00E515C8"/>
    <w:rsid w:val="00E53945"/>
    <w:rsid w:val="00E54C6F"/>
    <w:rsid w:val="00E55682"/>
    <w:rsid w:val="00E5639B"/>
    <w:rsid w:val="00E57D1A"/>
    <w:rsid w:val="00E608E3"/>
    <w:rsid w:val="00E60E78"/>
    <w:rsid w:val="00E63C9B"/>
    <w:rsid w:val="00E64583"/>
    <w:rsid w:val="00E669EF"/>
    <w:rsid w:val="00E67800"/>
    <w:rsid w:val="00E70E9A"/>
    <w:rsid w:val="00E71B7C"/>
    <w:rsid w:val="00E71C1E"/>
    <w:rsid w:val="00E71D31"/>
    <w:rsid w:val="00E72BA8"/>
    <w:rsid w:val="00E73E85"/>
    <w:rsid w:val="00E74BB2"/>
    <w:rsid w:val="00E804FF"/>
    <w:rsid w:val="00E81785"/>
    <w:rsid w:val="00E83CCD"/>
    <w:rsid w:val="00E847E6"/>
    <w:rsid w:val="00E84909"/>
    <w:rsid w:val="00E856C2"/>
    <w:rsid w:val="00E90FB8"/>
    <w:rsid w:val="00E938B3"/>
    <w:rsid w:val="00E945C4"/>
    <w:rsid w:val="00E9495C"/>
    <w:rsid w:val="00E94B01"/>
    <w:rsid w:val="00EA29EC"/>
    <w:rsid w:val="00EA3186"/>
    <w:rsid w:val="00EA3C99"/>
    <w:rsid w:val="00EA47AD"/>
    <w:rsid w:val="00EA5B80"/>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318A"/>
    <w:rsid w:val="00EE4761"/>
    <w:rsid w:val="00EE520F"/>
    <w:rsid w:val="00EE591F"/>
    <w:rsid w:val="00EE6C6D"/>
    <w:rsid w:val="00EE7BDD"/>
    <w:rsid w:val="00EE7E52"/>
    <w:rsid w:val="00EF1568"/>
    <w:rsid w:val="00EF2498"/>
    <w:rsid w:val="00EF56AC"/>
    <w:rsid w:val="00EF5B02"/>
    <w:rsid w:val="00EF5EE0"/>
    <w:rsid w:val="00EF62F8"/>
    <w:rsid w:val="00F023BF"/>
    <w:rsid w:val="00F0275F"/>
    <w:rsid w:val="00F02779"/>
    <w:rsid w:val="00F040CA"/>
    <w:rsid w:val="00F04FF5"/>
    <w:rsid w:val="00F06420"/>
    <w:rsid w:val="00F06513"/>
    <w:rsid w:val="00F06844"/>
    <w:rsid w:val="00F0734C"/>
    <w:rsid w:val="00F10CFA"/>
    <w:rsid w:val="00F1214E"/>
    <w:rsid w:val="00F12CDD"/>
    <w:rsid w:val="00F16128"/>
    <w:rsid w:val="00F161D2"/>
    <w:rsid w:val="00F20841"/>
    <w:rsid w:val="00F20896"/>
    <w:rsid w:val="00F2446D"/>
    <w:rsid w:val="00F245FA"/>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47081"/>
    <w:rsid w:val="00F47F87"/>
    <w:rsid w:val="00F52462"/>
    <w:rsid w:val="00F53850"/>
    <w:rsid w:val="00F542F8"/>
    <w:rsid w:val="00F61061"/>
    <w:rsid w:val="00F63179"/>
    <w:rsid w:val="00F63E7A"/>
    <w:rsid w:val="00F64A9E"/>
    <w:rsid w:val="00F6505F"/>
    <w:rsid w:val="00F655E3"/>
    <w:rsid w:val="00F65A7D"/>
    <w:rsid w:val="00F65D72"/>
    <w:rsid w:val="00F739AD"/>
    <w:rsid w:val="00F76B0E"/>
    <w:rsid w:val="00F7782E"/>
    <w:rsid w:val="00F77BD8"/>
    <w:rsid w:val="00F801C0"/>
    <w:rsid w:val="00F80559"/>
    <w:rsid w:val="00F8482C"/>
    <w:rsid w:val="00F84DCA"/>
    <w:rsid w:val="00F87F11"/>
    <w:rsid w:val="00F93799"/>
    <w:rsid w:val="00F94B22"/>
    <w:rsid w:val="00F95B39"/>
    <w:rsid w:val="00F968E3"/>
    <w:rsid w:val="00F97A8C"/>
    <w:rsid w:val="00FA0F28"/>
    <w:rsid w:val="00FA1AF3"/>
    <w:rsid w:val="00FA255B"/>
    <w:rsid w:val="00FA4A11"/>
    <w:rsid w:val="00FA6757"/>
    <w:rsid w:val="00FA6E14"/>
    <w:rsid w:val="00FB22D4"/>
    <w:rsid w:val="00FB3609"/>
    <w:rsid w:val="00FB551F"/>
    <w:rsid w:val="00FB6C4F"/>
    <w:rsid w:val="00FB7593"/>
    <w:rsid w:val="00FC0728"/>
    <w:rsid w:val="00FC1254"/>
    <w:rsid w:val="00FC33AA"/>
    <w:rsid w:val="00FC5217"/>
    <w:rsid w:val="00FC5EE8"/>
    <w:rsid w:val="00FD08A6"/>
    <w:rsid w:val="00FD20D1"/>
    <w:rsid w:val="00FD37BD"/>
    <w:rsid w:val="00FD5578"/>
    <w:rsid w:val="00FD783F"/>
    <w:rsid w:val="00FE189D"/>
    <w:rsid w:val="00FE28BC"/>
    <w:rsid w:val="00FE3A27"/>
    <w:rsid w:val="00FE6591"/>
    <w:rsid w:val="00FE6DB7"/>
    <w:rsid w:val="00FE7E9A"/>
    <w:rsid w:val="00FF07DB"/>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29826944">
      <w:bodyDiv w:val="1"/>
      <w:marLeft w:val="0"/>
      <w:marRight w:val="0"/>
      <w:marTop w:val="0"/>
      <w:marBottom w:val="0"/>
      <w:divBdr>
        <w:top w:val="none" w:sz="0" w:space="0" w:color="auto"/>
        <w:left w:val="none" w:sz="0" w:space="0" w:color="auto"/>
        <w:bottom w:val="none" w:sz="0" w:space="0" w:color="auto"/>
        <w:right w:val="none" w:sz="0" w:space="0" w:color="auto"/>
      </w:divBdr>
      <w:divsChild>
        <w:div w:id="354383267">
          <w:marLeft w:val="0"/>
          <w:marRight w:val="0"/>
          <w:marTop w:val="0"/>
          <w:marBottom w:val="0"/>
          <w:divBdr>
            <w:top w:val="none" w:sz="0" w:space="0" w:color="auto"/>
            <w:left w:val="none" w:sz="0" w:space="0" w:color="auto"/>
            <w:bottom w:val="none" w:sz="0" w:space="0" w:color="auto"/>
            <w:right w:val="none" w:sz="0" w:space="0" w:color="auto"/>
          </w:divBdr>
          <w:divsChild>
            <w:div w:id="335231588">
              <w:marLeft w:val="0"/>
              <w:marRight w:val="0"/>
              <w:marTop w:val="0"/>
              <w:marBottom w:val="0"/>
              <w:divBdr>
                <w:top w:val="none" w:sz="0" w:space="0" w:color="auto"/>
                <w:left w:val="none" w:sz="0" w:space="0" w:color="auto"/>
                <w:bottom w:val="none" w:sz="0" w:space="0" w:color="auto"/>
                <w:right w:val="none" w:sz="0" w:space="0" w:color="auto"/>
              </w:divBdr>
              <w:divsChild>
                <w:div w:id="1272592030">
                  <w:marLeft w:val="0"/>
                  <w:marRight w:val="0"/>
                  <w:marTop w:val="0"/>
                  <w:marBottom w:val="0"/>
                  <w:divBdr>
                    <w:top w:val="none" w:sz="0" w:space="0" w:color="auto"/>
                    <w:left w:val="none" w:sz="0" w:space="0" w:color="auto"/>
                    <w:bottom w:val="none" w:sz="0" w:space="0" w:color="auto"/>
                    <w:right w:val="none" w:sz="0" w:space="0" w:color="auto"/>
                  </w:divBdr>
                  <w:divsChild>
                    <w:div w:id="1057626299">
                      <w:marLeft w:val="0"/>
                      <w:marRight w:val="0"/>
                      <w:marTop w:val="0"/>
                      <w:marBottom w:val="0"/>
                      <w:divBdr>
                        <w:top w:val="none" w:sz="0" w:space="0" w:color="auto"/>
                        <w:left w:val="none" w:sz="0" w:space="0" w:color="auto"/>
                        <w:bottom w:val="none" w:sz="0" w:space="0" w:color="auto"/>
                        <w:right w:val="none" w:sz="0" w:space="0" w:color="auto"/>
                      </w:divBdr>
                      <w:divsChild>
                        <w:div w:id="817649838">
                          <w:marLeft w:val="0"/>
                          <w:marRight w:val="0"/>
                          <w:marTop w:val="0"/>
                          <w:marBottom w:val="0"/>
                          <w:divBdr>
                            <w:top w:val="none" w:sz="0" w:space="0" w:color="auto"/>
                            <w:left w:val="none" w:sz="0" w:space="0" w:color="auto"/>
                            <w:bottom w:val="none" w:sz="0" w:space="0" w:color="auto"/>
                            <w:right w:val="none" w:sz="0" w:space="0" w:color="auto"/>
                          </w:divBdr>
                          <w:divsChild>
                            <w:div w:id="699859903">
                              <w:marLeft w:val="0"/>
                              <w:marRight w:val="0"/>
                              <w:marTop w:val="0"/>
                              <w:marBottom w:val="0"/>
                              <w:divBdr>
                                <w:top w:val="none" w:sz="0" w:space="0" w:color="auto"/>
                                <w:left w:val="none" w:sz="0" w:space="0" w:color="auto"/>
                                <w:bottom w:val="none" w:sz="0" w:space="0" w:color="auto"/>
                                <w:right w:val="none" w:sz="0" w:space="0" w:color="auto"/>
                              </w:divBdr>
                              <w:divsChild>
                                <w:div w:id="814101609">
                                  <w:marLeft w:val="0"/>
                                  <w:marRight w:val="0"/>
                                  <w:marTop w:val="0"/>
                                  <w:marBottom w:val="0"/>
                                  <w:divBdr>
                                    <w:top w:val="none" w:sz="0" w:space="0" w:color="auto"/>
                                    <w:left w:val="none" w:sz="0" w:space="0" w:color="auto"/>
                                    <w:bottom w:val="none" w:sz="0" w:space="0" w:color="auto"/>
                                    <w:right w:val="none" w:sz="0" w:space="0" w:color="auto"/>
                                  </w:divBdr>
                                  <w:divsChild>
                                    <w:div w:id="1296762244">
                                      <w:marLeft w:val="0"/>
                                      <w:marRight w:val="0"/>
                                      <w:marTop w:val="0"/>
                                      <w:marBottom w:val="0"/>
                                      <w:divBdr>
                                        <w:top w:val="none" w:sz="0" w:space="0" w:color="auto"/>
                                        <w:left w:val="none" w:sz="0" w:space="0" w:color="auto"/>
                                        <w:bottom w:val="none" w:sz="0" w:space="0" w:color="auto"/>
                                        <w:right w:val="none" w:sz="0" w:space="0" w:color="auto"/>
                                      </w:divBdr>
                                      <w:divsChild>
                                        <w:div w:id="950822681">
                                          <w:marLeft w:val="0"/>
                                          <w:marRight w:val="0"/>
                                          <w:marTop w:val="0"/>
                                          <w:marBottom w:val="0"/>
                                          <w:divBdr>
                                            <w:top w:val="none" w:sz="0" w:space="0" w:color="auto"/>
                                            <w:left w:val="none" w:sz="0" w:space="0" w:color="auto"/>
                                            <w:bottom w:val="none" w:sz="0" w:space="0" w:color="auto"/>
                                            <w:right w:val="none" w:sz="0" w:space="0" w:color="auto"/>
                                          </w:divBdr>
                                          <w:divsChild>
                                            <w:div w:id="6597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6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154535961">
      <w:bodyDiv w:val="1"/>
      <w:marLeft w:val="0"/>
      <w:marRight w:val="0"/>
      <w:marTop w:val="0"/>
      <w:marBottom w:val="0"/>
      <w:divBdr>
        <w:top w:val="none" w:sz="0" w:space="0" w:color="auto"/>
        <w:left w:val="none" w:sz="0" w:space="0" w:color="auto"/>
        <w:bottom w:val="none" w:sz="0" w:space="0" w:color="auto"/>
        <w:right w:val="none" w:sz="0" w:space="0" w:color="auto"/>
      </w:divBdr>
    </w:div>
    <w:div w:id="165484436">
      <w:bodyDiv w:val="1"/>
      <w:marLeft w:val="0"/>
      <w:marRight w:val="0"/>
      <w:marTop w:val="0"/>
      <w:marBottom w:val="0"/>
      <w:divBdr>
        <w:top w:val="none" w:sz="0" w:space="0" w:color="auto"/>
        <w:left w:val="none" w:sz="0" w:space="0" w:color="auto"/>
        <w:bottom w:val="none" w:sz="0" w:space="0" w:color="auto"/>
        <w:right w:val="none" w:sz="0" w:space="0" w:color="auto"/>
      </w:divBdr>
    </w:div>
    <w:div w:id="188759503">
      <w:bodyDiv w:val="1"/>
      <w:marLeft w:val="0"/>
      <w:marRight w:val="0"/>
      <w:marTop w:val="0"/>
      <w:marBottom w:val="0"/>
      <w:divBdr>
        <w:top w:val="none" w:sz="0" w:space="0" w:color="auto"/>
        <w:left w:val="none" w:sz="0" w:space="0" w:color="auto"/>
        <w:bottom w:val="none" w:sz="0" w:space="0" w:color="auto"/>
        <w:right w:val="none" w:sz="0" w:space="0" w:color="auto"/>
      </w:divBdr>
    </w:div>
    <w:div w:id="209344331">
      <w:bodyDiv w:val="1"/>
      <w:marLeft w:val="0"/>
      <w:marRight w:val="0"/>
      <w:marTop w:val="0"/>
      <w:marBottom w:val="0"/>
      <w:divBdr>
        <w:top w:val="none" w:sz="0" w:space="0" w:color="auto"/>
        <w:left w:val="none" w:sz="0" w:space="0" w:color="auto"/>
        <w:bottom w:val="none" w:sz="0" w:space="0" w:color="auto"/>
        <w:right w:val="none" w:sz="0" w:space="0" w:color="auto"/>
      </w:divBdr>
    </w:div>
    <w:div w:id="211112149">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80915848">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453670838">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73517012">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995377969">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6002660">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10137983">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36415316">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36518109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00998809">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02373042">
      <w:bodyDiv w:val="1"/>
      <w:marLeft w:val="0"/>
      <w:marRight w:val="0"/>
      <w:marTop w:val="0"/>
      <w:marBottom w:val="0"/>
      <w:divBdr>
        <w:top w:val="none" w:sz="0" w:space="0" w:color="auto"/>
        <w:left w:val="none" w:sz="0" w:space="0" w:color="auto"/>
        <w:bottom w:val="none" w:sz="0" w:space="0" w:color="auto"/>
        <w:right w:val="none" w:sz="0" w:space="0" w:color="auto"/>
      </w:divBdr>
    </w:div>
    <w:div w:id="1643000407">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005624805">
      <w:bodyDiv w:val="1"/>
      <w:marLeft w:val="0"/>
      <w:marRight w:val="0"/>
      <w:marTop w:val="0"/>
      <w:marBottom w:val="0"/>
      <w:divBdr>
        <w:top w:val="none" w:sz="0" w:space="0" w:color="auto"/>
        <w:left w:val="none" w:sz="0" w:space="0" w:color="auto"/>
        <w:bottom w:val="none" w:sz="0" w:space="0" w:color="auto"/>
        <w:right w:val="none" w:sz="0" w:space="0" w:color="auto"/>
      </w:divBdr>
    </w:div>
    <w:div w:id="205699962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 w:id="2123570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company/1066815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okpointy/" TargetMode="External"/><Relationship Id="rId5" Type="http://schemas.openxmlformats.org/officeDocument/2006/relationships/webSettings" Target="webSettings.xml"/><Relationship Id="rId15" Type="http://schemas.openxmlformats.org/officeDocument/2006/relationships/hyperlink" Target="mailto:lenka.kuzelova@bcas.cz" TargetMode="External"/><Relationship Id="rId10" Type="http://schemas.openxmlformats.org/officeDocument/2006/relationships/hyperlink" Target="https://www.linkedin.com/company/78654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cebook.com/Broker.Consulting/" TargetMode="External"/><Relationship Id="rId14" Type="http://schemas.openxmlformats.org/officeDocument/2006/relationships/hyperlink" Target="https://bcas.cz/pro-media/detail-indexu-broker-consulting-povinde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53ABB-985A-473C-BDA0-70ACB182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959</Words>
  <Characters>5662</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4</cp:revision>
  <dcterms:created xsi:type="dcterms:W3CDTF">2026-02-19T10:15:00Z</dcterms:created>
  <dcterms:modified xsi:type="dcterms:W3CDTF">2026-02-23T07:32:00Z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