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</w:rPr>
      </w:sdtEndPr>
      <w:sdtContent>
        <w:p w14:paraId="7ED014A1" w14:textId="55F827D2" w:rsidR="00D80B6D" w:rsidRPr="00B346ED" w:rsidRDefault="00D80B6D" w:rsidP="0075719A">
          <w:pPr>
            <w:jc w:val="center"/>
            <w:rPr>
              <w:highlight w:val="yellow"/>
            </w:rPr>
          </w:pPr>
        </w:p>
        <w:p w14:paraId="0FB45B67" w14:textId="73803255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>FIXINDEX</w:t>
          </w:r>
        </w:p>
        <w:p w14:paraId="03C4DE47" w14:textId="1817EBF4" w:rsidR="0009776B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INDEX PODÍLOVÝCH FONDŮ</w:t>
          </w:r>
        </w:p>
        <w:p w14:paraId="5F5E486E" w14:textId="2A454C45" w:rsidR="004B5B94" w:rsidRPr="007443AD" w:rsidRDefault="004B5B94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68C3B9E4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>INDEX</w:t>
          </w:r>
        </w:p>
        <w:p w14:paraId="5B21B8A6" w14:textId="37BF6042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INDEX SPOTŘEBITELSKÝCH ÚVĚRŮ</w:t>
          </w:r>
        </w:p>
        <w:p w14:paraId="720CCDBB" w14:textId="77777777" w:rsidR="00D80B6D" w:rsidRPr="00D84B7D" w:rsidRDefault="00D80B6D" w:rsidP="0075719A">
          <w:pPr>
            <w:pStyle w:val="Zkladntext"/>
            <w:spacing w:before="240"/>
            <w:jc w:val="center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75719A">
          <w:pPr>
            <w:jc w:val="center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43DC8431" w:rsidR="00792EE9" w:rsidRPr="005B7E46" w:rsidRDefault="00792EE9" w:rsidP="0075719A">
          <w:pPr>
            <w:jc w:val="center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</w:t>
          </w:r>
          <w:r w:rsidR="001734B4"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00 000 klientů. Poskytuje také služby přes 4 000 firmám. Distribuci služeb zajišťuje přibližně 2 000 konzultantů (profesionální konzultanti, zaměstnanci, konzultanti v zapracování v ČR i SR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) na více než 110 obchodních místech pod názvy 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>Broker Point Premium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 nebo Broker Point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>aliditu za zlomek obvyklých cen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Více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Navštivte také náš </w:t>
          </w:r>
          <w:hyperlink r:id="rId13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@BC_oficialni,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.</w:t>
          </w:r>
        </w:p>
        <w:p w14:paraId="3F0EC976" w14:textId="3496D289" w:rsidR="00D80B6D" w:rsidRPr="006545F8" w:rsidRDefault="00D80B6D" w:rsidP="0075719A">
          <w:pPr>
            <w:pStyle w:val="Zkladntext"/>
            <w:jc w:val="center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0F6CA0E6" w:rsidR="00D31127" w:rsidRPr="0042337E" w:rsidRDefault="005A2195" w:rsidP="0075719A">
          <w:pPr>
            <w:jc w:val="center"/>
            <w:rPr>
              <w:rFonts w:asciiTheme="minorHAnsi" w:hAnsiTheme="minorHAnsi" w:cstheme="minorHAnsi"/>
              <w:highlight w:val="yellow"/>
            </w:rPr>
            <w:sectPr w:rsidR="00D31127" w:rsidRPr="0042337E" w:rsidSect="00D80B6D">
              <w:headerReference w:type="even" r:id="rId23"/>
              <w:headerReference w:type="default" r:id="rId24"/>
              <w:footerReference w:type="even" r:id="rId25"/>
              <w:footerReference w:type="default" r:id="rId26"/>
              <w:headerReference w:type="first" r:id="rId27"/>
              <w:footerReference w:type="first" r:id="rId28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305A0D43" w14:textId="077D3188" w:rsidR="00EC65E8" w:rsidRPr="009C063D" w:rsidRDefault="00EB39AA" w:rsidP="009C063D">
      <w:pPr>
        <w:pStyle w:val="Nadpis1"/>
        <w:jc w:val="center"/>
        <w:rPr>
          <w:rFonts w:asciiTheme="minorHAnsi" w:hAnsiTheme="minorHAnsi" w:cstheme="minorHAnsi"/>
          <w:b/>
        </w:rPr>
      </w:pPr>
      <w:r w:rsidRPr="009C063D">
        <w:rPr>
          <w:rFonts w:asciiTheme="minorHAnsi" w:hAnsiTheme="minorHAnsi" w:cstheme="minorHAnsi"/>
          <w:b/>
        </w:rPr>
        <w:t>Listopad přinesl další mírné snížení hypotečních sazeb</w:t>
      </w:r>
    </w:p>
    <w:p w14:paraId="3D7C145E" w14:textId="5BAB3A27" w:rsidR="00DF7A2F" w:rsidRPr="009C063D" w:rsidRDefault="00EB39AA" w:rsidP="009C063D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9C063D">
        <w:rPr>
          <w:rFonts w:asciiTheme="minorHAnsi" w:hAnsiTheme="minorHAnsi" w:cstheme="minorHAnsi"/>
          <w:b/>
          <w:sz w:val="21"/>
          <w:szCs w:val="21"/>
        </w:rPr>
        <w:t>Průměrná sazba hypoték se v listopadu snížila na 4,52 %.</w:t>
      </w:r>
    </w:p>
    <w:p w14:paraId="6BA269B1" w14:textId="32B0BD29" w:rsidR="00DF7A2F" w:rsidRPr="009C063D" w:rsidRDefault="00EB39AA" w:rsidP="009C063D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9C063D">
        <w:rPr>
          <w:rFonts w:asciiTheme="minorHAnsi" w:hAnsiTheme="minorHAnsi" w:cstheme="minorHAnsi"/>
          <w:b/>
          <w:sz w:val="21"/>
          <w:szCs w:val="21"/>
        </w:rPr>
        <w:t>Meziměsíčně jde o pokles o tři bazické body</w:t>
      </w:r>
      <w:r w:rsidR="009C063D">
        <w:rPr>
          <w:rFonts w:asciiTheme="minorHAnsi" w:hAnsiTheme="minorHAnsi" w:cstheme="minorHAnsi"/>
          <w:b/>
          <w:sz w:val="21"/>
          <w:szCs w:val="21"/>
        </w:rPr>
        <w:t>.</w:t>
      </w:r>
    </w:p>
    <w:p w14:paraId="7E9A2612" w14:textId="6E3FE56A" w:rsidR="00DF7A2F" w:rsidRPr="009C063D" w:rsidRDefault="00EB39AA" w:rsidP="009C063D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9C063D">
        <w:rPr>
          <w:rFonts w:asciiTheme="minorHAnsi" w:hAnsiTheme="minorHAnsi" w:cstheme="minorHAnsi"/>
          <w:b/>
          <w:sz w:val="21"/>
          <w:szCs w:val="21"/>
        </w:rPr>
        <w:t>Letošní rok se nese ve znamení pozvolného zlevňování hypoték.</w:t>
      </w:r>
    </w:p>
    <w:p w14:paraId="5500C3C7" w14:textId="606D2778" w:rsidR="00EB39AA" w:rsidRPr="009C063D" w:rsidRDefault="00EB39AA" w:rsidP="009C063D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hAnsiTheme="minorHAnsi" w:cstheme="minorHAnsi"/>
          <w:b/>
        </w:rPr>
      </w:pPr>
      <w:r w:rsidRPr="009C063D">
        <w:rPr>
          <w:rStyle w:val="Siln"/>
          <w:rFonts w:asciiTheme="minorHAnsi" w:hAnsiTheme="minorHAnsi" w:cstheme="minorHAnsi"/>
          <w:b w:val="0"/>
          <w:i/>
        </w:rPr>
        <w:t>Praha, 2. prosince 2025</w:t>
      </w:r>
      <w:r w:rsidRPr="009C063D">
        <w:rPr>
          <w:rFonts w:asciiTheme="minorHAnsi" w:hAnsiTheme="minorHAnsi" w:cstheme="minorHAnsi"/>
          <w:b/>
          <w:i/>
        </w:rPr>
        <w:t xml:space="preserve"> –</w:t>
      </w:r>
      <w:r w:rsidRPr="009C063D">
        <w:rPr>
          <w:rFonts w:asciiTheme="minorHAnsi" w:hAnsiTheme="minorHAnsi" w:cstheme="minorHAnsi"/>
        </w:rPr>
        <w:t xml:space="preserve"> </w:t>
      </w:r>
      <w:r w:rsidRPr="009C063D">
        <w:rPr>
          <w:rFonts w:asciiTheme="minorHAnsi" w:hAnsiTheme="minorHAnsi" w:cstheme="minorHAnsi"/>
          <w:b/>
        </w:rPr>
        <w:t xml:space="preserve">Průměrná úroková sazba hypotečních úvěrů se po zářijovém </w:t>
      </w:r>
      <w:r w:rsidR="009C063D">
        <w:rPr>
          <w:rFonts w:asciiTheme="minorHAnsi" w:hAnsiTheme="minorHAnsi" w:cstheme="minorHAnsi"/>
          <w:b/>
        </w:rPr>
        <w:t>jednorázovém zvýšení vydává</w:t>
      </w:r>
      <w:r w:rsidRPr="009C063D">
        <w:rPr>
          <w:rFonts w:asciiTheme="minorHAnsi" w:hAnsiTheme="minorHAnsi" w:cstheme="minorHAnsi"/>
          <w:b/>
        </w:rPr>
        <w:t xml:space="preserve"> </w:t>
      </w:r>
      <w:r w:rsidR="009C063D">
        <w:rPr>
          <w:rFonts w:asciiTheme="minorHAnsi" w:hAnsiTheme="minorHAnsi" w:cstheme="minorHAnsi"/>
          <w:b/>
        </w:rPr>
        <w:t xml:space="preserve">již druhým měsícem </w:t>
      </w:r>
      <w:r w:rsidRPr="009C063D">
        <w:rPr>
          <w:rFonts w:asciiTheme="minorHAnsi" w:hAnsiTheme="minorHAnsi" w:cstheme="minorHAnsi"/>
          <w:b/>
        </w:rPr>
        <w:t>směrem dolů. Podle Broker Consulting Indexu hypotečních úvěrů činila průměrná nabídková sazba v listopadu 4,52 %, což představuje pokles o tři bazické body oproti říjnové hodnotě. S výjimkou září se celý letošní rok vyvíjí ve znamení mírného, ale stabilního zlevňování.</w:t>
      </w:r>
    </w:p>
    <w:p w14:paraId="3E284B30" w14:textId="250F9871" w:rsidR="00EB39AA" w:rsidRDefault="00EB39AA" w:rsidP="009C063D">
      <w:pPr>
        <w:rPr>
          <w:rFonts w:asciiTheme="minorHAnsi" w:hAnsiTheme="minorHAnsi" w:cstheme="minorHAnsi"/>
          <w:b/>
        </w:rPr>
      </w:pPr>
      <w:r w:rsidRPr="009C063D">
        <w:rPr>
          <w:rFonts w:asciiTheme="minorHAnsi" w:hAnsiTheme="minorHAnsi" w:cstheme="minorHAnsi"/>
        </w:rPr>
        <w:t xml:space="preserve">„Zatímco září přineslo krátkodobý růst sazeb, v říjnu i listopadu se úrokové sazby opět velmi mírně snižují. Česká národní banka ponechává dvoutýdenní repo sazbu od května na úrovni 3,5 %, což potvrzuje její opatrný přístup. Proto ani v následujících měsících neočekáváme zásadnější změny, spíše pokračování současné stability,“ uvádí </w:t>
      </w:r>
      <w:r w:rsidRPr="009C063D">
        <w:rPr>
          <w:rFonts w:asciiTheme="minorHAnsi" w:hAnsiTheme="minorHAnsi" w:cstheme="minorHAnsi"/>
          <w:b/>
        </w:rPr>
        <w:t>Michaela Pudilová, analytička hypotečních úvěrů společnosti Broker Consulting.</w:t>
      </w:r>
    </w:p>
    <w:p w14:paraId="6257EE15" w14:textId="77777777" w:rsidR="009C063D" w:rsidRPr="009C063D" w:rsidRDefault="009C063D" w:rsidP="009C063D">
      <w:pPr>
        <w:rPr>
          <w:rFonts w:asciiTheme="minorHAnsi" w:hAnsiTheme="minorHAnsi" w:cstheme="minorHAnsi"/>
          <w:b/>
        </w:rPr>
      </w:pPr>
    </w:p>
    <w:p w14:paraId="0112E55A" w14:textId="7F1BEAE7" w:rsidR="00EB39AA" w:rsidRPr="009C063D" w:rsidRDefault="00EB39AA" w:rsidP="009C063D">
      <w:pPr>
        <w:jc w:val="both"/>
        <w:rPr>
          <w:rFonts w:ascii="Calibri" w:hAnsi="Calibri" w:cs="Calibri"/>
          <w:i/>
        </w:rPr>
      </w:pPr>
      <w:r w:rsidRPr="009C063D">
        <w:rPr>
          <w:rFonts w:ascii="Calibri" w:hAnsi="Calibri" w:cs="Calibri"/>
        </w:rPr>
        <w:t>Od ledna letošního roku, kdy průměrná sazba dosahovala 4,92 %, sledujeme pozvolné zlevňování téměř každý měsíc. V únoru činila sazba 4,83 %, v březnu 4,75 %, v dubnu 4,72 % a v květnu 4,71 %. V červnu klesla na 4,69 %, v červenci na 4,67 %, v srpnu na 4,60 % a v září došlo k dočasnému růstu na 4,64 %. Říjen přinesl pokles na 4,55 % a v listopadu se sazby dostaly na 4,52 %. Meziročně jde o výrazně příznivější situaci – loni touto dobou činila sazba 5,70 % a v roce 2023 dokonce 5,97 %.</w:t>
      </w:r>
    </w:p>
    <w:p w14:paraId="04A7C156" w14:textId="77777777" w:rsidR="009C063D" w:rsidRDefault="009C063D" w:rsidP="009C063D">
      <w:pPr>
        <w:pStyle w:val="Nadpis3"/>
        <w:ind w:left="0"/>
        <w:jc w:val="left"/>
        <w:rPr>
          <w:rStyle w:val="Siln"/>
          <w:rFonts w:ascii="Calibri" w:hAnsi="Calibri" w:cs="Calibri"/>
        </w:rPr>
      </w:pPr>
    </w:p>
    <w:p w14:paraId="08D248A1" w14:textId="62557CF6" w:rsidR="00601E56" w:rsidRPr="004048C6" w:rsidRDefault="00601E56" w:rsidP="009C063D">
      <w:pPr>
        <w:pStyle w:val="Nadpis3"/>
        <w:ind w:left="0"/>
        <w:jc w:val="left"/>
        <w:rPr>
          <w:rStyle w:val="Siln"/>
          <w:rFonts w:ascii="Calibri" w:hAnsi="Calibri" w:cs="Calibri"/>
        </w:rPr>
      </w:pPr>
      <w:r w:rsidRPr="004048C6">
        <w:rPr>
          <w:rStyle w:val="Siln"/>
          <w:rFonts w:ascii="Calibri" w:hAnsi="Calibri" w:cs="Calibri"/>
        </w:rPr>
        <w:t>Co pokles sazeb znamená v praxi?</w:t>
      </w:r>
    </w:p>
    <w:p w14:paraId="6D113612" w14:textId="292D6A6D" w:rsidR="00601E56" w:rsidRPr="00352286" w:rsidRDefault="00601E56" w:rsidP="00601E56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="Calibri" w:hAnsi="Calibri" w:cs="Calibri"/>
          <w:b/>
          <w:bCs/>
        </w:rPr>
      </w:pPr>
      <w:r w:rsidRPr="00352286">
        <w:rPr>
          <w:rFonts w:ascii="Calibri" w:hAnsi="Calibri" w:cs="Calibri"/>
        </w:rPr>
        <w:t>Například u hypotéky ve výši 5 milionů korun se splatností 3</w:t>
      </w:r>
      <w:r w:rsidR="00EB39AA">
        <w:rPr>
          <w:rFonts w:ascii="Calibri" w:hAnsi="Calibri" w:cs="Calibri"/>
        </w:rPr>
        <w:t>0 let by při aktuální sazbě 4,52</w:t>
      </w:r>
      <w:r w:rsidRPr="00352286">
        <w:rPr>
          <w:rFonts w:ascii="Calibri" w:hAnsi="Calibri" w:cs="Calibri"/>
        </w:rPr>
        <w:t xml:space="preserve"> % </w:t>
      </w:r>
      <w:r w:rsidR="004221E4">
        <w:rPr>
          <w:rFonts w:ascii="Calibri" w:hAnsi="Calibri" w:cs="Calibri"/>
        </w:rPr>
        <w:t xml:space="preserve">splátka </w:t>
      </w:r>
      <w:r w:rsidR="009C063D">
        <w:rPr>
          <w:rFonts w:ascii="Calibri" w:hAnsi="Calibri" w:cs="Calibri"/>
        </w:rPr>
        <w:t>činila přibližně 25 394</w:t>
      </w:r>
      <w:r w:rsidRPr="00352286">
        <w:rPr>
          <w:rFonts w:ascii="Calibri" w:hAnsi="Calibri" w:cs="Calibri"/>
        </w:rPr>
        <w:t xml:space="preserve"> korun. Oproti zářijové h</w:t>
      </w:r>
      <w:r w:rsidR="009C063D">
        <w:rPr>
          <w:rFonts w:ascii="Calibri" w:hAnsi="Calibri" w:cs="Calibri"/>
        </w:rPr>
        <w:t>odnotě jde o úsporu 89</w:t>
      </w:r>
      <w:r w:rsidRPr="00352286">
        <w:rPr>
          <w:rFonts w:ascii="Calibri" w:hAnsi="Calibri" w:cs="Calibri"/>
        </w:rPr>
        <w:t xml:space="preserve"> korun měsíčně. K výraznějším změnám by došlo až při snížení sazby o celý procentní bod. V takovém případě by měsíční sp</w:t>
      </w:r>
      <w:r w:rsidR="00EB39AA">
        <w:rPr>
          <w:rFonts w:ascii="Calibri" w:hAnsi="Calibri" w:cs="Calibri"/>
        </w:rPr>
        <w:t>látka klesla na přibliž</w:t>
      </w:r>
      <w:r w:rsidR="009C063D">
        <w:rPr>
          <w:rFonts w:ascii="Calibri" w:hAnsi="Calibri" w:cs="Calibri"/>
        </w:rPr>
        <w:t>ně 22 508</w:t>
      </w:r>
      <w:r w:rsidRPr="00352286">
        <w:rPr>
          <w:rFonts w:ascii="Calibri" w:hAnsi="Calibri" w:cs="Calibri"/>
        </w:rPr>
        <w:t xml:space="preserve"> korun.</w:t>
      </w:r>
      <w:bookmarkStart w:id="0" w:name="_GoBack"/>
      <w:bookmarkEnd w:id="0"/>
    </w:p>
    <w:p w14:paraId="42EC972D" w14:textId="56B2EE9C" w:rsidR="00EC06DB" w:rsidRPr="0042337E" w:rsidRDefault="005455AF" w:rsidP="00297291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eastAsia="Times New Roman" w:hAnsiTheme="minorHAnsi" w:cstheme="minorHAnsi"/>
          <w:bCs/>
          <w:noProof/>
          <w:lang w:bidi="ar-SA"/>
        </w:rPr>
      </w:pPr>
      <w:r>
        <w:rPr>
          <w:rFonts w:asciiTheme="minorHAnsi" w:eastAsia="Times New Roman" w:hAnsiTheme="minorHAnsi" w:cstheme="minorHAnsi"/>
          <w:bCs/>
          <w:noProof/>
          <w:lang w:bidi="ar-SA"/>
        </w:rPr>
        <w:drawing>
          <wp:inline distT="0" distB="0" distL="0" distR="0" wp14:anchorId="2978C81D" wp14:editId="1E4EB608">
            <wp:extent cx="6635750" cy="30549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 k vývoji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7375A" w14:textId="05E5E2C6" w:rsidR="00787417" w:rsidRDefault="00787417" w:rsidP="00787417">
      <w:pPr>
        <w:pStyle w:val="Nadpis3"/>
        <w:ind w:left="0"/>
        <w:jc w:val="left"/>
        <w:rPr>
          <w:rFonts w:asciiTheme="minorHAnsi" w:hAnsiTheme="minorHAnsi" w:cstheme="minorHAnsi"/>
          <w:b/>
        </w:rPr>
      </w:pPr>
      <w:r w:rsidRPr="00787417">
        <w:rPr>
          <w:rFonts w:asciiTheme="minorHAnsi" w:hAnsiTheme="minorHAnsi" w:cstheme="minorHAnsi"/>
          <w:b/>
        </w:rPr>
        <w:t>Kdy máte nárok splatit hypotéku zdarma?</w:t>
      </w:r>
    </w:p>
    <w:p w14:paraId="5F398159" w14:textId="77777777" w:rsidR="00787417" w:rsidRPr="00787417" w:rsidRDefault="00787417" w:rsidP="00787417">
      <w:pPr>
        <w:pStyle w:val="Nadpis3"/>
        <w:ind w:left="0"/>
        <w:jc w:val="left"/>
        <w:rPr>
          <w:rFonts w:asciiTheme="minorHAnsi" w:eastAsia="Times New Roman" w:hAnsiTheme="minorHAnsi" w:cstheme="minorHAnsi"/>
          <w:b/>
          <w:bCs/>
          <w:lang w:bidi="ar-SA"/>
        </w:rPr>
      </w:pPr>
    </w:p>
    <w:p w14:paraId="02BF5EC2" w14:textId="16C17C0C" w:rsidR="00787417" w:rsidRPr="00787417" w:rsidRDefault="00787417" w:rsidP="00787417">
      <w:pPr>
        <w:jc w:val="both"/>
        <w:rPr>
          <w:rFonts w:asciiTheme="minorHAnsi" w:hAnsiTheme="minorHAnsi" w:cstheme="minorHAnsi"/>
        </w:rPr>
      </w:pPr>
      <w:r w:rsidRPr="00787417">
        <w:rPr>
          <w:rFonts w:asciiTheme="minorHAnsi" w:hAnsiTheme="minorHAnsi" w:cstheme="minorHAnsi"/>
        </w:rPr>
        <w:t>Hypoteční úvěr je závazek na dlouhá léta, a proto se vyplatí vědět, kdy je možné jej doplatit bez sankcí. Nejčastější příležitostí je konec fixace úrokové</w:t>
      </w:r>
      <w:r w:rsidR="001D33DB">
        <w:rPr>
          <w:rFonts w:asciiTheme="minorHAnsi" w:hAnsiTheme="minorHAnsi" w:cstheme="minorHAnsi"/>
        </w:rPr>
        <w:t xml:space="preserve"> sazby, kdy může klient hypoteční úvěr</w:t>
      </w:r>
      <w:r w:rsidRPr="00787417">
        <w:rPr>
          <w:rFonts w:asciiTheme="minorHAnsi" w:hAnsiTheme="minorHAnsi" w:cstheme="minorHAnsi"/>
        </w:rPr>
        <w:t xml:space="preserve"> splatit nebo refinancovat bez poplatků. Bezplatné splacení je možné také v případě, kdy je na úvěr sjednáno pojištění a nastane pojistná událost – například vážná nemoc, invalidita či úmrtí dlužníka nebo jeho partnera. Další situací, kdy banka neúčtuje sankci, je vypořádání </w:t>
      </w:r>
      <w:r w:rsidRPr="00787417">
        <w:rPr>
          <w:rFonts w:asciiTheme="minorHAnsi" w:hAnsiTheme="minorHAnsi" w:cstheme="minorHAnsi"/>
        </w:rPr>
        <w:lastRenderedPageBreak/>
        <w:t>společného jmění manželů po rozvodu nebo prodej nemovitosti, pokud od sjednání hypotéky uplynulo alespoň 24 měsíců. Ve všech ostatních případech bývá předčasné doplacení zpoplatněno.</w:t>
      </w:r>
    </w:p>
    <w:p w14:paraId="78DC5CC0" w14:textId="38DF2C55" w:rsidR="00787417" w:rsidRPr="00787417" w:rsidRDefault="00787417" w:rsidP="00787417">
      <w:pPr>
        <w:jc w:val="both"/>
        <w:rPr>
          <w:rFonts w:asciiTheme="minorHAnsi" w:hAnsiTheme="minorHAnsi" w:cstheme="minorHAnsi"/>
        </w:rPr>
      </w:pPr>
    </w:p>
    <w:p w14:paraId="64B49903" w14:textId="17205A51" w:rsidR="00787417" w:rsidRPr="00787417" w:rsidRDefault="00787417" w:rsidP="00787417">
      <w:pPr>
        <w:jc w:val="both"/>
        <w:rPr>
          <w:rFonts w:asciiTheme="minorHAnsi" w:eastAsia="Times New Roman" w:hAnsiTheme="minorHAnsi" w:cstheme="minorHAnsi"/>
          <w:b/>
          <w:lang w:bidi="ar-SA"/>
        </w:rPr>
      </w:pPr>
      <w:r w:rsidRPr="00787417">
        <w:rPr>
          <w:rFonts w:asciiTheme="minorHAnsi" w:eastAsia="Times New Roman" w:hAnsiTheme="minorHAnsi" w:cstheme="minorHAnsi"/>
          <w:bCs/>
          <w:i/>
          <w:lang w:bidi="ar-SA"/>
        </w:rPr>
        <w:t>„Zákon přesně vymezuje situace, kdy může klient hypotéku doplatit bez sankcí, ale jejich praktické uplatnění nebývá vždy úplně jednoznačné. Každá banka má vlastní postupy a podmínky, které je</w:t>
      </w:r>
      <w:r w:rsidR="001D33DB">
        <w:rPr>
          <w:rFonts w:asciiTheme="minorHAnsi" w:eastAsia="Times New Roman" w:hAnsiTheme="minorHAnsi" w:cstheme="minorHAnsi"/>
          <w:bCs/>
          <w:i/>
          <w:lang w:bidi="ar-SA"/>
        </w:rPr>
        <w:t xml:space="preserve"> pro bezplatné splacení  nutné dodržet</w:t>
      </w:r>
      <w:r w:rsidRPr="00787417">
        <w:rPr>
          <w:rFonts w:asciiTheme="minorHAnsi" w:eastAsia="Times New Roman" w:hAnsiTheme="minorHAnsi" w:cstheme="minorHAnsi"/>
          <w:bCs/>
          <w:i/>
          <w:lang w:bidi="ar-SA"/>
        </w:rPr>
        <w:t>. Proto doporučuji konzulto</w:t>
      </w:r>
      <w:r w:rsidR="001D33DB">
        <w:rPr>
          <w:rFonts w:asciiTheme="minorHAnsi" w:eastAsia="Times New Roman" w:hAnsiTheme="minorHAnsi" w:cstheme="minorHAnsi"/>
          <w:bCs/>
          <w:i/>
          <w:lang w:bidi="ar-SA"/>
        </w:rPr>
        <w:t>vat záměr doplacení s odborníkem</w:t>
      </w:r>
      <w:r w:rsidRPr="00787417">
        <w:rPr>
          <w:rFonts w:asciiTheme="minorHAnsi" w:eastAsia="Times New Roman" w:hAnsiTheme="minorHAnsi" w:cstheme="minorHAnsi"/>
          <w:bCs/>
          <w:i/>
          <w:lang w:bidi="ar-SA"/>
        </w:rPr>
        <w:t>, který dokáže posoudit všechny okolnosti a pohlídat, aby klient splnil vše potřebné,“</w:t>
      </w:r>
      <w:r w:rsidRPr="00787417">
        <w:rPr>
          <w:rFonts w:asciiTheme="minorHAnsi" w:eastAsia="Times New Roman" w:hAnsiTheme="minorHAnsi" w:cstheme="minorHAnsi"/>
          <w:bCs/>
          <w:lang w:bidi="ar-SA"/>
        </w:rPr>
        <w:t xml:space="preserve"> upozorňuje </w:t>
      </w:r>
      <w:r w:rsidRPr="00787417">
        <w:rPr>
          <w:rFonts w:asciiTheme="minorHAnsi" w:eastAsia="Times New Roman" w:hAnsiTheme="minorHAnsi" w:cstheme="minorHAnsi"/>
          <w:b/>
          <w:bCs/>
          <w:lang w:bidi="ar-SA"/>
        </w:rPr>
        <w:t>Michaela Pudilová, analytička hypotečních úvěrů společnosti Broker Consulting.</w:t>
      </w:r>
    </w:p>
    <w:p w14:paraId="06153168" w14:textId="49F64D54" w:rsidR="00236A37" w:rsidRPr="00AB7BAF" w:rsidRDefault="00C42CA5" w:rsidP="005013FE">
      <w:pPr>
        <w:pBdr>
          <w:top w:val="single" w:sz="4" w:space="1" w:color="auto"/>
        </w:pBdr>
        <w:spacing w:before="240" w:after="120"/>
        <w:jc w:val="both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sz w:val="21"/>
          <w:szCs w:val="21"/>
        </w:rPr>
        <w:t xml:space="preserve">Broker </w:t>
      </w:r>
      <w:r w:rsidR="00C36E55" w:rsidRPr="0029038B">
        <w:rPr>
          <w:rFonts w:asciiTheme="minorHAnsi" w:hAnsiTheme="minorHAnsi" w:cstheme="minorHAnsi"/>
          <w:sz w:val="21"/>
          <w:szCs w:val="21"/>
        </w:rPr>
        <w:t>Con</w:t>
      </w:r>
      <w:r w:rsidR="007B0955">
        <w:rPr>
          <w:rFonts w:asciiTheme="minorHAnsi" w:hAnsiTheme="minorHAnsi" w:cstheme="minorHAnsi"/>
          <w:sz w:val="21"/>
          <w:szCs w:val="21"/>
        </w:rPr>
        <w:t>sultin</w:t>
      </w:r>
      <w:r w:rsidRPr="0029038B">
        <w:rPr>
          <w:rFonts w:asciiTheme="minorHAnsi" w:hAnsiTheme="minorHAnsi" w:cstheme="minorHAnsi"/>
          <w:sz w:val="21"/>
          <w:szCs w:val="21"/>
        </w:rPr>
        <w:t>g Index hypotečních úvěrů je analytický nástroj</w:t>
      </w:r>
      <w:r w:rsidR="00113603" w:rsidRPr="0029038B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29038B">
        <w:rPr>
          <w:rFonts w:asciiTheme="minorHAnsi" w:hAnsiTheme="minorHAnsi" w:cstheme="minorHAnsi"/>
          <w:sz w:val="21"/>
          <w:szCs w:val="21"/>
        </w:rPr>
        <w:t xml:space="preserve"> průměrnou úrokovou </w:t>
      </w:r>
      <w:r w:rsidRPr="00AB7BAF">
        <w:rPr>
          <w:rFonts w:asciiTheme="minorHAnsi" w:hAnsiTheme="minorHAnsi" w:cstheme="minorHAnsi"/>
          <w:sz w:val="21"/>
          <w:szCs w:val="21"/>
        </w:rPr>
        <w:t xml:space="preserve">sazbu u hypotečních úvěrů, </w:t>
      </w:r>
      <w:r w:rsidR="00113603" w:rsidRPr="00AB7BAF">
        <w:rPr>
          <w:rFonts w:asciiTheme="minorHAnsi" w:hAnsiTheme="minorHAnsi" w:cstheme="minorHAnsi"/>
          <w:sz w:val="21"/>
          <w:szCs w:val="21"/>
        </w:rPr>
        <w:t>které</w:t>
      </w:r>
      <w:r w:rsidRPr="00AB7BAF">
        <w:rPr>
          <w:rFonts w:asciiTheme="minorHAnsi" w:hAnsiTheme="minorHAnsi" w:cstheme="minorHAnsi"/>
          <w:sz w:val="21"/>
          <w:szCs w:val="21"/>
        </w:rPr>
        <w:t xml:space="preserve"> zprostředkovali konzultanti Brok</w:t>
      </w:r>
      <w:r w:rsidR="00776A31">
        <w:rPr>
          <w:rFonts w:asciiTheme="minorHAnsi" w:hAnsiTheme="minorHAnsi" w:cstheme="minorHAnsi"/>
          <w:sz w:val="21"/>
          <w:szCs w:val="21"/>
        </w:rPr>
        <w:t>er Consulting a pobočky Broker Point nebo Broker Point Premium</w:t>
      </w:r>
      <w:r w:rsidRPr="00AB7BAF">
        <w:rPr>
          <w:rFonts w:asciiTheme="minorHAnsi" w:hAnsiTheme="minorHAnsi" w:cstheme="minorHAnsi"/>
          <w:sz w:val="21"/>
          <w:szCs w:val="21"/>
        </w:rPr>
        <w:t xml:space="preserve"> u kteréhokoli poskytovatele hypotečních úvěrů. Jedná se o vážený aritmetický průměr, kdy hlavní vahou je objem úvěru. Tedy čím vyšší úvěr, tím jeho sazba </w:t>
      </w:r>
      <w:r w:rsidR="00113603" w:rsidRPr="00AB7BAF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AB7BAF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AB7BAF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AB7BAF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AB7BAF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AB7BAF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AB7BAF" w:rsidRDefault="00C42CA5" w:rsidP="005013FE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AB7BAF">
        <w:rPr>
          <w:rFonts w:asciiTheme="minorHAnsi" w:hAnsiTheme="minorHAnsi" w:cstheme="minorHAnsi"/>
          <w:sz w:val="21"/>
          <w:szCs w:val="21"/>
        </w:rPr>
        <w:t>,</w:t>
      </w:r>
      <w:r w:rsidRPr="00AB7BAF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AB7BAF">
        <w:rPr>
          <w:rFonts w:asciiTheme="minorHAnsi" w:hAnsiTheme="minorHAnsi" w:cstheme="minorHAnsi"/>
          <w:sz w:val="21"/>
          <w:szCs w:val="21"/>
        </w:rPr>
        <w:t>a</w:t>
      </w:r>
      <w:r w:rsidRPr="00AB7BAF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0584C559" w14:textId="7CB832AA" w:rsidR="00C21F84" w:rsidRPr="00C21F84" w:rsidRDefault="002E6DB6" w:rsidP="005013FE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AB7BAF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5FCF3C96" w14:textId="79E57602" w:rsidR="00B01F39" w:rsidRPr="00C21F84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sz w:val="20"/>
          <w:szCs w:val="20"/>
        </w:rPr>
        <w:t>P</w:t>
      </w:r>
      <w:r w:rsidR="00B37F41" w:rsidRPr="00C21F84">
        <w:rPr>
          <w:rFonts w:asciiTheme="minorHAnsi" w:hAnsiTheme="minorHAnsi" w:cstheme="minorHAnsi"/>
          <w:b/>
          <w:sz w:val="20"/>
          <w:szCs w:val="20"/>
        </w:rPr>
        <w:t>oznámka pro média:</w:t>
      </w:r>
      <w:r w:rsidR="00B37F41" w:rsidRPr="00C21F84">
        <w:rPr>
          <w:rFonts w:asciiTheme="minorHAnsi" w:hAnsiTheme="minorHAnsi" w:cstheme="minorHAnsi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Indexy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je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možné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volně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2"/>
          <w:w w:val="105"/>
          <w:sz w:val="20"/>
          <w:szCs w:val="20"/>
        </w:rPr>
        <w:t>publikovat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pouze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s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označením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„Broker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Index“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-3"/>
          <w:w w:val="105"/>
          <w:sz w:val="20"/>
          <w:szCs w:val="20"/>
        </w:rPr>
        <w:t>(</w:t>
      </w:r>
      <w:r w:rsidR="00B37F41" w:rsidRPr="00C21F84">
        <w:rPr>
          <w:rFonts w:asciiTheme="minorHAnsi" w:hAnsiTheme="minorHAnsi" w:cstheme="minorHAnsi"/>
          <w:i/>
          <w:color w:val="1D1D1B"/>
          <w:spacing w:val="-3"/>
          <w:w w:val="105"/>
          <w:sz w:val="20"/>
          <w:szCs w:val="20"/>
        </w:rPr>
        <w:t>např.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i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index hypot</w:t>
      </w:r>
      <w:r w:rsidR="00830CE8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e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čních úvěrů). Více informací najdete též na webu </w:t>
      </w:r>
      <w:r w:rsidR="00B37F41" w:rsidRPr="00C21F84">
        <w:rPr>
          <w:rStyle w:val="Hypertextovodkaz"/>
          <w:rFonts w:asciiTheme="minorHAnsi" w:hAnsiTheme="minorHAnsi" w:cstheme="minorHAnsi"/>
          <w:i/>
          <w:w w:val="105"/>
          <w:sz w:val="20"/>
          <w:szCs w:val="20"/>
        </w:rPr>
        <w:t>https://www.bcas.cz/onas/pro-media/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. </w:t>
      </w:r>
    </w:p>
    <w:p w14:paraId="0BBC87EC" w14:textId="77777777" w:rsidR="001C22FE" w:rsidRPr="00C21F84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</w:pPr>
    </w:p>
    <w:p w14:paraId="72ED1D97" w14:textId="126A9B30" w:rsidR="001C22FE" w:rsidRPr="00C21F84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>Broker Consulting Indexy je nyní možné sledovat v interaktivní formě na webu</w:t>
      </w:r>
      <w:r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. Zde lze zároveň exportovat zdrojová data ke grafům. Vice dostupné na odkaze</w:t>
      </w:r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: </w:t>
      </w:r>
      <w:hyperlink r:id="rId30" w:history="1">
        <w:r w:rsidRPr="00C21F84">
          <w:rPr>
            <w:rStyle w:val="Hypertextovodkaz"/>
            <w:rFonts w:asciiTheme="minorHAnsi" w:hAnsiTheme="minorHAnsi" w:cstheme="minorHAnsi"/>
            <w:b/>
            <w:w w:val="105"/>
            <w:sz w:val="20"/>
            <w:szCs w:val="20"/>
          </w:rPr>
          <w:t>https://www.bcas.cz/o-nas/broker-consulting-index-hypotecnich-uveru/</w:t>
        </w:r>
      </w:hyperlink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. </w:t>
      </w:r>
    </w:p>
    <w:p w14:paraId="7DE80F01" w14:textId="5F0A8380" w:rsidR="00CA1806" w:rsidRPr="00C21F84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</w:p>
    <w:p w14:paraId="7C1907C0" w14:textId="1D2EC938" w:rsidR="00D60D98" w:rsidRPr="00C21F84" w:rsidRDefault="00D60D98" w:rsidP="0029038B">
      <w:pPr>
        <w:spacing w:after="120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  <w:r w:rsidRPr="00C21F84">
        <w:rPr>
          <w:rFonts w:asciiTheme="minorHAnsi" w:eastAsia="Calibri" w:hAnsiTheme="minorHAnsi" w:cstheme="minorHAnsi"/>
          <w:b/>
          <w:bCs/>
          <w:noProof/>
          <w:sz w:val="20"/>
          <w:szCs w:val="20"/>
        </w:rPr>
        <w:t>Kontakt pro média:</w:t>
      </w:r>
    </w:p>
    <w:p w14:paraId="459105C8" w14:textId="19390DF7" w:rsidR="00692610" w:rsidRPr="00C21F84" w:rsidRDefault="0029038B" w:rsidP="00C07D5F">
      <w:pPr>
        <w:rPr>
          <w:rFonts w:asciiTheme="minorHAnsi" w:eastAsia="Calibri" w:hAnsiTheme="minorHAnsi" w:cstheme="minorHAnsi"/>
          <w:bCs/>
          <w:noProof/>
          <w:sz w:val="20"/>
          <w:szCs w:val="20"/>
          <w:lang w:bidi="ar-SA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</w:rPr>
        <w:t>Lenka Kuželová</w:t>
      </w:r>
    </w:p>
    <w:p w14:paraId="1DBDA364" w14:textId="46DCE93E" w:rsidR="005F2383" w:rsidRPr="00C21F84" w:rsidRDefault="00692610" w:rsidP="00C07D5F">
      <w:pPr>
        <w:pStyle w:val="Bezmezer"/>
        <w:rPr>
          <w:rFonts w:eastAsia="Calibri" w:cstheme="minorHAnsi"/>
          <w:noProof/>
          <w:sz w:val="20"/>
          <w:szCs w:val="20"/>
        </w:rPr>
      </w:pPr>
      <w:r w:rsidRPr="00C21F84">
        <w:rPr>
          <w:rFonts w:eastAsia="Calibri" w:cstheme="minorHAnsi"/>
          <w:noProof/>
          <w:sz w:val="20"/>
          <w:szCs w:val="20"/>
        </w:rPr>
        <w:t xml:space="preserve">Specialistka PR </w:t>
      </w:r>
    </w:p>
    <w:p w14:paraId="2CCB0CE9" w14:textId="7017C754" w:rsidR="0029038B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>
        <w:rPr>
          <w:rFonts w:eastAsia="F015TEELig" w:cstheme="minorHAnsi"/>
          <w:sz w:val="21"/>
          <w:szCs w:val="21"/>
        </w:rPr>
        <w:t>Mobil:</w:t>
      </w:r>
      <w:r w:rsidR="00203BB5">
        <w:rPr>
          <w:rFonts w:eastAsia="F015TEELig" w:cstheme="minorHAnsi"/>
          <w:sz w:val="21"/>
          <w:szCs w:val="21"/>
        </w:rPr>
        <w:t xml:space="preserve"> +420 731 929 990</w:t>
      </w:r>
      <w:r w:rsidRPr="00AD79CC">
        <w:rPr>
          <w:rFonts w:eastAsia="F015TEELig" w:cstheme="minorHAnsi"/>
          <w:sz w:val="21"/>
          <w:szCs w:val="21"/>
        </w:rPr>
        <w:t xml:space="preserve">, </w:t>
      </w:r>
    </w:p>
    <w:p w14:paraId="46F484FA" w14:textId="2D9E4BB4" w:rsidR="0029038B" w:rsidRPr="00AD79CC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 w:rsidRPr="00AD79CC">
        <w:rPr>
          <w:rFonts w:eastAsia="F015TEELig" w:cstheme="minorHAnsi"/>
          <w:sz w:val="21"/>
          <w:szCs w:val="21"/>
        </w:rPr>
        <w:t>e-mail:</w:t>
      </w:r>
      <w:r w:rsidRPr="00AD79CC">
        <w:rPr>
          <w:rFonts w:eastAsia="Calibri" w:cstheme="minorHAnsi"/>
          <w:noProof/>
          <w:sz w:val="21"/>
          <w:szCs w:val="21"/>
        </w:rPr>
        <w:t xml:space="preserve"> </w:t>
      </w:r>
      <w:hyperlink r:id="rId31" w:history="1">
        <w:r w:rsidRPr="00DE288C">
          <w:rPr>
            <w:rStyle w:val="Hypertextovodkaz"/>
            <w:rFonts w:eastAsia="Calibri" w:cstheme="minorHAnsi"/>
            <w:noProof/>
            <w:sz w:val="21"/>
            <w:szCs w:val="21"/>
          </w:rPr>
          <w:t>lenka.kuzelova@bcas.cz</w:t>
        </w:r>
      </w:hyperlink>
      <w:r>
        <w:rPr>
          <w:rFonts w:eastAsia="Calibri" w:cstheme="minorHAnsi"/>
          <w:noProof/>
          <w:sz w:val="21"/>
          <w:szCs w:val="21"/>
        </w:rPr>
        <w:t xml:space="preserve"> </w:t>
      </w:r>
    </w:p>
    <w:p w14:paraId="025F1B2F" w14:textId="28790D00" w:rsidR="00D60D98" w:rsidRPr="00C21F84" w:rsidRDefault="00D60D98" w:rsidP="0029038B">
      <w:pPr>
        <w:pStyle w:val="Bezmezer"/>
        <w:rPr>
          <w:rFonts w:eastAsia="Calibri" w:cstheme="minorHAnsi"/>
          <w:noProof/>
          <w:sz w:val="20"/>
          <w:szCs w:val="20"/>
        </w:rPr>
      </w:pPr>
    </w:p>
    <w:sectPr w:rsidR="00D60D98" w:rsidRPr="00C21F8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80F4C" w14:textId="77777777" w:rsidR="005A2195" w:rsidRDefault="005A2195">
      <w:r>
        <w:separator/>
      </w:r>
    </w:p>
  </w:endnote>
  <w:endnote w:type="continuationSeparator" w:id="0">
    <w:p w14:paraId="591B28E7" w14:textId="77777777" w:rsidR="005A2195" w:rsidRDefault="005A2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F844E" w14:textId="77777777" w:rsidR="00182E22" w:rsidRDefault="00182E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5A2195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C61552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5A2195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C61552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5A2195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C61552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FC255" w14:textId="77777777" w:rsidR="00182E22" w:rsidRDefault="00182E2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B4EA9" w14:textId="77777777" w:rsidR="005A2195" w:rsidRDefault="005A2195">
      <w:r>
        <w:separator/>
      </w:r>
    </w:p>
  </w:footnote>
  <w:footnote w:type="continuationSeparator" w:id="0">
    <w:p w14:paraId="02468BAA" w14:textId="77777777" w:rsidR="005A2195" w:rsidRDefault="005A2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9F15" w14:textId="77777777" w:rsidR="00182E22" w:rsidRDefault="00182E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5E83C" w14:textId="77777777" w:rsidR="00182E22" w:rsidRDefault="00182E2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3"/>
  </w:num>
  <w:num w:numId="9">
    <w:abstractNumId w:val="8"/>
  </w:num>
  <w:num w:numId="10">
    <w:abstractNumId w:val="5"/>
  </w:num>
  <w:num w:numId="11">
    <w:abstractNumId w:val="11"/>
  </w:num>
  <w:num w:numId="12">
    <w:abstractNumId w:val="8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20DC"/>
    <w:rsid w:val="00014FB5"/>
    <w:rsid w:val="0001597B"/>
    <w:rsid w:val="000164D5"/>
    <w:rsid w:val="00020EC7"/>
    <w:rsid w:val="0002230E"/>
    <w:rsid w:val="000226F3"/>
    <w:rsid w:val="000262B1"/>
    <w:rsid w:val="00026348"/>
    <w:rsid w:val="00026F23"/>
    <w:rsid w:val="000277AC"/>
    <w:rsid w:val="00027C83"/>
    <w:rsid w:val="0003028F"/>
    <w:rsid w:val="00030E97"/>
    <w:rsid w:val="00032A79"/>
    <w:rsid w:val="00032D94"/>
    <w:rsid w:val="0003332D"/>
    <w:rsid w:val="00033FD7"/>
    <w:rsid w:val="000374D7"/>
    <w:rsid w:val="00037DAF"/>
    <w:rsid w:val="000400E4"/>
    <w:rsid w:val="000412FA"/>
    <w:rsid w:val="0004477D"/>
    <w:rsid w:val="0004487D"/>
    <w:rsid w:val="00044EC5"/>
    <w:rsid w:val="00045D86"/>
    <w:rsid w:val="00046AF6"/>
    <w:rsid w:val="0004776E"/>
    <w:rsid w:val="0005085B"/>
    <w:rsid w:val="0005423A"/>
    <w:rsid w:val="00057F54"/>
    <w:rsid w:val="000611E3"/>
    <w:rsid w:val="00061BF6"/>
    <w:rsid w:val="00067DFF"/>
    <w:rsid w:val="00070652"/>
    <w:rsid w:val="00074B2B"/>
    <w:rsid w:val="000766E7"/>
    <w:rsid w:val="00080E7A"/>
    <w:rsid w:val="00080EB3"/>
    <w:rsid w:val="00081616"/>
    <w:rsid w:val="000823D3"/>
    <w:rsid w:val="000823D6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6ECA"/>
    <w:rsid w:val="0009776B"/>
    <w:rsid w:val="000A080B"/>
    <w:rsid w:val="000A3E94"/>
    <w:rsid w:val="000A6CF9"/>
    <w:rsid w:val="000B11A5"/>
    <w:rsid w:val="000B187C"/>
    <w:rsid w:val="000B6DD9"/>
    <w:rsid w:val="000B6E1B"/>
    <w:rsid w:val="000C181E"/>
    <w:rsid w:val="000C2DA6"/>
    <w:rsid w:val="000C5541"/>
    <w:rsid w:val="000C6D26"/>
    <w:rsid w:val="000C7564"/>
    <w:rsid w:val="000D0013"/>
    <w:rsid w:val="000D0B6F"/>
    <w:rsid w:val="000D14E2"/>
    <w:rsid w:val="000D17B9"/>
    <w:rsid w:val="000D2CFC"/>
    <w:rsid w:val="000D4AFB"/>
    <w:rsid w:val="000D6DDC"/>
    <w:rsid w:val="000D6E9B"/>
    <w:rsid w:val="000D7158"/>
    <w:rsid w:val="000E01C2"/>
    <w:rsid w:val="000E0639"/>
    <w:rsid w:val="000E19B2"/>
    <w:rsid w:val="000E1C76"/>
    <w:rsid w:val="000E3D86"/>
    <w:rsid w:val="000E568C"/>
    <w:rsid w:val="000E5D32"/>
    <w:rsid w:val="000E6E14"/>
    <w:rsid w:val="000F092E"/>
    <w:rsid w:val="000F4B6C"/>
    <w:rsid w:val="000F50BC"/>
    <w:rsid w:val="000F6249"/>
    <w:rsid w:val="000F6EBE"/>
    <w:rsid w:val="00101CEC"/>
    <w:rsid w:val="001027D6"/>
    <w:rsid w:val="00103109"/>
    <w:rsid w:val="00105248"/>
    <w:rsid w:val="00106E26"/>
    <w:rsid w:val="001115A2"/>
    <w:rsid w:val="001117DE"/>
    <w:rsid w:val="00111C28"/>
    <w:rsid w:val="00113603"/>
    <w:rsid w:val="001153E3"/>
    <w:rsid w:val="00115555"/>
    <w:rsid w:val="00117AE4"/>
    <w:rsid w:val="00120113"/>
    <w:rsid w:val="001214E7"/>
    <w:rsid w:val="00122208"/>
    <w:rsid w:val="00122CEB"/>
    <w:rsid w:val="00123136"/>
    <w:rsid w:val="0012361F"/>
    <w:rsid w:val="00124353"/>
    <w:rsid w:val="00125B97"/>
    <w:rsid w:val="0012657A"/>
    <w:rsid w:val="00126BEC"/>
    <w:rsid w:val="00127234"/>
    <w:rsid w:val="001278B4"/>
    <w:rsid w:val="0013044E"/>
    <w:rsid w:val="00131A69"/>
    <w:rsid w:val="001327CE"/>
    <w:rsid w:val="00132E53"/>
    <w:rsid w:val="00136115"/>
    <w:rsid w:val="00136D8D"/>
    <w:rsid w:val="00137003"/>
    <w:rsid w:val="0013717C"/>
    <w:rsid w:val="00140987"/>
    <w:rsid w:val="001421B4"/>
    <w:rsid w:val="00145622"/>
    <w:rsid w:val="001516CA"/>
    <w:rsid w:val="001524FB"/>
    <w:rsid w:val="00154308"/>
    <w:rsid w:val="00154AC2"/>
    <w:rsid w:val="0015559F"/>
    <w:rsid w:val="00156082"/>
    <w:rsid w:val="00156C9D"/>
    <w:rsid w:val="00160686"/>
    <w:rsid w:val="00160E1C"/>
    <w:rsid w:val="00161352"/>
    <w:rsid w:val="00161830"/>
    <w:rsid w:val="001620E3"/>
    <w:rsid w:val="00162553"/>
    <w:rsid w:val="00162D8E"/>
    <w:rsid w:val="00164598"/>
    <w:rsid w:val="0016482C"/>
    <w:rsid w:val="0016556A"/>
    <w:rsid w:val="001675AF"/>
    <w:rsid w:val="0016771F"/>
    <w:rsid w:val="0017296F"/>
    <w:rsid w:val="001734B4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831"/>
    <w:rsid w:val="00194B5D"/>
    <w:rsid w:val="001A0A5C"/>
    <w:rsid w:val="001A10BF"/>
    <w:rsid w:val="001A1A56"/>
    <w:rsid w:val="001A2D08"/>
    <w:rsid w:val="001A32C3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D015A"/>
    <w:rsid w:val="001D30C7"/>
    <w:rsid w:val="001D33DB"/>
    <w:rsid w:val="001D33FA"/>
    <w:rsid w:val="001D36F0"/>
    <w:rsid w:val="001D3DFC"/>
    <w:rsid w:val="001D42DB"/>
    <w:rsid w:val="001D45F5"/>
    <w:rsid w:val="001D5EFC"/>
    <w:rsid w:val="001E02C2"/>
    <w:rsid w:val="001E0A89"/>
    <w:rsid w:val="001E13C0"/>
    <w:rsid w:val="001E1597"/>
    <w:rsid w:val="001E4209"/>
    <w:rsid w:val="001F1D14"/>
    <w:rsid w:val="001F2399"/>
    <w:rsid w:val="001F4D74"/>
    <w:rsid w:val="001F7194"/>
    <w:rsid w:val="001F71BA"/>
    <w:rsid w:val="001F7577"/>
    <w:rsid w:val="0020178D"/>
    <w:rsid w:val="002019F3"/>
    <w:rsid w:val="0020207A"/>
    <w:rsid w:val="00202F22"/>
    <w:rsid w:val="00203BB5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032"/>
    <w:rsid w:val="00224AF1"/>
    <w:rsid w:val="00224C0C"/>
    <w:rsid w:val="00224E6E"/>
    <w:rsid w:val="00225CEC"/>
    <w:rsid w:val="00225D70"/>
    <w:rsid w:val="00232B0D"/>
    <w:rsid w:val="00233BF3"/>
    <w:rsid w:val="00233E40"/>
    <w:rsid w:val="002368F3"/>
    <w:rsid w:val="00236A37"/>
    <w:rsid w:val="00240576"/>
    <w:rsid w:val="00241313"/>
    <w:rsid w:val="00241AA2"/>
    <w:rsid w:val="00241DC1"/>
    <w:rsid w:val="0024212A"/>
    <w:rsid w:val="00242669"/>
    <w:rsid w:val="00243384"/>
    <w:rsid w:val="002447CA"/>
    <w:rsid w:val="0025080B"/>
    <w:rsid w:val="0025183C"/>
    <w:rsid w:val="00251F32"/>
    <w:rsid w:val="0025264B"/>
    <w:rsid w:val="00252DB1"/>
    <w:rsid w:val="00253ACF"/>
    <w:rsid w:val="00253C9E"/>
    <w:rsid w:val="0025428A"/>
    <w:rsid w:val="002555D2"/>
    <w:rsid w:val="00257294"/>
    <w:rsid w:val="00257978"/>
    <w:rsid w:val="002619DC"/>
    <w:rsid w:val="00263E2B"/>
    <w:rsid w:val="00266D10"/>
    <w:rsid w:val="002676E8"/>
    <w:rsid w:val="00267705"/>
    <w:rsid w:val="00270B59"/>
    <w:rsid w:val="00270DB3"/>
    <w:rsid w:val="002717C9"/>
    <w:rsid w:val="0027235F"/>
    <w:rsid w:val="00274782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97291"/>
    <w:rsid w:val="002A1185"/>
    <w:rsid w:val="002A208F"/>
    <w:rsid w:val="002A498A"/>
    <w:rsid w:val="002A61B7"/>
    <w:rsid w:val="002A6312"/>
    <w:rsid w:val="002B01AF"/>
    <w:rsid w:val="002B094E"/>
    <w:rsid w:val="002B1E20"/>
    <w:rsid w:val="002B2A94"/>
    <w:rsid w:val="002B2C8C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6C42"/>
    <w:rsid w:val="002C7D70"/>
    <w:rsid w:val="002D179B"/>
    <w:rsid w:val="002D23B9"/>
    <w:rsid w:val="002D3534"/>
    <w:rsid w:val="002D49F7"/>
    <w:rsid w:val="002D63BF"/>
    <w:rsid w:val="002D64A2"/>
    <w:rsid w:val="002E0400"/>
    <w:rsid w:val="002E0B58"/>
    <w:rsid w:val="002E103D"/>
    <w:rsid w:val="002E1A01"/>
    <w:rsid w:val="002E1A0D"/>
    <w:rsid w:val="002E6173"/>
    <w:rsid w:val="002E6DB6"/>
    <w:rsid w:val="002F002B"/>
    <w:rsid w:val="002F0163"/>
    <w:rsid w:val="002F06AC"/>
    <w:rsid w:val="002F06DF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0D67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286"/>
    <w:rsid w:val="00352435"/>
    <w:rsid w:val="003529EF"/>
    <w:rsid w:val="003537B4"/>
    <w:rsid w:val="00355366"/>
    <w:rsid w:val="003555BB"/>
    <w:rsid w:val="003623C4"/>
    <w:rsid w:val="003629B6"/>
    <w:rsid w:val="00362BFF"/>
    <w:rsid w:val="003640C8"/>
    <w:rsid w:val="00364C11"/>
    <w:rsid w:val="00371225"/>
    <w:rsid w:val="003721AD"/>
    <w:rsid w:val="003747F7"/>
    <w:rsid w:val="00376086"/>
    <w:rsid w:val="003761D9"/>
    <w:rsid w:val="00380608"/>
    <w:rsid w:val="00380E0A"/>
    <w:rsid w:val="0038171D"/>
    <w:rsid w:val="00382546"/>
    <w:rsid w:val="00382EAD"/>
    <w:rsid w:val="00383B9A"/>
    <w:rsid w:val="00383DC5"/>
    <w:rsid w:val="00385EED"/>
    <w:rsid w:val="003864EF"/>
    <w:rsid w:val="00386A43"/>
    <w:rsid w:val="00390B58"/>
    <w:rsid w:val="00391166"/>
    <w:rsid w:val="00394851"/>
    <w:rsid w:val="00395F41"/>
    <w:rsid w:val="003967DF"/>
    <w:rsid w:val="0039717A"/>
    <w:rsid w:val="003A0F06"/>
    <w:rsid w:val="003A156E"/>
    <w:rsid w:val="003A291C"/>
    <w:rsid w:val="003A3DE2"/>
    <w:rsid w:val="003A4860"/>
    <w:rsid w:val="003A4D47"/>
    <w:rsid w:val="003A6435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3E1A"/>
    <w:rsid w:val="003C5D0A"/>
    <w:rsid w:val="003D1987"/>
    <w:rsid w:val="003D3431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48C6"/>
    <w:rsid w:val="00407AE9"/>
    <w:rsid w:val="004120C7"/>
    <w:rsid w:val="0041257F"/>
    <w:rsid w:val="00412690"/>
    <w:rsid w:val="0042193A"/>
    <w:rsid w:val="0042205E"/>
    <w:rsid w:val="004221E4"/>
    <w:rsid w:val="0042337E"/>
    <w:rsid w:val="004267DE"/>
    <w:rsid w:val="00430ABD"/>
    <w:rsid w:val="00431631"/>
    <w:rsid w:val="00432FD5"/>
    <w:rsid w:val="00434883"/>
    <w:rsid w:val="00434C5D"/>
    <w:rsid w:val="004350F6"/>
    <w:rsid w:val="00435115"/>
    <w:rsid w:val="0044076C"/>
    <w:rsid w:val="00441028"/>
    <w:rsid w:val="004426E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0176"/>
    <w:rsid w:val="00461D55"/>
    <w:rsid w:val="004627B9"/>
    <w:rsid w:val="00464BF1"/>
    <w:rsid w:val="00465E53"/>
    <w:rsid w:val="00466329"/>
    <w:rsid w:val="00473219"/>
    <w:rsid w:val="004767D2"/>
    <w:rsid w:val="00477DCC"/>
    <w:rsid w:val="00477FFA"/>
    <w:rsid w:val="004813B2"/>
    <w:rsid w:val="00481D66"/>
    <w:rsid w:val="00483579"/>
    <w:rsid w:val="004835F4"/>
    <w:rsid w:val="004836B2"/>
    <w:rsid w:val="00486F3F"/>
    <w:rsid w:val="00487B6B"/>
    <w:rsid w:val="004919CC"/>
    <w:rsid w:val="004928CB"/>
    <w:rsid w:val="00492941"/>
    <w:rsid w:val="00495AFF"/>
    <w:rsid w:val="00495E14"/>
    <w:rsid w:val="00496183"/>
    <w:rsid w:val="004975D0"/>
    <w:rsid w:val="004A08FC"/>
    <w:rsid w:val="004A3439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905"/>
    <w:rsid w:val="004C0CEF"/>
    <w:rsid w:val="004C0D41"/>
    <w:rsid w:val="004C10F1"/>
    <w:rsid w:val="004C3F71"/>
    <w:rsid w:val="004C61F5"/>
    <w:rsid w:val="004D14C1"/>
    <w:rsid w:val="004D2C46"/>
    <w:rsid w:val="004D3578"/>
    <w:rsid w:val="004D4D9F"/>
    <w:rsid w:val="004D6BA6"/>
    <w:rsid w:val="004E13F9"/>
    <w:rsid w:val="004E2983"/>
    <w:rsid w:val="004E2ED7"/>
    <w:rsid w:val="004E3BA4"/>
    <w:rsid w:val="004E4E81"/>
    <w:rsid w:val="004E4E9F"/>
    <w:rsid w:val="004E5FED"/>
    <w:rsid w:val="004E67DB"/>
    <w:rsid w:val="004F1558"/>
    <w:rsid w:val="004F1934"/>
    <w:rsid w:val="004F1E84"/>
    <w:rsid w:val="00500925"/>
    <w:rsid w:val="005013FE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4713"/>
    <w:rsid w:val="005275F9"/>
    <w:rsid w:val="00530F68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AF"/>
    <w:rsid w:val="005455B0"/>
    <w:rsid w:val="005504A7"/>
    <w:rsid w:val="0055263D"/>
    <w:rsid w:val="00552E2B"/>
    <w:rsid w:val="0055303C"/>
    <w:rsid w:val="00553369"/>
    <w:rsid w:val="00553731"/>
    <w:rsid w:val="00554574"/>
    <w:rsid w:val="0055553F"/>
    <w:rsid w:val="0056150F"/>
    <w:rsid w:val="005678E0"/>
    <w:rsid w:val="005729F4"/>
    <w:rsid w:val="00572E82"/>
    <w:rsid w:val="005754C3"/>
    <w:rsid w:val="00575630"/>
    <w:rsid w:val="00575C7F"/>
    <w:rsid w:val="00576F58"/>
    <w:rsid w:val="00576F5E"/>
    <w:rsid w:val="005773B2"/>
    <w:rsid w:val="00577D19"/>
    <w:rsid w:val="0058062A"/>
    <w:rsid w:val="005834AE"/>
    <w:rsid w:val="00585920"/>
    <w:rsid w:val="0058666A"/>
    <w:rsid w:val="00586BEF"/>
    <w:rsid w:val="005875EC"/>
    <w:rsid w:val="00590434"/>
    <w:rsid w:val="00594050"/>
    <w:rsid w:val="0059432A"/>
    <w:rsid w:val="0059452A"/>
    <w:rsid w:val="005956E9"/>
    <w:rsid w:val="005963CF"/>
    <w:rsid w:val="005A0ABD"/>
    <w:rsid w:val="005A163F"/>
    <w:rsid w:val="005A2195"/>
    <w:rsid w:val="005A2637"/>
    <w:rsid w:val="005A37E5"/>
    <w:rsid w:val="005A4497"/>
    <w:rsid w:val="005A5BBA"/>
    <w:rsid w:val="005A5F08"/>
    <w:rsid w:val="005A60B4"/>
    <w:rsid w:val="005A7A64"/>
    <w:rsid w:val="005B0719"/>
    <w:rsid w:val="005B0E8E"/>
    <w:rsid w:val="005B1D33"/>
    <w:rsid w:val="005B2E22"/>
    <w:rsid w:val="005B31D7"/>
    <w:rsid w:val="005B485C"/>
    <w:rsid w:val="005B4E77"/>
    <w:rsid w:val="005B5427"/>
    <w:rsid w:val="005B56F7"/>
    <w:rsid w:val="005B5CA8"/>
    <w:rsid w:val="005B680B"/>
    <w:rsid w:val="005B6889"/>
    <w:rsid w:val="005B68FA"/>
    <w:rsid w:val="005B7492"/>
    <w:rsid w:val="005B7E46"/>
    <w:rsid w:val="005C0C18"/>
    <w:rsid w:val="005C0D63"/>
    <w:rsid w:val="005C2088"/>
    <w:rsid w:val="005C41F6"/>
    <w:rsid w:val="005C48C1"/>
    <w:rsid w:val="005C7059"/>
    <w:rsid w:val="005D189A"/>
    <w:rsid w:val="005D4DA7"/>
    <w:rsid w:val="005D585C"/>
    <w:rsid w:val="005D6963"/>
    <w:rsid w:val="005E3212"/>
    <w:rsid w:val="005E45D8"/>
    <w:rsid w:val="005E4855"/>
    <w:rsid w:val="005E7AEF"/>
    <w:rsid w:val="005F18D4"/>
    <w:rsid w:val="005F2383"/>
    <w:rsid w:val="005F44A0"/>
    <w:rsid w:val="005F48A6"/>
    <w:rsid w:val="005F57A1"/>
    <w:rsid w:val="005F65A1"/>
    <w:rsid w:val="005F7741"/>
    <w:rsid w:val="00600788"/>
    <w:rsid w:val="00600BA3"/>
    <w:rsid w:val="00601E56"/>
    <w:rsid w:val="00605C5D"/>
    <w:rsid w:val="006106F0"/>
    <w:rsid w:val="006110E7"/>
    <w:rsid w:val="00612DC2"/>
    <w:rsid w:val="006135FD"/>
    <w:rsid w:val="00613A8D"/>
    <w:rsid w:val="006212F9"/>
    <w:rsid w:val="00622494"/>
    <w:rsid w:val="00624A82"/>
    <w:rsid w:val="0062747C"/>
    <w:rsid w:val="0062751F"/>
    <w:rsid w:val="0063253B"/>
    <w:rsid w:val="00633136"/>
    <w:rsid w:val="00634EC8"/>
    <w:rsid w:val="00636E70"/>
    <w:rsid w:val="0064020E"/>
    <w:rsid w:val="006410E2"/>
    <w:rsid w:val="0064160C"/>
    <w:rsid w:val="0064209A"/>
    <w:rsid w:val="00642970"/>
    <w:rsid w:val="006429DE"/>
    <w:rsid w:val="00645BA9"/>
    <w:rsid w:val="00646B73"/>
    <w:rsid w:val="00647307"/>
    <w:rsid w:val="006501CB"/>
    <w:rsid w:val="00650A3C"/>
    <w:rsid w:val="00651415"/>
    <w:rsid w:val="00651B66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71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3E85"/>
    <w:rsid w:val="006A6601"/>
    <w:rsid w:val="006B0A42"/>
    <w:rsid w:val="006B19DF"/>
    <w:rsid w:val="006B2EA9"/>
    <w:rsid w:val="006B3A13"/>
    <w:rsid w:val="006B3AF2"/>
    <w:rsid w:val="006B3CB5"/>
    <w:rsid w:val="006B3E83"/>
    <w:rsid w:val="006C0A70"/>
    <w:rsid w:val="006C2008"/>
    <w:rsid w:val="006C2696"/>
    <w:rsid w:val="006C4076"/>
    <w:rsid w:val="006C4193"/>
    <w:rsid w:val="006C61E8"/>
    <w:rsid w:val="006D01AF"/>
    <w:rsid w:val="006D1884"/>
    <w:rsid w:val="006D1E56"/>
    <w:rsid w:val="006D65EC"/>
    <w:rsid w:val="006E074A"/>
    <w:rsid w:val="006E1C67"/>
    <w:rsid w:val="006E26DC"/>
    <w:rsid w:val="006E52B8"/>
    <w:rsid w:val="006E675F"/>
    <w:rsid w:val="006E68CA"/>
    <w:rsid w:val="006F32FB"/>
    <w:rsid w:val="006F3E66"/>
    <w:rsid w:val="00700FD6"/>
    <w:rsid w:val="00705D83"/>
    <w:rsid w:val="0071201C"/>
    <w:rsid w:val="00712177"/>
    <w:rsid w:val="00712983"/>
    <w:rsid w:val="00713CD7"/>
    <w:rsid w:val="00714847"/>
    <w:rsid w:val="00715C09"/>
    <w:rsid w:val="00717F9B"/>
    <w:rsid w:val="00720037"/>
    <w:rsid w:val="00720CD3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540ED"/>
    <w:rsid w:val="00754B1D"/>
    <w:rsid w:val="00756671"/>
    <w:rsid w:val="0075719A"/>
    <w:rsid w:val="00762254"/>
    <w:rsid w:val="0076333E"/>
    <w:rsid w:val="00764BFF"/>
    <w:rsid w:val="00767284"/>
    <w:rsid w:val="00771B91"/>
    <w:rsid w:val="007737E3"/>
    <w:rsid w:val="007748DA"/>
    <w:rsid w:val="0077685A"/>
    <w:rsid w:val="00776A31"/>
    <w:rsid w:val="0078013F"/>
    <w:rsid w:val="007802A4"/>
    <w:rsid w:val="007824F4"/>
    <w:rsid w:val="0078345F"/>
    <w:rsid w:val="00783AB1"/>
    <w:rsid w:val="00784109"/>
    <w:rsid w:val="00785356"/>
    <w:rsid w:val="00785FC5"/>
    <w:rsid w:val="0078631B"/>
    <w:rsid w:val="00786A1E"/>
    <w:rsid w:val="00787417"/>
    <w:rsid w:val="0078760B"/>
    <w:rsid w:val="00791A2B"/>
    <w:rsid w:val="00792EE9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0955"/>
    <w:rsid w:val="007B11F2"/>
    <w:rsid w:val="007B1851"/>
    <w:rsid w:val="007B232E"/>
    <w:rsid w:val="007B358E"/>
    <w:rsid w:val="007B3C38"/>
    <w:rsid w:val="007B5E2F"/>
    <w:rsid w:val="007B6635"/>
    <w:rsid w:val="007C0099"/>
    <w:rsid w:val="007C37DF"/>
    <w:rsid w:val="007C6288"/>
    <w:rsid w:val="007C6507"/>
    <w:rsid w:val="007D05D4"/>
    <w:rsid w:val="007D06A5"/>
    <w:rsid w:val="007D085C"/>
    <w:rsid w:val="007D0908"/>
    <w:rsid w:val="007D1100"/>
    <w:rsid w:val="007D2280"/>
    <w:rsid w:val="007D3EF7"/>
    <w:rsid w:val="007D6B5F"/>
    <w:rsid w:val="007D6FC5"/>
    <w:rsid w:val="007E0367"/>
    <w:rsid w:val="007E1111"/>
    <w:rsid w:val="007E1865"/>
    <w:rsid w:val="007E5614"/>
    <w:rsid w:val="007F0754"/>
    <w:rsid w:val="007F3198"/>
    <w:rsid w:val="007F36AF"/>
    <w:rsid w:val="007F515C"/>
    <w:rsid w:val="007F5D81"/>
    <w:rsid w:val="008009B8"/>
    <w:rsid w:val="00800CEA"/>
    <w:rsid w:val="00807AD4"/>
    <w:rsid w:val="008104E0"/>
    <w:rsid w:val="00812DCE"/>
    <w:rsid w:val="0081387C"/>
    <w:rsid w:val="00817296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256C"/>
    <w:rsid w:val="0083338E"/>
    <w:rsid w:val="00833A44"/>
    <w:rsid w:val="0083519D"/>
    <w:rsid w:val="00843016"/>
    <w:rsid w:val="00844420"/>
    <w:rsid w:val="00845A34"/>
    <w:rsid w:val="00846E1E"/>
    <w:rsid w:val="00850445"/>
    <w:rsid w:val="00850C6E"/>
    <w:rsid w:val="008543C2"/>
    <w:rsid w:val="008546D7"/>
    <w:rsid w:val="0085594F"/>
    <w:rsid w:val="0085766D"/>
    <w:rsid w:val="008630EC"/>
    <w:rsid w:val="00864888"/>
    <w:rsid w:val="00866791"/>
    <w:rsid w:val="00866B63"/>
    <w:rsid w:val="00870EAA"/>
    <w:rsid w:val="00874FE0"/>
    <w:rsid w:val="008769D5"/>
    <w:rsid w:val="008800A1"/>
    <w:rsid w:val="008824B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5F6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20CA"/>
    <w:rsid w:val="008A4605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E94"/>
    <w:rsid w:val="008D373A"/>
    <w:rsid w:val="008D484C"/>
    <w:rsid w:val="008D53F2"/>
    <w:rsid w:val="008D68A5"/>
    <w:rsid w:val="008E19F3"/>
    <w:rsid w:val="008E3B44"/>
    <w:rsid w:val="008E58ED"/>
    <w:rsid w:val="008E6712"/>
    <w:rsid w:val="008E6AA0"/>
    <w:rsid w:val="008F0A7A"/>
    <w:rsid w:val="008F2226"/>
    <w:rsid w:val="008F25C5"/>
    <w:rsid w:val="008F4980"/>
    <w:rsid w:val="008F6707"/>
    <w:rsid w:val="008F6AAF"/>
    <w:rsid w:val="008F715C"/>
    <w:rsid w:val="008F7A61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61F5"/>
    <w:rsid w:val="00917F21"/>
    <w:rsid w:val="009213AE"/>
    <w:rsid w:val="009222C9"/>
    <w:rsid w:val="00922BC9"/>
    <w:rsid w:val="0092316F"/>
    <w:rsid w:val="00926825"/>
    <w:rsid w:val="009268FC"/>
    <w:rsid w:val="00926A98"/>
    <w:rsid w:val="00932625"/>
    <w:rsid w:val="00932ACD"/>
    <w:rsid w:val="00933256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1519"/>
    <w:rsid w:val="00962FD2"/>
    <w:rsid w:val="009632AA"/>
    <w:rsid w:val="009644A2"/>
    <w:rsid w:val="00967162"/>
    <w:rsid w:val="009715F0"/>
    <w:rsid w:val="00971DE7"/>
    <w:rsid w:val="00973C62"/>
    <w:rsid w:val="0097419E"/>
    <w:rsid w:val="00974A97"/>
    <w:rsid w:val="009751D1"/>
    <w:rsid w:val="0097696C"/>
    <w:rsid w:val="00977B41"/>
    <w:rsid w:val="00977D76"/>
    <w:rsid w:val="009808FE"/>
    <w:rsid w:val="00982987"/>
    <w:rsid w:val="00985386"/>
    <w:rsid w:val="00990318"/>
    <w:rsid w:val="0099489F"/>
    <w:rsid w:val="00994B64"/>
    <w:rsid w:val="009955B3"/>
    <w:rsid w:val="00996D72"/>
    <w:rsid w:val="009A455E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B604B"/>
    <w:rsid w:val="009B7073"/>
    <w:rsid w:val="009C063D"/>
    <w:rsid w:val="009C0ECA"/>
    <w:rsid w:val="009C283B"/>
    <w:rsid w:val="009C2B04"/>
    <w:rsid w:val="009C3544"/>
    <w:rsid w:val="009C45BA"/>
    <w:rsid w:val="009D2D28"/>
    <w:rsid w:val="009D4B75"/>
    <w:rsid w:val="009D6924"/>
    <w:rsid w:val="009D7AFB"/>
    <w:rsid w:val="009E055E"/>
    <w:rsid w:val="009E0C76"/>
    <w:rsid w:val="009E1258"/>
    <w:rsid w:val="009E22C3"/>
    <w:rsid w:val="009E250D"/>
    <w:rsid w:val="009E2724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15C79"/>
    <w:rsid w:val="00A204D6"/>
    <w:rsid w:val="00A2066F"/>
    <w:rsid w:val="00A21C37"/>
    <w:rsid w:val="00A23C45"/>
    <w:rsid w:val="00A25B10"/>
    <w:rsid w:val="00A26B19"/>
    <w:rsid w:val="00A331C7"/>
    <w:rsid w:val="00A33653"/>
    <w:rsid w:val="00A36260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36F"/>
    <w:rsid w:val="00A65B9D"/>
    <w:rsid w:val="00A70932"/>
    <w:rsid w:val="00A719A5"/>
    <w:rsid w:val="00A72732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5DA9"/>
    <w:rsid w:val="00A97D07"/>
    <w:rsid w:val="00AA0737"/>
    <w:rsid w:val="00AA218A"/>
    <w:rsid w:val="00AA48E7"/>
    <w:rsid w:val="00AB0673"/>
    <w:rsid w:val="00AB3D30"/>
    <w:rsid w:val="00AB4596"/>
    <w:rsid w:val="00AB4794"/>
    <w:rsid w:val="00AB4842"/>
    <w:rsid w:val="00AB7BAF"/>
    <w:rsid w:val="00AB7CCF"/>
    <w:rsid w:val="00AC2D2E"/>
    <w:rsid w:val="00AC614D"/>
    <w:rsid w:val="00AC7F1C"/>
    <w:rsid w:val="00AD0F3F"/>
    <w:rsid w:val="00AD2AC3"/>
    <w:rsid w:val="00AD4EA3"/>
    <w:rsid w:val="00AD7FC9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37AF"/>
    <w:rsid w:val="00B05862"/>
    <w:rsid w:val="00B05A4B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277DA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468E"/>
    <w:rsid w:val="00B470FB"/>
    <w:rsid w:val="00B479EB"/>
    <w:rsid w:val="00B507D2"/>
    <w:rsid w:val="00B51125"/>
    <w:rsid w:val="00B52CDF"/>
    <w:rsid w:val="00B65A3B"/>
    <w:rsid w:val="00B66DE0"/>
    <w:rsid w:val="00B7263A"/>
    <w:rsid w:val="00B72652"/>
    <w:rsid w:val="00B8133C"/>
    <w:rsid w:val="00B815A3"/>
    <w:rsid w:val="00B85C55"/>
    <w:rsid w:val="00B85CBF"/>
    <w:rsid w:val="00B90B23"/>
    <w:rsid w:val="00B91CEE"/>
    <w:rsid w:val="00B94777"/>
    <w:rsid w:val="00B9592E"/>
    <w:rsid w:val="00B95BB2"/>
    <w:rsid w:val="00B95EBA"/>
    <w:rsid w:val="00B96E03"/>
    <w:rsid w:val="00B97985"/>
    <w:rsid w:val="00BA0BC1"/>
    <w:rsid w:val="00BA1D82"/>
    <w:rsid w:val="00BA1FA3"/>
    <w:rsid w:val="00BA23D8"/>
    <w:rsid w:val="00BA27DA"/>
    <w:rsid w:val="00BA2A8A"/>
    <w:rsid w:val="00BA4230"/>
    <w:rsid w:val="00BA45FD"/>
    <w:rsid w:val="00BA5B9C"/>
    <w:rsid w:val="00BA7722"/>
    <w:rsid w:val="00BB4512"/>
    <w:rsid w:val="00BB4D49"/>
    <w:rsid w:val="00BB51F4"/>
    <w:rsid w:val="00BB56EB"/>
    <w:rsid w:val="00BB58F0"/>
    <w:rsid w:val="00BB6439"/>
    <w:rsid w:val="00BB675F"/>
    <w:rsid w:val="00BC133F"/>
    <w:rsid w:val="00BC1530"/>
    <w:rsid w:val="00BC1D75"/>
    <w:rsid w:val="00BC1D83"/>
    <w:rsid w:val="00BD05E4"/>
    <w:rsid w:val="00BD0936"/>
    <w:rsid w:val="00BD11E2"/>
    <w:rsid w:val="00BD17B0"/>
    <w:rsid w:val="00BD3267"/>
    <w:rsid w:val="00BD3715"/>
    <w:rsid w:val="00BD4630"/>
    <w:rsid w:val="00BD4EBD"/>
    <w:rsid w:val="00BD59F0"/>
    <w:rsid w:val="00BD5A47"/>
    <w:rsid w:val="00BD5DB4"/>
    <w:rsid w:val="00BD6E76"/>
    <w:rsid w:val="00BD702E"/>
    <w:rsid w:val="00BE07F9"/>
    <w:rsid w:val="00BE1A13"/>
    <w:rsid w:val="00BE6717"/>
    <w:rsid w:val="00BF1148"/>
    <w:rsid w:val="00BF1811"/>
    <w:rsid w:val="00BF36AE"/>
    <w:rsid w:val="00BF4092"/>
    <w:rsid w:val="00BF44F1"/>
    <w:rsid w:val="00BF4CD9"/>
    <w:rsid w:val="00BF688B"/>
    <w:rsid w:val="00C00EEF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56C0"/>
    <w:rsid w:val="00C36E55"/>
    <w:rsid w:val="00C4086A"/>
    <w:rsid w:val="00C42CA5"/>
    <w:rsid w:val="00C42FAF"/>
    <w:rsid w:val="00C456DD"/>
    <w:rsid w:val="00C47E7D"/>
    <w:rsid w:val="00C52DA0"/>
    <w:rsid w:val="00C53031"/>
    <w:rsid w:val="00C568D7"/>
    <w:rsid w:val="00C56AD1"/>
    <w:rsid w:val="00C60BBC"/>
    <w:rsid w:val="00C61552"/>
    <w:rsid w:val="00C6365D"/>
    <w:rsid w:val="00C6644B"/>
    <w:rsid w:val="00C668FF"/>
    <w:rsid w:val="00C67861"/>
    <w:rsid w:val="00C70A05"/>
    <w:rsid w:val="00C726D8"/>
    <w:rsid w:val="00C7532A"/>
    <w:rsid w:val="00C7663D"/>
    <w:rsid w:val="00C779DC"/>
    <w:rsid w:val="00C80ADA"/>
    <w:rsid w:val="00C81DF4"/>
    <w:rsid w:val="00C83132"/>
    <w:rsid w:val="00C864DC"/>
    <w:rsid w:val="00C908E5"/>
    <w:rsid w:val="00C9118F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08B5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1EF3"/>
    <w:rsid w:val="00CC3D3D"/>
    <w:rsid w:val="00CC3DF9"/>
    <w:rsid w:val="00CC65C5"/>
    <w:rsid w:val="00CC73AB"/>
    <w:rsid w:val="00CD0325"/>
    <w:rsid w:val="00CD12BC"/>
    <w:rsid w:val="00CD32FA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1E44"/>
    <w:rsid w:val="00CE37D5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07C86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6E5A"/>
    <w:rsid w:val="00D47B55"/>
    <w:rsid w:val="00D47B8A"/>
    <w:rsid w:val="00D50703"/>
    <w:rsid w:val="00D51F29"/>
    <w:rsid w:val="00D531E4"/>
    <w:rsid w:val="00D53918"/>
    <w:rsid w:val="00D53C47"/>
    <w:rsid w:val="00D53E59"/>
    <w:rsid w:val="00D54A4A"/>
    <w:rsid w:val="00D55534"/>
    <w:rsid w:val="00D558AA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39EE"/>
    <w:rsid w:val="00D65C4E"/>
    <w:rsid w:val="00D6662D"/>
    <w:rsid w:val="00D67EA6"/>
    <w:rsid w:val="00D71C06"/>
    <w:rsid w:val="00D71EA0"/>
    <w:rsid w:val="00D72152"/>
    <w:rsid w:val="00D72157"/>
    <w:rsid w:val="00D721F1"/>
    <w:rsid w:val="00D73F33"/>
    <w:rsid w:val="00D74A93"/>
    <w:rsid w:val="00D76337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4687"/>
    <w:rsid w:val="00D9690A"/>
    <w:rsid w:val="00DA2C91"/>
    <w:rsid w:val="00DA5316"/>
    <w:rsid w:val="00DA7B87"/>
    <w:rsid w:val="00DB0343"/>
    <w:rsid w:val="00DB079C"/>
    <w:rsid w:val="00DB342A"/>
    <w:rsid w:val="00DB3E19"/>
    <w:rsid w:val="00DB414C"/>
    <w:rsid w:val="00DB63D9"/>
    <w:rsid w:val="00DB6CA5"/>
    <w:rsid w:val="00DB7121"/>
    <w:rsid w:val="00DB7E77"/>
    <w:rsid w:val="00DC0BD6"/>
    <w:rsid w:val="00DC0F17"/>
    <w:rsid w:val="00DC30D0"/>
    <w:rsid w:val="00DC37CE"/>
    <w:rsid w:val="00DC422E"/>
    <w:rsid w:val="00DC72C4"/>
    <w:rsid w:val="00DD0B4E"/>
    <w:rsid w:val="00DD1F5E"/>
    <w:rsid w:val="00DD2DD1"/>
    <w:rsid w:val="00DD4803"/>
    <w:rsid w:val="00DD639C"/>
    <w:rsid w:val="00DD67DA"/>
    <w:rsid w:val="00DD751E"/>
    <w:rsid w:val="00DD7940"/>
    <w:rsid w:val="00DE1840"/>
    <w:rsid w:val="00DE1B89"/>
    <w:rsid w:val="00DE40BD"/>
    <w:rsid w:val="00DE476A"/>
    <w:rsid w:val="00DE5007"/>
    <w:rsid w:val="00DE59C6"/>
    <w:rsid w:val="00DF26B9"/>
    <w:rsid w:val="00DF2E5A"/>
    <w:rsid w:val="00DF3A69"/>
    <w:rsid w:val="00DF4305"/>
    <w:rsid w:val="00DF4D81"/>
    <w:rsid w:val="00DF658B"/>
    <w:rsid w:val="00DF7A2F"/>
    <w:rsid w:val="00E00DC6"/>
    <w:rsid w:val="00E04B02"/>
    <w:rsid w:val="00E058A3"/>
    <w:rsid w:val="00E05E9B"/>
    <w:rsid w:val="00E05F31"/>
    <w:rsid w:val="00E07417"/>
    <w:rsid w:val="00E10ABF"/>
    <w:rsid w:val="00E130CB"/>
    <w:rsid w:val="00E151F3"/>
    <w:rsid w:val="00E1723B"/>
    <w:rsid w:val="00E17539"/>
    <w:rsid w:val="00E23A7D"/>
    <w:rsid w:val="00E244E6"/>
    <w:rsid w:val="00E2695D"/>
    <w:rsid w:val="00E27028"/>
    <w:rsid w:val="00E32995"/>
    <w:rsid w:val="00E32C50"/>
    <w:rsid w:val="00E3404F"/>
    <w:rsid w:val="00E36971"/>
    <w:rsid w:val="00E41A6D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69BC"/>
    <w:rsid w:val="00E57F9B"/>
    <w:rsid w:val="00E60634"/>
    <w:rsid w:val="00E607C0"/>
    <w:rsid w:val="00E61348"/>
    <w:rsid w:val="00E6211E"/>
    <w:rsid w:val="00E6319B"/>
    <w:rsid w:val="00E6550B"/>
    <w:rsid w:val="00E65551"/>
    <w:rsid w:val="00E6726D"/>
    <w:rsid w:val="00E67A0C"/>
    <w:rsid w:val="00E70FBC"/>
    <w:rsid w:val="00E74000"/>
    <w:rsid w:val="00E7623C"/>
    <w:rsid w:val="00E773C0"/>
    <w:rsid w:val="00E80764"/>
    <w:rsid w:val="00E80FCB"/>
    <w:rsid w:val="00E81433"/>
    <w:rsid w:val="00E81C95"/>
    <w:rsid w:val="00E845C0"/>
    <w:rsid w:val="00E852A3"/>
    <w:rsid w:val="00E86628"/>
    <w:rsid w:val="00E914B7"/>
    <w:rsid w:val="00E92775"/>
    <w:rsid w:val="00E93103"/>
    <w:rsid w:val="00EA0295"/>
    <w:rsid w:val="00EA0314"/>
    <w:rsid w:val="00EA0C1C"/>
    <w:rsid w:val="00EA477A"/>
    <w:rsid w:val="00EA5CA0"/>
    <w:rsid w:val="00EA5D92"/>
    <w:rsid w:val="00EB083E"/>
    <w:rsid w:val="00EB307B"/>
    <w:rsid w:val="00EB39AA"/>
    <w:rsid w:val="00EB5354"/>
    <w:rsid w:val="00EB7780"/>
    <w:rsid w:val="00EC06DB"/>
    <w:rsid w:val="00EC2DC7"/>
    <w:rsid w:val="00EC3779"/>
    <w:rsid w:val="00EC65E8"/>
    <w:rsid w:val="00EC71DE"/>
    <w:rsid w:val="00EC7F0E"/>
    <w:rsid w:val="00ED2D1F"/>
    <w:rsid w:val="00ED58E9"/>
    <w:rsid w:val="00ED700E"/>
    <w:rsid w:val="00ED79D6"/>
    <w:rsid w:val="00EE1831"/>
    <w:rsid w:val="00EE249E"/>
    <w:rsid w:val="00EE299D"/>
    <w:rsid w:val="00EE3DAD"/>
    <w:rsid w:val="00EF2177"/>
    <w:rsid w:val="00EF2F7C"/>
    <w:rsid w:val="00EF3FC0"/>
    <w:rsid w:val="00EF42FC"/>
    <w:rsid w:val="00EF61B5"/>
    <w:rsid w:val="00F009B3"/>
    <w:rsid w:val="00F00A40"/>
    <w:rsid w:val="00F00A6E"/>
    <w:rsid w:val="00F048BE"/>
    <w:rsid w:val="00F05773"/>
    <w:rsid w:val="00F0773E"/>
    <w:rsid w:val="00F115D1"/>
    <w:rsid w:val="00F12CED"/>
    <w:rsid w:val="00F12DCE"/>
    <w:rsid w:val="00F13496"/>
    <w:rsid w:val="00F13B2F"/>
    <w:rsid w:val="00F14346"/>
    <w:rsid w:val="00F14982"/>
    <w:rsid w:val="00F163E9"/>
    <w:rsid w:val="00F22A26"/>
    <w:rsid w:val="00F23C0F"/>
    <w:rsid w:val="00F2598D"/>
    <w:rsid w:val="00F26166"/>
    <w:rsid w:val="00F26D3E"/>
    <w:rsid w:val="00F2720A"/>
    <w:rsid w:val="00F32739"/>
    <w:rsid w:val="00F32845"/>
    <w:rsid w:val="00F336A2"/>
    <w:rsid w:val="00F34643"/>
    <w:rsid w:val="00F36BA0"/>
    <w:rsid w:val="00F411C5"/>
    <w:rsid w:val="00F44AEB"/>
    <w:rsid w:val="00F45620"/>
    <w:rsid w:val="00F5304D"/>
    <w:rsid w:val="00F532E2"/>
    <w:rsid w:val="00F5470D"/>
    <w:rsid w:val="00F555FB"/>
    <w:rsid w:val="00F5638B"/>
    <w:rsid w:val="00F56493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3591"/>
    <w:rsid w:val="00FB412B"/>
    <w:rsid w:val="00FB42E5"/>
    <w:rsid w:val="00FB58C3"/>
    <w:rsid w:val="00FB59EE"/>
    <w:rsid w:val="00FB5D32"/>
    <w:rsid w:val="00FB6B8F"/>
    <w:rsid w:val="00FC2522"/>
    <w:rsid w:val="00FC3C77"/>
    <w:rsid w:val="00FC5B56"/>
    <w:rsid w:val="00FD181C"/>
    <w:rsid w:val="00FD4B12"/>
    <w:rsid w:val="00FD5009"/>
    <w:rsid w:val="00FD55C9"/>
    <w:rsid w:val="00FD62DC"/>
    <w:rsid w:val="00FD64DF"/>
    <w:rsid w:val="00FD65D3"/>
    <w:rsid w:val="00FD6A70"/>
    <w:rsid w:val="00FD72F4"/>
    <w:rsid w:val="00FE06B1"/>
    <w:rsid w:val="00FE1D87"/>
    <w:rsid w:val="00FE1EC8"/>
    <w:rsid w:val="00FE3560"/>
    <w:rsid w:val="00FE3E09"/>
    <w:rsid w:val="00FE4FBF"/>
    <w:rsid w:val="00FE6961"/>
    <w:rsid w:val="00FE71EB"/>
    <w:rsid w:val="00FE78CB"/>
    <w:rsid w:val="00FF02B4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okpointy.cz" TargetMode="External"/><Relationship Id="rId19" Type="http://schemas.openxmlformats.org/officeDocument/2006/relationships/footer" Target="footer1.xml"/><Relationship Id="rId31" Type="http://schemas.openxmlformats.org/officeDocument/2006/relationships/hyperlink" Target="mailto:lenka.kuzelova@bca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www.bcas.cz/o-nas/broker-consulting-index-hypotecnich-uveru/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A0DC3-5F9E-4E16-B5FA-148D068A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984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Lenka Kuželová</cp:lastModifiedBy>
  <cp:revision>4</cp:revision>
  <cp:lastPrinted>2023-03-06T11:31:00Z</cp:lastPrinted>
  <dcterms:created xsi:type="dcterms:W3CDTF">2025-12-01T09:14:00Z</dcterms:created>
  <dcterms:modified xsi:type="dcterms:W3CDTF">2025-12-02T08:44:00Z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