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959E" w14:textId="77777777" w:rsidR="009238FC" w:rsidRDefault="004C368D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Tisková zpráva</w:t>
      </w:r>
    </w:p>
    <w:p w14:paraId="7C9CD7E3" w14:textId="67948E35" w:rsidR="009238FC" w:rsidRDefault="004C368D">
      <w:pPr>
        <w:pStyle w:val="Nzev"/>
        <w:jc w:val="both"/>
        <w:rPr>
          <w:b/>
          <w:bCs/>
          <w:color w:val="CC0000"/>
          <w:sz w:val="44"/>
          <w:szCs w:val="44"/>
        </w:rPr>
      </w:pPr>
      <w:bookmarkStart w:id="0" w:name="_5aiy602rfxiv" w:colFirst="0" w:colLast="0"/>
      <w:bookmarkEnd w:id="0"/>
      <w:r>
        <w:rPr>
          <w:b/>
          <w:bCs/>
          <w:color w:val="CC0000"/>
          <w:sz w:val="44"/>
          <w:szCs w:val="44"/>
        </w:rPr>
        <w:t>Povinné ručení se v červnu téměř nehýbalo</w:t>
      </w:r>
      <w:r w:rsidR="00A64F53">
        <w:rPr>
          <w:b/>
          <w:bCs/>
          <w:color w:val="CC0000"/>
          <w:sz w:val="44"/>
          <w:szCs w:val="44"/>
        </w:rPr>
        <w:t>.</w:t>
      </w:r>
      <w:r>
        <w:rPr>
          <w:b/>
          <w:bCs/>
          <w:color w:val="CC0000"/>
          <w:sz w:val="44"/>
          <w:szCs w:val="44"/>
        </w:rPr>
        <w:t xml:space="preserve"> </w:t>
      </w:r>
      <w:r w:rsidR="00A64F53" w:rsidRPr="00A64F53">
        <w:rPr>
          <w:b/>
          <w:bCs/>
          <w:color w:val="CC0000"/>
          <w:sz w:val="44"/>
          <w:szCs w:val="44"/>
        </w:rPr>
        <w:t xml:space="preserve">Před dovolenou experti doporučují zaměřit se </w:t>
      </w:r>
      <w:r w:rsidR="00A64F53">
        <w:rPr>
          <w:b/>
          <w:bCs/>
          <w:color w:val="CC0000"/>
          <w:sz w:val="44"/>
          <w:szCs w:val="44"/>
        </w:rPr>
        <w:t>na rozsah</w:t>
      </w:r>
      <w:r w:rsidR="00A64F53" w:rsidRPr="00A64F53">
        <w:rPr>
          <w:b/>
          <w:bCs/>
          <w:color w:val="CC0000"/>
          <w:sz w:val="44"/>
          <w:szCs w:val="44"/>
        </w:rPr>
        <w:t xml:space="preserve"> asistenční</w:t>
      </w:r>
      <w:r w:rsidR="00A64F53">
        <w:rPr>
          <w:b/>
          <w:bCs/>
          <w:color w:val="CC0000"/>
          <w:sz w:val="44"/>
          <w:szCs w:val="44"/>
        </w:rPr>
        <w:t>ch</w:t>
      </w:r>
      <w:r w:rsidR="00A64F53" w:rsidRPr="00A64F53">
        <w:rPr>
          <w:b/>
          <w:bCs/>
          <w:color w:val="CC0000"/>
          <w:sz w:val="44"/>
          <w:szCs w:val="44"/>
        </w:rPr>
        <w:t xml:space="preserve"> služ</w:t>
      </w:r>
      <w:r w:rsidR="00A64F53">
        <w:rPr>
          <w:b/>
          <w:bCs/>
          <w:color w:val="CC0000"/>
          <w:sz w:val="44"/>
          <w:szCs w:val="44"/>
        </w:rPr>
        <w:t>eb</w:t>
      </w:r>
    </w:p>
    <w:p w14:paraId="28132BA8" w14:textId="2D5DB47B" w:rsidR="009238FC" w:rsidRDefault="004C368D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Praha, </w:t>
      </w:r>
      <w:r w:rsidR="009B518E">
        <w:rPr>
          <w:b/>
          <w:bCs/>
          <w:sz w:val="20"/>
          <w:szCs w:val="20"/>
        </w:rPr>
        <w:t>28</w:t>
      </w:r>
      <w:r>
        <w:rPr>
          <w:b/>
          <w:bCs/>
          <w:sz w:val="20"/>
          <w:szCs w:val="20"/>
        </w:rPr>
        <w:t>. července – Celorepublikový průměr Broker Consulting</w:t>
      </w:r>
      <w:r>
        <w:rPr>
          <w:b/>
          <w:bCs/>
          <w:sz w:val="20"/>
          <w:szCs w:val="20"/>
        </w:rPr>
        <w:t xml:space="preserve"> POV Indexu, který sleduje vývoj cen povinného ručení automobilů, dosáhl v červnu 7 526 korun. Oproti květnu se zvýšil pouze o 0,04 procenta a zůstal tak prakticky beze změny. Dlouhodobý pohled však potvrzuje pokračující růst. Zejména v době dovolených v zahraničí by však řidiči měli zkontrolovat také rozsah asistenčních služeb, jejich limity a platnost mimo Českou republiku.</w:t>
      </w:r>
    </w:p>
    <w:p w14:paraId="027EA02E" w14:textId="77777777" w:rsidR="009238FC" w:rsidRDefault="009238FC">
      <w:pPr>
        <w:rPr>
          <w:b/>
          <w:bCs/>
          <w:sz w:val="20"/>
          <w:szCs w:val="20"/>
        </w:rPr>
      </w:pPr>
    </w:p>
    <w:p w14:paraId="4ED3B783" w14:textId="28DBB70B" w:rsidR="009238FC" w:rsidRDefault="004C368D">
      <w:pPr>
        <w:rPr>
          <w:b/>
          <w:bCs/>
          <w:sz w:val="20"/>
          <w:szCs w:val="20"/>
        </w:rPr>
      </w:pPr>
      <w:r>
        <w:rPr>
          <w:sz w:val="20"/>
          <w:szCs w:val="20"/>
        </w:rPr>
        <w:t>„</w:t>
      </w:r>
      <w:r>
        <w:rPr>
          <w:i/>
          <w:iCs/>
          <w:sz w:val="20"/>
          <w:szCs w:val="20"/>
        </w:rPr>
        <w:t xml:space="preserve">U povinného ručení není cena jediné kritérium. Důležitější je, zda smlouva stále odpovídá tomu, jak člověk auto skutečně využívá. </w:t>
      </w:r>
      <w:r w:rsidR="009B518E" w:rsidRPr="009B518E">
        <w:rPr>
          <w:i/>
          <w:iCs/>
          <w:sz w:val="20"/>
          <w:szCs w:val="20"/>
        </w:rPr>
        <w:t xml:space="preserve">Kdo například začal jezdit </w:t>
      </w:r>
      <w:r w:rsidR="009B518E">
        <w:rPr>
          <w:i/>
          <w:iCs/>
          <w:sz w:val="20"/>
          <w:szCs w:val="20"/>
        </w:rPr>
        <w:t xml:space="preserve">častěji </w:t>
      </w:r>
      <w:r w:rsidR="009B518E" w:rsidRPr="009B518E">
        <w:rPr>
          <w:i/>
          <w:iCs/>
          <w:sz w:val="20"/>
          <w:szCs w:val="20"/>
        </w:rPr>
        <w:t xml:space="preserve">do zahraničí, měl by </w:t>
      </w:r>
      <w:r w:rsidR="009B518E" w:rsidRPr="00E26C2E">
        <w:rPr>
          <w:i/>
          <w:iCs/>
          <w:sz w:val="20"/>
          <w:szCs w:val="20"/>
        </w:rPr>
        <w:t>si nechat</w:t>
      </w:r>
      <w:r w:rsidR="009B518E" w:rsidRPr="009B518E">
        <w:rPr>
          <w:i/>
          <w:iCs/>
          <w:sz w:val="20"/>
          <w:szCs w:val="20"/>
        </w:rPr>
        <w:t xml:space="preserve"> zkontrolovat nastavení celé smlouvy.</w:t>
      </w:r>
      <w:r w:rsidR="009B518E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Pravidelná revize může ukázat, že původně zvolená varianta už potřebám řidiče neodpovídá</w:t>
      </w:r>
      <w:r>
        <w:rPr>
          <w:sz w:val="20"/>
          <w:szCs w:val="20"/>
        </w:rPr>
        <w:t xml:space="preserve">,“ uvádí </w:t>
      </w:r>
      <w:r>
        <w:rPr>
          <w:b/>
          <w:bCs/>
          <w:sz w:val="20"/>
          <w:szCs w:val="20"/>
        </w:rPr>
        <w:t>Jiří Váchal, analytik společnosti Broker Consulting.</w:t>
      </w:r>
    </w:p>
    <w:p w14:paraId="2B33FC47" w14:textId="77777777" w:rsidR="009238FC" w:rsidRDefault="004C368D">
      <w:pPr>
        <w:pStyle w:val="Nadpis2"/>
      </w:pPr>
      <w:bookmarkStart w:id="1" w:name="_nel3cqs4gsy8" w:colFirst="0" w:colLast="0"/>
      <w:bookmarkEnd w:id="1"/>
      <w:r>
        <w:t>Červen přinesl jen minimální pohyb</w:t>
      </w:r>
    </w:p>
    <w:p w14:paraId="0461F88D" w14:textId="77777777" w:rsidR="009238FC" w:rsidRDefault="004C368D">
      <w:pPr>
        <w:jc w:val="both"/>
        <w:rPr>
          <w:sz w:val="20"/>
          <w:szCs w:val="20"/>
        </w:rPr>
      </w:pPr>
      <w:r>
        <w:rPr>
          <w:sz w:val="20"/>
          <w:szCs w:val="20"/>
        </w:rPr>
        <w:t>V meziměsíčním srovnání se na trhu povinného ručení neodehrály žádné zásadní změny. Červnová hodnota POV Indexu zůstala prakticky na stejné úrovni jako v květnu a zvýšila se pouze o 0,04 procenta. Dlouhodobý vývoj je však výraznější</w:t>
      </w:r>
      <w:r w:rsidRPr="00A64F53">
        <w:rPr>
          <w:b/>
          <w:bCs/>
          <w:sz w:val="20"/>
          <w:szCs w:val="20"/>
        </w:rPr>
        <w:t>. Zatímco v červnu 2023 činila průměrná hodnota 6 656 korun, o rok později dosáhla 7 061 korun. V červnu 2025 se dostala na 7 437 korun a letos dosáhla 7 526 korun.</w:t>
      </w:r>
      <w:r>
        <w:rPr>
          <w:sz w:val="20"/>
          <w:szCs w:val="20"/>
        </w:rPr>
        <w:t xml:space="preserve"> Dá se očekávat, že dlouhodobý růst bude pokračovat, i když jednotlivé měsíce mohou přinášet pouze nepatrné změny.</w:t>
      </w:r>
    </w:p>
    <w:p w14:paraId="3D88FB03" w14:textId="77777777" w:rsidR="009238FC" w:rsidRDefault="009238FC">
      <w:pPr>
        <w:jc w:val="both"/>
        <w:rPr>
          <w:sz w:val="20"/>
          <w:szCs w:val="20"/>
        </w:rPr>
      </w:pPr>
    </w:p>
    <w:p w14:paraId="4B1267FF" w14:textId="77777777" w:rsidR="009238FC" w:rsidRDefault="004C368D">
      <w:pPr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„Stabilní hodnota v jednom měsíci ještě neznamená, že se dlouhodobý trend obrací. Řidičům proto doporučujeme, aby své pojištění pravidelně kontrolovali a nečekali pouze na chvíli, kdy jim přijde nové vyúčtování. Smlouva by měla odpovídat tomu, jak člověk auto skutečně využívá, a zároveň nabízet přiměřenou cenu i dostatečný rozsah krytí,“</w:t>
      </w:r>
      <w:r>
        <w:rPr>
          <w:sz w:val="20"/>
          <w:szCs w:val="20"/>
        </w:rPr>
        <w:t xml:space="preserve"> uvádí </w:t>
      </w:r>
      <w:r>
        <w:rPr>
          <w:b/>
          <w:bCs/>
          <w:sz w:val="20"/>
          <w:szCs w:val="20"/>
        </w:rPr>
        <w:t>Jiří Váchal, analytik společnosti Broker Consulting</w:t>
      </w:r>
      <w:r>
        <w:rPr>
          <w:sz w:val="20"/>
          <w:szCs w:val="20"/>
        </w:rPr>
        <w:t>.</w:t>
      </w:r>
    </w:p>
    <w:p w14:paraId="1C2C8D89" w14:textId="77777777" w:rsidR="009238FC" w:rsidRDefault="009238FC">
      <w:pPr>
        <w:rPr>
          <w:b/>
          <w:bCs/>
          <w:sz w:val="20"/>
          <w:szCs w:val="20"/>
        </w:rPr>
      </w:pPr>
    </w:p>
    <w:p w14:paraId="02379BD8" w14:textId="76AD198C" w:rsidR="009238FC" w:rsidRDefault="009B518E" w:rsidP="009B518E">
      <w:pPr>
        <w:jc w:val="center"/>
        <w:rPr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Dlouhodob</w:t>
      </w:r>
      <w:r w:rsidR="004C368D">
        <w:rPr>
          <w:rFonts w:ascii="Times New Roman" w:eastAsia="Times New Roman" w:hAnsi="Times New Roman" w:cs="Times New Roman"/>
          <w:b/>
          <w:bCs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vývoj POV Indexu BC (v Kč)</w:t>
      </w:r>
    </w:p>
    <w:p w14:paraId="015E813B" w14:textId="77777777" w:rsidR="009B518E" w:rsidRDefault="009B518E">
      <w:pPr>
        <w:rPr>
          <w:b/>
          <w:bCs/>
          <w:sz w:val="20"/>
          <w:szCs w:val="20"/>
        </w:rPr>
      </w:pPr>
    </w:p>
    <w:tbl>
      <w:tblPr>
        <w:tblStyle w:val="a"/>
        <w:tblW w:w="90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4"/>
        <w:gridCol w:w="5626"/>
      </w:tblGrid>
      <w:tr w:rsidR="009B518E" w14:paraId="76BEB280" w14:textId="77777777" w:rsidTr="00B01E45">
        <w:trPr>
          <w:trHeight w:val="360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CC051" w14:textId="6AB6E30E" w:rsidR="009B518E" w:rsidRDefault="009B518E" w:rsidP="00B01E45">
            <w:pPr>
              <w:jc w:val="center"/>
              <w:rPr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Měsíc/Rok</w:t>
            </w:r>
          </w:p>
        </w:tc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A940E" w14:textId="77777777" w:rsidR="009B518E" w:rsidRDefault="009B518E" w:rsidP="00B01E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Celorepublikový průměr</w:t>
            </w:r>
          </w:p>
        </w:tc>
      </w:tr>
      <w:tr w:rsidR="009B518E" w14:paraId="45935A23" w14:textId="77777777" w:rsidTr="00B01E45">
        <w:trPr>
          <w:trHeight w:val="360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D2DB67" w14:textId="77777777" w:rsidR="009B518E" w:rsidRDefault="009B518E" w:rsidP="00B01E45">
            <w:pPr>
              <w:spacing w:after="12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06/2023</w:t>
            </w:r>
          </w:p>
        </w:tc>
        <w:tc>
          <w:tcPr>
            <w:tcW w:w="2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7BE7C" w14:textId="77777777" w:rsidR="009B518E" w:rsidRDefault="009B518E" w:rsidP="00B01E45">
            <w:pPr>
              <w:spacing w:after="12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6 656</w:t>
            </w:r>
          </w:p>
        </w:tc>
      </w:tr>
      <w:tr w:rsidR="009B518E" w14:paraId="470D03A5" w14:textId="77777777" w:rsidTr="00B01E45">
        <w:trPr>
          <w:trHeight w:val="390"/>
        </w:trPr>
        <w:tc>
          <w:tcPr>
            <w:tcW w:w="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5C84E" w14:textId="77777777" w:rsidR="009B518E" w:rsidRDefault="009B518E" w:rsidP="00B01E45">
            <w:pPr>
              <w:spacing w:after="12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06/2024</w:t>
            </w:r>
          </w:p>
        </w:tc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23F24" w14:textId="77777777" w:rsidR="009B518E" w:rsidRDefault="009B518E" w:rsidP="00B01E45">
            <w:pPr>
              <w:spacing w:after="12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7 061</w:t>
            </w:r>
          </w:p>
        </w:tc>
      </w:tr>
      <w:tr w:rsidR="009B518E" w14:paraId="4030EB46" w14:textId="77777777" w:rsidTr="00B01E45">
        <w:trPr>
          <w:trHeight w:val="360"/>
        </w:trPr>
        <w:tc>
          <w:tcPr>
            <w:tcW w:w="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1BA4A" w14:textId="77777777" w:rsidR="009B518E" w:rsidRDefault="009B518E" w:rsidP="00B01E45">
            <w:pPr>
              <w:spacing w:after="12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06/2025</w:t>
            </w:r>
          </w:p>
        </w:tc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4918F" w14:textId="77777777" w:rsidR="009B518E" w:rsidRDefault="009B518E" w:rsidP="00B01E45">
            <w:pPr>
              <w:spacing w:after="12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7 437</w:t>
            </w:r>
          </w:p>
        </w:tc>
      </w:tr>
      <w:tr w:rsidR="009B518E" w14:paraId="6E0209CB" w14:textId="77777777" w:rsidTr="00B01E45">
        <w:trPr>
          <w:trHeight w:val="360"/>
        </w:trPr>
        <w:tc>
          <w:tcPr>
            <w:tcW w:w="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EAB7B" w14:textId="77777777" w:rsidR="009B518E" w:rsidRDefault="009B518E" w:rsidP="00B01E45">
            <w:pPr>
              <w:spacing w:after="120"/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06/2026</w:t>
            </w:r>
          </w:p>
        </w:tc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5595D" w14:textId="77777777" w:rsidR="009B518E" w:rsidRDefault="009B518E" w:rsidP="00B01E45">
            <w:pPr>
              <w:spacing w:after="120"/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7 526</w:t>
            </w:r>
          </w:p>
        </w:tc>
      </w:tr>
    </w:tbl>
    <w:p w14:paraId="5888D914" w14:textId="77777777" w:rsidR="009B518E" w:rsidRDefault="009B518E">
      <w:pPr>
        <w:rPr>
          <w:b/>
          <w:bCs/>
          <w:sz w:val="20"/>
          <w:szCs w:val="20"/>
        </w:rPr>
      </w:pPr>
    </w:p>
    <w:p w14:paraId="2A625602" w14:textId="77777777" w:rsidR="009238FC" w:rsidRDefault="004C368D">
      <w:pPr>
        <w:pStyle w:val="Nadpis2"/>
      </w:pPr>
      <w:bookmarkStart w:id="2" w:name="_xuea936ab18t" w:colFirst="0" w:colLast="0"/>
      <w:bookmarkEnd w:id="2"/>
      <w:r>
        <w:lastRenderedPageBreak/>
        <w:t>Základní asistence nemusí na cestu do zahraničí stačit</w:t>
      </w:r>
    </w:p>
    <w:p w14:paraId="198A4879" w14:textId="77777777" w:rsidR="009238FC" w:rsidRDefault="004C368D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Určitý základní rozsah asistenčních služeb bývá </w:t>
      </w:r>
      <w:r>
        <w:rPr>
          <w:sz w:val="20"/>
          <w:szCs w:val="20"/>
        </w:rPr>
        <w:t>součástí povinného ručení vždy. Jednotlivé varianty se však liší svými limity, územní platností i rozsahem pomoci. Pojišťovny obvykle nabízejí tři nebo čtyři možnosti, proto by si měl řidič ověřit, kterou z nich má sjednanou a zda odpovídá tomu, kam a jak často jezdí.</w:t>
      </w:r>
    </w:p>
    <w:p w14:paraId="690B07D8" w14:textId="77777777" w:rsidR="009238FC" w:rsidRDefault="004C368D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Asistenční služby jsou aktivní ihned po zaplacení smlouvy a dostupné nepřetržitě 24 hodin denně a 7 dní v týdnu. Platí to také u smluv s odloženým počátkem pojištění. Klient si může připlatit za širší rozsah pomoci, vyšší limity nebo platnost v Evropě.</w:t>
      </w:r>
    </w:p>
    <w:p w14:paraId="6738EB05" w14:textId="77777777" w:rsidR="009238FC" w:rsidRDefault="004C368D">
      <w:pPr>
        <w:spacing w:before="240" w:after="240"/>
        <w:rPr>
          <w:sz w:val="20"/>
          <w:szCs w:val="20"/>
        </w:rPr>
      </w:pPr>
      <w:r>
        <w:rPr>
          <w:i/>
          <w:iCs/>
          <w:sz w:val="20"/>
          <w:szCs w:val="20"/>
        </w:rPr>
        <w:t>„Před odjezdem do zahraničí doporučuji otevřít pojistnou smlouvu a ověřit si tři základní věci. Kam až asistence platí, jaký má limit a zda zahrnuje odtah vozidla do nejbližšího servisu. Pokud řidič během roku jezdí převážně po České republice a do zahraničí vyráží jen na dovolenou, může být vhodné doplnit potřebné krytí v rámci cestovního pojištění. Krátká kontrola před cestou může předejít nepříjemnému překvapení ve chvíli, kdy už člověk pomoc skutečně potřebuje,“</w:t>
      </w:r>
      <w:r>
        <w:rPr>
          <w:sz w:val="20"/>
          <w:szCs w:val="20"/>
        </w:rPr>
        <w:t xml:space="preserve"> vysvětluje </w:t>
      </w:r>
      <w:r>
        <w:rPr>
          <w:b/>
          <w:bCs/>
          <w:sz w:val="20"/>
          <w:szCs w:val="20"/>
        </w:rPr>
        <w:t>Jiří Váchal</w:t>
      </w:r>
      <w:r>
        <w:rPr>
          <w:sz w:val="20"/>
          <w:szCs w:val="20"/>
        </w:rPr>
        <w:t>.</w:t>
      </w:r>
    </w:p>
    <w:p w14:paraId="0D9CFAD5" w14:textId="77777777" w:rsidR="009238FC" w:rsidRDefault="004C368D">
      <w:pPr>
        <w:pStyle w:val="Nadpis2"/>
        <w:keepNext w:val="0"/>
        <w:keepLines w:val="0"/>
      </w:pPr>
      <w:bookmarkStart w:id="3" w:name="_9u5a0puqc3ks" w:colFirst="0" w:colLast="0"/>
      <w:bookmarkEnd w:id="3"/>
      <w:r>
        <w:t>Pomoc nekončí odtahem do servisu</w:t>
      </w:r>
    </w:p>
    <w:p w14:paraId="5A4F72F4" w14:textId="77777777" w:rsidR="009238FC" w:rsidRDefault="004C368D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Asistenční služby mohou být užitečné v mnohem širším spektru situací než jen při odtahu nepojízdného vozidla. Podle zvolené varianty mohou řidiči pomoci při dopravní nehodě, poruše, krádeži vozidla, vandalismu nebo defektu pneumatiky. V praxi může asistence dále zajistit například úschovu vozidla, doručení náhradních dílů, vyslání náhradního řidiče nebo pomoc při ztrátě klíčů. Užitečná může být také pro řidiče, kteří cestují s vozíkem nebo obytným přívěsem, a potřebují zajistit jeho odtah.</w:t>
      </w:r>
    </w:p>
    <w:p w14:paraId="34F9CF9C" w14:textId="77777777" w:rsidR="009238FC" w:rsidRDefault="004C368D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Při komplikacích v zahraničí mohou širší varianty zahrnovat také tlumočnické služby, přepravu vozidla zpět do České republiky, předání vzkazu blízké osobě nebo v krajním případě úhradu nákladů na sešrotování vozidla. Ne všechny tyto služby jsou však automatickou součástí každého povinného ručení. Konkrétní rozsah vždy závisí na pojišťovně, zvolené variantě, limitech a pojistných podmínkách.</w:t>
      </w:r>
    </w:p>
    <w:p w14:paraId="1EAC0946" w14:textId="7445DAE2" w:rsidR="00CA7CB2" w:rsidRDefault="00CA7CB2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-----</w:t>
      </w:r>
    </w:p>
    <w:p w14:paraId="35C410CE" w14:textId="77777777" w:rsidR="00CA7CB2" w:rsidRDefault="00CA7CB2">
      <w:pPr>
        <w:spacing w:before="240" w:after="240"/>
        <w:rPr>
          <w:sz w:val="20"/>
          <w:szCs w:val="20"/>
        </w:rPr>
      </w:pPr>
    </w:p>
    <w:p w14:paraId="5A1134F2" w14:textId="77777777" w:rsidR="00CA7CB2" w:rsidRDefault="00CA7CB2">
      <w:pPr>
        <w:spacing w:before="240" w:after="240"/>
        <w:rPr>
          <w:sz w:val="20"/>
          <w:szCs w:val="20"/>
        </w:rPr>
      </w:pPr>
    </w:p>
    <w:p w14:paraId="00629631" w14:textId="77777777" w:rsidR="00CA7CB2" w:rsidRDefault="00CA7CB2">
      <w:pPr>
        <w:spacing w:before="240" w:after="240"/>
        <w:rPr>
          <w:sz w:val="20"/>
          <w:szCs w:val="20"/>
        </w:rPr>
      </w:pPr>
    </w:p>
    <w:p w14:paraId="1C0F1CD3" w14:textId="77777777" w:rsidR="009238FC" w:rsidRDefault="004C368D">
      <w:pPr>
        <w:pStyle w:val="Nadpis3"/>
        <w:keepNext w:val="0"/>
        <w:keepLines w:val="0"/>
        <w:spacing w:line="212" w:lineRule="auto"/>
        <w:jc w:val="both"/>
        <w:rPr>
          <w:b/>
          <w:bCs/>
          <w:color w:val="000000"/>
          <w:sz w:val="20"/>
          <w:szCs w:val="20"/>
        </w:rPr>
      </w:pPr>
      <w:bookmarkStart w:id="4" w:name="_e6xlgkqlyku" w:colFirst="0" w:colLast="0"/>
      <w:bookmarkStart w:id="5" w:name="_a2qs50x7a3i5" w:colFirst="0" w:colLast="0"/>
      <w:bookmarkEnd w:id="4"/>
      <w:bookmarkEnd w:id="5"/>
      <w:r>
        <w:rPr>
          <w:b/>
          <w:bCs/>
          <w:color w:val="000000"/>
          <w:sz w:val="20"/>
          <w:szCs w:val="20"/>
        </w:rPr>
        <w:t>Broker Consulting POV Index</w:t>
      </w:r>
    </w:p>
    <w:p w14:paraId="0AD19522" w14:textId="77777777" w:rsidR="009238FC" w:rsidRDefault="004C368D">
      <w:pPr>
        <w:jc w:val="both"/>
        <w:rPr>
          <w:sz w:val="18"/>
          <w:szCs w:val="18"/>
        </w:rPr>
      </w:pPr>
      <w:r>
        <w:rPr>
          <w:sz w:val="18"/>
          <w:szCs w:val="18"/>
        </w:rPr>
        <w:t>Broker Consulting</w:t>
      </w:r>
      <w:r>
        <w:rPr>
          <w:sz w:val="18"/>
          <w:szCs w:val="18"/>
        </w:rPr>
        <w:t xml:space="preserve"> POV Index sleduje vývoj nákladů na trhu již od srpna roku 2019. Metodika indexu vychází z parametrů typických pro běžné české domácnosti a jako modelový vůz využívá automobil Škoda Octavia 1,6 TDI o výkonu 85 kW. Index sleduje průměrné ceny za pojištění s nejběžnějším krytím pro řidiče bez předchozí historie. Odborníci upozorňují, že při výběru pojištění je nutné hodnotit nejen samotnou cenu, ale také limity plnění a kvalitu asistenčních služeb pro případ nehody. Interaktivní data a grafy jsou pro veřejnos</w:t>
      </w:r>
      <w:r>
        <w:rPr>
          <w:sz w:val="18"/>
          <w:szCs w:val="18"/>
        </w:rPr>
        <w:t>t i média dostupná na internetových stránkách společnosti Broker Consulting.</w:t>
      </w:r>
    </w:p>
    <w:p w14:paraId="255301F6" w14:textId="77777777" w:rsidR="009238FC" w:rsidRDefault="004C368D">
      <w:pPr>
        <w:pStyle w:val="Nadpis3"/>
        <w:keepNext w:val="0"/>
        <w:keepLines w:val="0"/>
        <w:jc w:val="both"/>
        <w:rPr>
          <w:b/>
          <w:bCs/>
          <w:color w:val="000000"/>
          <w:sz w:val="20"/>
          <w:szCs w:val="20"/>
        </w:rPr>
      </w:pPr>
      <w:bookmarkStart w:id="6" w:name="_mgg7ck2xr1en" w:colFirst="0" w:colLast="0"/>
      <w:bookmarkEnd w:id="6"/>
      <w:r>
        <w:rPr>
          <w:b/>
          <w:bCs/>
          <w:color w:val="000000"/>
          <w:sz w:val="20"/>
          <w:szCs w:val="20"/>
        </w:rPr>
        <w:lastRenderedPageBreak/>
        <w:t>O společnosti Broker Consulting</w:t>
      </w:r>
    </w:p>
    <w:p w14:paraId="7C7EEE37" w14:textId="77777777" w:rsidR="009238FC" w:rsidRDefault="004C368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Broker Consulting je jednou z největších společností na českém a slovenském trhu, která poskytuje služby v oblasti financí a realit. Od roku 1998 získala důvěru více než 700 000 klientů. Poskytuje také služby přes 4 000 firmám. Distribuci služeb zajišťuje přibližně 2 000 konzultantů (profesionální konzultanti, zaměstnanci, konzultanti v zapracování v ČR i SR) ve více než 150 kancelářích a na několika desítkách poboček Broker Point Premium. Společnost uvedla na český a slovenský trh řadu inovací. Jednalo se </w:t>
      </w:r>
      <w:r>
        <w:rPr>
          <w:sz w:val="18"/>
          <w:szCs w:val="18"/>
        </w:rPr>
        <w:t xml:space="preserve">například o investice do otevřených podílových fondů se zamykáním zisků nebo unikátní produkty životního dopojištění, které umožňují pojistit smrt a invaliditu za zlomek obvyklých cen. Bankovní, finanční a realitní služby společně, to je Broker Point Premium, jehož přináší společnost Broker Consulting, která za vedení franšízy a její podporu získala ocenění </w:t>
      </w:r>
      <w:r>
        <w:rPr>
          <w:b/>
          <w:bCs/>
          <w:color w:val="FF0000"/>
          <w:sz w:val="18"/>
          <w:szCs w:val="18"/>
        </w:rPr>
        <w:t>Franchisor roku 2022</w:t>
      </w: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 xml:space="preserve">od České asociace franchisingu. Více na </w:t>
      </w:r>
      <w:hyperlink r:id="rId6">
        <w:r w:rsidR="009238FC">
          <w:rPr>
            <w:color w:val="0000FF"/>
            <w:sz w:val="18"/>
            <w:szCs w:val="18"/>
            <w:u w:val="single"/>
          </w:rPr>
          <w:t>bcas.cz</w:t>
        </w:r>
      </w:hyperlink>
      <w:r>
        <w:rPr>
          <w:color w:val="0000FF"/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 xml:space="preserve">a na </w:t>
      </w:r>
      <w:hyperlink r:id="rId7">
        <w:r w:rsidR="009238FC">
          <w:rPr>
            <w:color w:val="0000FF"/>
            <w:sz w:val="18"/>
            <w:szCs w:val="18"/>
            <w:u w:val="single"/>
          </w:rPr>
          <w:t>realityspolu.cz</w:t>
        </w:r>
      </w:hyperlink>
      <w:r>
        <w:rPr>
          <w:color w:val="0000FF"/>
          <w:sz w:val="18"/>
          <w:szCs w:val="18"/>
          <w:u w:val="single"/>
        </w:rPr>
        <w:t xml:space="preserve">. </w:t>
      </w:r>
      <w:r>
        <w:rPr>
          <w:sz w:val="18"/>
          <w:szCs w:val="18"/>
        </w:rPr>
        <w:t xml:space="preserve">Navštivte také náš </w:t>
      </w:r>
      <w:hyperlink r:id="rId8">
        <w:r w:rsidR="009238FC">
          <w:rPr>
            <w:color w:val="0000FF"/>
            <w:sz w:val="18"/>
            <w:szCs w:val="18"/>
            <w:u w:val="single"/>
          </w:rPr>
          <w:t>Facebook</w:t>
        </w:r>
      </w:hyperlink>
      <w:r>
        <w:rPr>
          <w:sz w:val="18"/>
          <w:szCs w:val="18"/>
        </w:rPr>
        <w:t xml:space="preserve">, </w:t>
      </w:r>
      <w:hyperlink r:id="rId9">
        <w:r w:rsidR="009238FC">
          <w:rPr>
            <w:color w:val="0000FF"/>
            <w:sz w:val="18"/>
            <w:szCs w:val="18"/>
            <w:u w:val="single"/>
          </w:rPr>
          <w:t>LinkedIN</w:t>
        </w:r>
      </w:hyperlink>
      <w:r>
        <w:rPr>
          <w:sz w:val="18"/>
          <w:szCs w:val="18"/>
        </w:rPr>
        <w:t xml:space="preserve">Broker Consulting, Twitter </w:t>
      </w:r>
      <w:r>
        <w:rPr>
          <w:sz w:val="18"/>
          <w:szCs w:val="18"/>
          <w:highlight w:val="white"/>
        </w:rPr>
        <w:t xml:space="preserve">@BC_oficialni, </w:t>
      </w:r>
      <w:r>
        <w:rPr>
          <w:sz w:val="18"/>
          <w:szCs w:val="18"/>
        </w:rPr>
        <w:t xml:space="preserve"> </w:t>
      </w:r>
      <w:hyperlink r:id="rId10">
        <w:r w:rsidR="009238FC">
          <w:rPr>
            <w:color w:val="0000FF"/>
            <w:sz w:val="18"/>
            <w:szCs w:val="18"/>
            <w:u w:val="single"/>
          </w:rPr>
          <w:t>Facebook</w:t>
        </w:r>
      </w:hyperlink>
      <w:r>
        <w:rPr>
          <w:sz w:val="18"/>
          <w:szCs w:val="18"/>
        </w:rPr>
        <w:t xml:space="preserve"> a </w:t>
      </w:r>
      <w:hyperlink r:id="rId11">
        <w:r w:rsidR="009238FC">
          <w:rPr>
            <w:color w:val="0000FF"/>
            <w:sz w:val="18"/>
            <w:szCs w:val="18"/>
            <w:u w:val="single"/>
          </w:rPr>
          <w:t>LinkedI</w:t>
        </w:r>
      </w:hyperlink>
      <w:r>
        <w:rPr>
          <w:color w:val="0000FF"/>
          <w:sz w:val="18"/>
          <w:szCs w:val="18"/>
          <w:u w:val="single"/>
        </w:rPr>
        <w:t>N</w:t>
      </w:r>
      <w:r>
        <w:rPr>
          <w:sz w:val="18"/>
          <w:szCs w:val="18"/>
        </w:rPr>
        <w:t xml:space="preserve"> Broker Point Premium. </w:t>
      </w:r>
    </w:p>
    <w:p w14:paraId="2C85A87F" w14:textId="77777777" w:rsidR="009238FC" w:rsidRDefault="004C368D">
      <w:pPr>
        <w:pStyle w:val="Nadpis3"/>
        <w:keepNext w:val="0"/>
        <w:keepLines w:val="0"/>
        <w:spacing w:after="120"/>
        <w:jc w:val="both"/>
        <w:rPr>
          <w:b/>
          <w:bCs/>
          <w:color w:val="000000"/>
          <w:sz w:val="20"/>
          <w:szCs w:val="20"/>
        </w:rPr>
      </w:pPr>
      <w:bookmarkStart w:id="7" w:name="_uv0z94lmh870" w:colFirst="0" w:colLast="0"/>
      <w:bookmarkEnd w:id="7"/>
      <w:r>
        <w:rPr>
          <w:b/>
          <w:bCs/>
          <w:color w:val="000000"/>
          <w:sz w:val="20"/>
          <w:szCs w:val="20"/>
        </w:rPr>
        <w:t>Kontakt pro média:</w:t>
      </w:r>
    </w:p>
    <w:p w14:paraId="1E9DD500" w14:textId="77777777" w:rsidR="009238FC" w:rsidRDefault="004C368D">
      <w:pPr>
        <w:jc w:val="both"/>
        <w:rPr>
          <w:sz w:val="18"/>
          <w:szCs w:val="18"/>
        </w:rPr>
      </w:pPr>
      <w:r>
        <w:rPr>
          <w:sz w:val="18"/>
          <w:szCs w:val="18"/>
        </w:rPr>
        <w:t>Ondřej Lukáš</w:t>
      </w:r>
    </w:p>
    <w:p w14:paraId="280111B5" w14:textId="77777777" w:rsidR="009238FC" w:rsidRDefault="004C368D">
      <w:pPr>
        <w:jc w:val="both"/>
        <w:rPr>
          <w:sz w:val="18"/>
          <w:szCs w:val="18"/>
        </w:rPr>
      </w:pPr>
      <w:r>
        <w:rPr>
          <w:sz w:val="18"/>
          <w:szCs w:val="18"/>
        </w:rPr>
        <w:t>Insighters, s. r. o.</w:t>
      </w:r>
    </w:p>
    <w:p w14:paraId="4C1102C7" w14:textId="77777777" w:rsidR="009238FC" w:rsidRDefault="004C368D">
      <w:pPr>
        <w:jc w:val="both"/>
        <w:rPr>
          <w:sz w:val="19"/>
          <w:szCs w:val="19"/>
        </w:rPr>
      </w:pPr>
      <w:r>
        <w:rPr>
          <w:sz w:val="19"/>
          <w:szCs w:val="19"/>
        </w:rPr>
        <w:t>Mobil: +420 776 186 529</w:t>
      </w:r>
    </w:p>
    <w:p w14:paraId="43A464B5" w14:textId="77777777" w:rsidR="009238FC" w:rsidRDefault="004C368D">
      <w:pPr>
        <w:jc w:val="both"/>
        <w:rPr>
          <w:color w:val="800080"/>
          <w:sz w:val="19"/>
          <w:szCs w:val="19"/>
          <w:u w:val="single"/>
        </w:rPr>
      </w:pPr>
      <w:r>
        <w:rPr>
          <w:sz w:val="19"/>
          <w:szCs w:val="19"/>
        </w:rPr>
        <w:t xml:space="preserve">e-mail: </w:t>
      </w:r>
      <w:r>
        <w:rPr>
          <w:color w:val="800080"/>
          <w:sz w:val="19"/>
          <w:szCs w:val="19"/>
          <w:u w:val="single"/>
        </w:rPr>
        <w:t>ondrej.lukas@insighters.cz</w:t>
      </w:r>
    </w:p>
    <w:p w14:paraId="14B85A7C" w14:textId="77777777" w:rsidR="009238FC" w:rsidRDefault="009238FC">
      <w:pPr>
        <w:rPr>
          <w:b/>
          <w:bCs/>
          <w:sz w:val="20"/>
          <w:szCs w:val="20"/>
        </w:rPr>
      </w:pPr>
    </w:p>
    <w:sectPr w:rsidR="009238FC">
      <w:headerReference w:type="defaul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7E33B" w14:textId="77777777" w:rsidR="004324C3" w:rsidRDefault="004324C3">
      <w:pPr>
        <w:spacing w:line="240" w:lineRule="auto"/>
      </w:pPr>
      <w:r>
        <w:separator/>
      </w:r>
    </w:p>
  </w:endnote>
  <w:endnote w:type="continuationSeparator" w:id="0">
    <w:p w14:paraId="2A08BE37" w14:textId="77777777" w:rsidR="004324C3" w:rsidRDefault="004324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4C427E3-BB70-4DE7-B71F-D43E066547C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8929954F-72E8-47DF-A444-4335FCD58F0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84DA4" w14:textId="77777777" w:rsidR="004324C3" w:rsidRDefault="004324C3">
      <w:pPr>
        <w:spacing w:line="240" w:lineRule="auto"/>
      </w:pPr>
      <w:r>
        <w:separator/>
      </w:r>
    </w:p>
  </w:footnote>
  <w:footnote w:type="continuationSeparator" w:id="0">
    <w:p w14:paraId="37A0F733" w14:textId="77777777" w:rsidR="004324C3" w:rsidRDefault="004324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1E02A" w14:textId="77777777" w:rsidR="009238FC" w:rsidRDefault="004C368D">
    <w:r>
      <w:rPr>
        <w:noProof/>
      </w:rPr>
      <w:drawing>
        <wp:inline distT="114300" distB="114300" distL="114300" distR="114300" wp14:anchorId="3B030F4D" wp14:editId="7F6ED948">
          <wp:extent cx="1879038" cy="9667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9038" cy="966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F16853" w14:textId="77777777" w:rsidR="009238FC" w:rsidRDefault="009238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FC"/>
    <w:rsid w:val="004324C3"/>
    <w:rsid w:val="004C368D"/>
    <w:rsid w:val="00506D22"/>
    <w:rsid w:val="009238FC"/>
    <w:rsid w:val="009B518E"/>
    <w:rsid w:val="00A64F53"/>
    <w:rsid w:val="00CA7CB2"/>
    <w:rsid w:val="00E26C2E"/>
    <w:rsid w:val="00EA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6CA7"/>
  <w15:docId w15:val="{F808D0F5-903B-4178-87C6-ECA6B04C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0"/>
      <w:szCs w:val="30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roker.Consulting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alityspolu.cz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cas.cz/" TargetMode="External"/><Relationship Id="rId11" Type="http://schemas.openxmlformats.org/officeDocument/2006/relationships/hyperlink" Target="https://www.linkedin.com/company/10668151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acebook.com/okpointy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linkedin.com/company/786541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908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Insighters</dc:creator>
  <cp:lastModifiedBy>Jan Kroupa</cp:lastModifiedBy>
  <cp:revision>3</cp:revision>
  <dcterms:created xsi:type="dcterms:W3CDTF">2026-07-28T12:04:00Z</dcterms:created>
  <dcterms:modified xsi:type="dcterms:W3CDTF">2026-08-04T07:49:00Z</dcterms:modified>
</cp:coreProperties>
</file>