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8038E" w14:textId="77777777" w:rsidR="00F5535B" w:rsidRDefault="00496EBD">
      <w:pPr>
        <w:jc w:val="both"/>
        <w:rPr>
          <w:i/>
          <w:iCs/>
          <w:sz w:val="24"/>
          <w:szCs w:val="24"/>
        </w:rPr>
      </w:pPr>
      <w:r>
        <w:rPr>
          <w:i/>
          <w:iCs/>
          <w:sz w:val="24"/>
          <w:szCs w:val="24"/>
        </w:rPr>
        <w:t>Tisková zpráva</w:t>
      </w:r>
    </w:p>
    <w:p w14:paraId="08E5C1CF" w14:textId="258B72E2" w:rsidR="00914188" w:rsidRDefault="00914188" w:rsidP="00914188">
      <w:pPr>
        <w:pStyle w:val="Nzev"/>
      </w:pPr>
      <w:bookmarkStart w:id="0" w:name="_heading=h.xaqcin3fx0nj" w:colFirst="0" w:colLast="0"/>
      <w:bookmarkEnd w:id="0"/>
      <w:r>
        <w:t>Průměrné sazby spotřebitelských úvěrů překonaly hranici 7</w:t>
      </w:r>
      <w:r w:rsidR="00844CBE">
        <w:t xml:space="preserve"> %</w:t>
      </w:r>
      <w:r>
        <w:t xml:space="preserve">. Klienti mohou ušetřit konsolidací </w:t>
      </w:r>
    </w:p>
    <w:p w14:paraId="5738B160" w14:textId="77777777" w:rsidR="00914188" w:rsidRPr="004978D4" w:rsidRDefault="00914188" w:rsidP="00914188">
      <w:pPr>
        <w:pStyle w:val="Odstavecseseznamem"/>
        <w:numPr>
          <w:ilvl w:val="0"/>
          <w:numId w:val="1"/>
        </w:numPr>
        <w:spacing w:before="240" w:after="240"/>
        <w:jc w:val="both"/>
        <w:rPr>
          <w:rFonts w:eastAsia="Calibri"/>
          <w:b/>
          <w:bCs/>
          <w:sz w:val="20"/>
          <w:szCs w:val="20"/>
          <w:lang w:val="cs-CZ"/>
        </w:rPr>
      </w:pPr>
      <w:r w:rsidRPr="004978D4">
        <w:rPr>
          <w:rFonts w:eastAsia="Calibri"/>
          <w:b/>
          <w:bCs/>
          <w:sz w:val="20"/>
          <w:szCs w:val="20"/>
          <w:lang w:val="cs-CZ"/>
        </w:rPr>
        <w:t xml:space="preserve">Průměrná sazba spotřebitelských úvěrů podle Broker </w:t>
      </w:r>
      <w:proofErr w:type="spellStart"/>
      <w:r w:rsidRPr="004978D4">
        <w:rPr>
          <w:rFonts w:eastAsia="Calibri"/>
          <w:b/>
          <w:bCs/>
          <w:sz w:val="20"/>
          <w:szCs w:val="20"/>
          <w:lang w:val="cs-CZ"/>
        </w:rPr>
        <w:t>Consulting</w:t>
      </w:r>
      <w:proofErr w:type="spellEnd"/>
      <w:r w:rsidRPr="004978D4">
        <w:rPr>
          <w:rFonts w:eastAsia="Calibri"/>
          <w:b/>
          <w:bCs/>
          <w:sz w:val="20"/>
          <w:szCs w:val="20"/>
          <w:lang w:val="cs-CZ"/>
        </w:rPr>
        <w:t xml:space="preserve"> Indexu v červnu vzrostla na 7,02 %. </w:t>
      </w:r>
    </w:p>
    <w:p w14:paraId="57818421" w14:textId="6FCAA4AE" w:rsidR="007E5083" w:rsidRDefault="00914188" w:rsidP="00914188">
      <w:pPr>
        <w:pStyle w:val="Odstavecseseznamem"/>
        <w:numPr>
          <w:ilvl w:val="0"/>
          <w:numId w:val="1"/>
        </w:numPr>
        <w:spacing w:before="240" w:after="240"/>
        <w:jc w:val="both"/>
        <w:rPr>
          <w:rFonts w:eastAsia="Calibri"/>
          <w:b/>
          <w:bCs/>
          <w:sz w:val="20"/>
          <w:szCs w:val="20"/>
          <w:lang w:val="cs-CZ"/>
        </w:rPr>
      </w:pPr>
      <w:r w:rsidRPr="004978D4">
        <w:rPr>
          <w:rFonts w:eastAsia="Calibri"/>
          <w:b/>
          <w:bCs/>
          <w:sz w:val="20"/>
          <w:szCs w:val="20"/>
          <w:lang w:val="cs-CZ"/>
        </w:rPr>
        <w:t xml:space="preserve">Meziměsíčně jde o skok o </w:t>
      </w:r>
      <w:proofErr w:type="gramStart"/>
      <w:r w:rsidRPr="004978D4">
        <w:rPr>
          <w:rFonts w:eastAsia="Calibri"/>
          <w:b/>
          <w:bCs/>
          <w:sz w:val="20"/>
          <w:szCs w:val="20"/>
          <w:lang w:val="cs-CZ"/>
        </w:rPr>
        <w:t>0,78 procentního</w:t>
      </w:r>
      <w:proofErr w:type="gramEnd"/>
      <w:r w:rsidRPr="004978D4">
        <w:rPr>
          <w:rFonts w:eastAsia="Calibri"/>
          <w:b/>
          <w:bCs/>
          <w:sz w:val="20"/>
          <w:szCs w:val="20"/>
          <w:lang w:val="cs-CZ"/>
        </w:rPr>
        <w:t xml:space="preserve"> bodu, nejvýraznější za posledních pět měsíců. </w:t>
      </w:r>
    </w:p>
    <w:p w14:paraId="34F992B5" w14:textId="5D53160B" w:rsidR="00914188" w:rsidRPr="004978D4" w:rsidRDefault="00914188" w:rsidP="00914188">
      <w:pPr>
        <w:pStyle w:val="Odstavecseseznamem"/>
        <w:numPr>
          <w:ilvl w:val="0"/>
          <w:numId w:val="1"/>
        </w:numPr>
        <w:spacing w:before="240" w:after="240"/>
        <w:jc w:val="both"/>
        <w:rPr>
          <w:rFonts w:eastAsia="Calibri"/>
          <w:b/>
          <w:bCs/>
          <w:sz w:val="20"/>
          <w:szCs w:val="20"/>
          <w:lang w:val="cs-CZ"/>
        </w:rPr>
      </w:pPr>
      <w:r w:rsidRPr="004978D4">
        <w:rPr>
          <w:rFonts w:eastAsia="Calibri"/>
          <w:b/>
          <w:bCs/>
          <w:sz w:val="20"/>
          <w:szCs w:val="20"/>
          <w:lang w:val="cs-CZ"/>
        </w:rPr>
        <w:t xml:space="preserve">Spotřebitelské úvěry zdražily po několika měsících minimálních výkyvů. </w:t>
      </w:r>
    </w:p>
    <w:p w14:paraId="657DF3A2" w14:textId="3EBD0130" w:rsidR="00914188" w:rsidRPr="004978D4" w:rsidRDefault="00914188" w:rsidP="00914188">
      <w:pPr>
        <w:pStyle w:val="Odstavecseseznamem"/>
        <w:numPr>
          <w:ilvl w:val="0"/>
          <w:numId w:val="1"/>
        </w:numPr>
        <w:spacing w:before="240" w:after="240"/>
        <w:jc w:val="both"/>
        <w:rPr>
          <w:rFonts w:eastAsia="Calibri"/>
          <w:b/>
          <w:bCs/>
          <w:sz w:val="20"/>
          <w:szCs w:val="20"/>
          <w:lang w:val="cs-CZ"/>
        </w:rPr>
      </w:pPr>
      <w:r w:rsidRPr="004978D4">
        <w:rPr>
          <w:rFonts w:eastAsia="Calibri"/>
          <w:b/>
          <w:bCs/>
          <w:sz w:val="20"/>
          <w:szCs w:val="20"/>
          <w:lang w:val="cs-CZ"/>
        </w:rPr>
        <w:t>Řešením pro klienty se stávajícími závazky může být konsolidace půjček</w:t>
      </w:r>
      <w:r w:rsidR="00B5581B">
        <w:rPr>
          <w:rFonts w:eastAsia="Calibri"/>
          <w:b/>
          <w:bCs/>
          <w:sz w:val="20"/>
          <w:szCs w:val="20"/>
          <w:lang w:val="cs-CZ"/>
        </w:rPr>
        <w:t>.</w:t>
      </w:r>
    </w:p>
    <w:p w14:paraId="11A7BB84" w14:textId="014D5852" w:rsidR="00914188" w:rsidRPr="004978D4" w:rsidRDefault="00496EBD" w:rsidP="00914188">
      <w:pPr>
        <w:spacing w:after="160" w:line="278" w:lineRule="auto"/>
        <w:jc w:val="both"/>
        <w:rPr>
          <w:b/>
          <w:bCs/>
          <w:sz w:val="20"/>
          <w:szCs w:val="20"/>
        </w:rPr>
      </w:pPr>
      <w:r w:rsidRPr="004978D4">
        <w:rPr>
          <w:b/>
          <w:bCs/>
          <w:sz w:val="20"/>
          <w:szCs w:val="20"/>
        </w:rPr>
        <w:t xml:space="preserve">Praha, </w:t>
      </w:r>
      <w:r w:rsidR="005117CF">
        <w:rPr>
          <w:b/>
          <w:bCs/>
          <w:sz w:val="20"/>
          <w:szCs w:val="20"/>
        </w:rPr>
        <w:t>14</w:t>
      </w:r>
      <w:r w:rsidRPr="004978D4">
        <w:rPr>
          <w:b/>
          <w:bCs/>
          <w:sz w:val="20"/>
          <w:szCs w:val="20"/>
        </w:rPr>
        <w:t>. července – Průměrná</w:t>
      </w:r>
      <w:r w:rsidR="00914188" w:rsidRPr="004978D4">
        <w:rPr>
          <w:b/>
          <w:bCs/>
          <w:sz w:val="20"/>
          <w:szCs w:val="20"/>
        </w:rPr>
        <w:t xml:space="preserve"> sazba bezúčelových spotřebitelských úvěrů v červnu vzrostla na 7,02 %. Vyplývá to z Broker </w:t>
      </w:r>
      <w:proofErr w:type="spellStart"/>
      <w:r w:rsidR="00914188" w:rsidRPr="004978D4">
        <w:rPr>
          <w:b/>
          <w:bCs/>
          <w:sz w:val="20"/>
          <w:szCs w:val="20"/>
        </w:rPr>
        <w:t>Consulting</w:t>
      </w:r>
      <w:proofErr w:type="spellEnd"/>
      <w:r w:rsidR="00914188" w:rsidRPr="004978D4">
        <w:rPr>
          <w:b/>
          <w:bCs/>
          <w:sz w:val="20"/>
          <w:szCs w:val="20"/>
        </w:rPr>
        <w:t xml:space="preserve"> Indexu spotřebitelských úvěrů, který sleduje vývoj sazeb takzvaných „úvěrů na cokoliv“. Oproti předchozímu měsíci jde o nárůst o </w:t>
      </w:r>
      <w:proofErr w:type="gramStart"/>
      <w:r w:rsidR="00914188" w:rsidRPr="004978D4">
        <w:rPr>
          <w:b/>
          <w:bCs/>
          <w:sz w:val="20"/>
          <w:szCs w:val="20"/>
        </w:rPr>
        <w:t>0,78 procentního</w:t>
      </w:r>
      <w:proofErr w:type="gramEnd"/>
      <w:r w:rsidR="00914188" w:rsidRPr="004978D4">
        <w:rPr>
          <w:b/>
          <w:bCs/>
          <w:sz w:val="20"/>
          <w:szCs w:val="20"/>
        </w:rPr>
        <w:t xml:space="preserve"> bodu, což představuje nejvýraznější změnu za posledních pět měsíců. Jednou z cest, jak mohou klienti své úvěrové zatížení snížit, je konsolidace stávajících půjček</w:t>
      </w:r>
      <w:r w:rsidR="00B5581B">
        <w:rPr>
          <w:b/>
          <w:bCs/>
          <w:sz w:val="20"/>
          <w:szCs w:val="20"/>
        </w:rPr>
        <w:t xml:space="preserve"> </w:t>
      </w:r>
      <w:r w:rsidR="00B5581B" w:rsidRPr="004978D4">
        <w:rPr>
          <w:rFonts w:eastAsia="Calibri"/>
          <w:b/>
          <w:bCs/>
          <w:sz w:val="20"/>
          <w:szCs w:val="20"/>
          <w:lang w:val="cs-CZ"/>
        </w:rPr>
        <w:t>a omezení dra</w:t>
      </w:r>
      <w:r w:rsidR="00B5581B">
        <w:rPr>
          <w:rFonts w:eastAsia="Calibri"/>
          <w:b/>
          <w:bCs/>
          <w:sz w:val="20"/>
          <w:szCs w:val="20"/>
          <w:lang w:val="cs-CZ"/>
        </w:rPr>
        <w:t>žších</w:t>
      </w:r>
      <w:r w:rsidR="00B5581B" w:rsidRPr="004978D4">
        <w:rPr>
          <w:rFonts w:eastAsia="Calibri"/>
          <w:b/>
          <w:bCs/>
          <w:sz w:val="20"/>
          <w:szCs w:val="20"/>
          <w:lang w:val="cs-CZ"/>
        </w:rPr>
        <w:t xml:space="preserve"> úvěrových produktů, jako jsou kreditní karty či kontokorenty</w:t>
      </w:r>
      <w:r w:rsidR="00B5581B">
        <w:rPr>
          <w:rFonts w:eastAsia="Calibri"/>
          <w:b/>
          <w:bCs/>
          <w:sz w:val="20"/>
          <w:szCs w:val="20"/>
          <w:lang w:val="cs-CZ"/>
        </w:rPr>
        <w:t>.</w:t>
      </w:r>
    </w:p>
    <w:p w14:paraId="7C2C7198" w14:textId="77777777" w:rsidR="00373213" w:rsidRDefault="00373213" w:rsidP="00914188">
      <w:pPr>
        <w:spacing w:after="160" w:line="278" w:lineRule="auto"/>
        <w:jc w:val="both"/>
        <w:rPr>
          <w:sz w:val="20"/>
          <w:szCs w:val="20"/>
        </w:rPr>
      </w:pPr>
      <w:r w:rsidRPr="00373213">
        <w:rPr>
          <w:sz w:val="20"/>
          <w:szCs w:val="20"/>
        </w:rPr>
        <w:t xml:space="preserve">Po období relativně stabilního vývoje mezi březnem a květnem letošního roku, kdy sazby dosáhly 6,41 %, 6,13 % a 6,24 %, se sazby bezúčelových spotřebitelských úvěrů v červnu výrazněji zvýšily. Vývoj částečně souvisí s nastavením měnové politiky České národní banky a úrovní základní </w:t>
      </w:r>
      <w:proofErr w:type="spellStart"/>
      <w:r w:rsidRPr="00373213">
        <w:rPr>
          <w:sz w:val="20"/>
          <w:szCs w:val="20"/>
        </w:rPr>
        <w:t>repo</w:t>
      </w:r>
      <w:proofErr w:type="spellEnd"/>
      <w:r w:rsidRPr="00373213">
        <w:rPr>
          <w:sz w:val="20"/>
          <w:szCs w:val="20"/>
        </w:rPr>
        <w:t xml:space="preserve"> sazby. Tu ČNB stanovuje jako reakci na přetrvávající domácí proinflační rizika. Na rozdíl od hypoték ale není vazba mezi </w:t>
      </w:r>
      <w:proofErr w:type="spellStart"/>
      <w:r w:rsidRPr="00373213">
        <w:rPr>
          <w:sz w:val="20"/>
          <w:szCs w:val="20"/>
        </w:rPr>
        <w:t>repo</w:t>
      </w:r>
      <w:proofErr w:type="spellEnd"/>
      <w:r w:rsidRPr="00373213">
        <w:rPr>
          <w:sz w:val="20"/>
          <w:szCs w:val="20"/>
        </w:rPr>
        <w:t xml:space="preserve"> sazbou a spotřebitelskými úvěry tak přímá. Úroková sazba je totiž u těchto produktů zpravidla stanovena na celou dobu splácení, takže klienti nejsou během trvání úvěru vystaveni změnám tržních sazeb.</w:t>
      </w:r>
      <w:r w:rsidRPr="00373213">
        <w:rPr>
          <w:sz w:val="20"/>
          <w:szCs w:val="20"/>
        </w:rPr>
        <w:t xml:space="preserve"> </w:t>
      </w:r>
    </w:p>
    <w:p w14:paraId="0295E57A" w14:textId="3E93C5FA" w:rsidR="00914188" w:rsidRPr="004978D4" w:rsidRDefault="00914188" w:rsidP="00914188">
      <w:pPr>
        <w:spacing w:after="160" w:line="278" w:lineRule="auto"/>
        <w:jc w:val="both"/>
        <w:rPr>
          <w:sz w:val="20"/>
          <w:szCs w:val="20"/>
        </w:rPr>
      </w:pPr>
      <w:r w:rsidRPr="004978D4">
        <w:rPr>
          <w:sz w:val="20"/>
          <w:szCs w:val="20"/>
        </w:rPr>
        <w:t>„</w:t>
      </w:r>
      <w:r w:rsidR="000969CB" w:rsidRPr="000969CB">
        <w:rPr>
          <w:i/>
          <w:iCs/>
          <w:sz w:val="20"/>
          <w:szCs w:val="20"/>
        </w:rPr>
        <w:t>Kolísání sazeb je u spotřebitelských úvěrů běžné</w:t>
      </w:r>
      <w:r w:rsidRPr="000969CB">
        <w:rPr>
          <w:i/>
          <w:iCs/>
          <w:sz w:val="20"/>
          <w:szCs w:val="20"/>
        </w:rPr>
        <w:t>. Díky</w:t>
      </w:r>
      <w:r w:rsidRPr="004978D4">
        <w:rPr>
          <w:i/>
          <w:iCs/>
          <w:sz w:val="20"/>
          <w:szCs w:val="20"/>
        </w:rPr>
        <w:t xml:space="preserve"> nižším poskytovaným částkám a kratší splatnosti nemají změny sazby na klienta tak drtivý vliv jako například u hypoték. Přesto současné navýšení může pro některé spotřebitele představovat problém, se kterým je vhodné aktivně pracovat,“</w:t>
      </w:r>
      <w:r w:rsidRPr="004978D4">
        <w:rPr>
          <w:sz w:val="20"/>
          <w:szCs w:val="20"/>
        </w:rPr>
        <w:t xml:space="preserve"> říká </w:t>
      </w:r>
      <w:r w:rsidRPr="004978D4">
        <w:rPr>
          <w:b/>
          <w:bCs/>
          <w:sz w:val="20"/>
          <w:szCs w:val="20"/>
        </w:rPr>
        <w:t>Micha</w:t>
      </w:r>
      <w:r w:rsidR="005117CF">
        <w:rPr>
          <w:b/>
          <w:bCs/>
          <w:sz w:val="20"/>
          <w:szCs w:val="20"/>
        </w:rPr>
        <w:t>e</w:t>
      </w:r>
      <w:r w:rsidRPr="004978D4">
        <w:rPr>
          <w:b/>
          <w:bCs/>
          <w:sz w:val="20"/>
          <w:szCs w:val="20"/>
        </w:rPr>
        <w:t xml:space="preserve">la Pudilová, analytička společnosti Broker </w:t>
      </w:r>
      <w:proofErr w:type="spellStart"/>
      <w:r w:rsidRPr="004978D4">
        <w:rPr>
          <w:b/>
          <w:bCs/>
          <w:sz w:val="20"/>
          <w:szCs w:val="20"/>
        </w:rPr>
        <w:t>Consulting</w:t>
      </w:r>
      <w:proofErr w:type="spellEnd"/>
      <w:r w:rsidRPr="004978D4">
        <w:rPr>
          <w:sz w:val="20"/>
          <w:szCs w:val="20"/>
        </w:rPr>
        <w:t>.</w:t>
      </w:r>
    </w:p>
    <w:p w14:paraId="4B912B99" w14:textId="77777777" w:rsidR="00914188" w:rsidRPr="004978D4" w:rsidRDefault="00914188" w:rsidP="00914188">
      <w:pPr>
        <w:spacing w:after="160" w:line="278" w:lineRule="auto"/>
        <w:jc w:val="both"/>
        <w:rPr>
          <w:b/>
          <w:bCs/>
          <w:sz w:val="24"/>
          <w:szCs w:val="24"/>
        </w:rPr>
      </w:pPr>
      <w:r w:rsidRPr="004978D4">
        <w:rPr>
          <w:b/>
          <w:bCs/>
          <w:sz w:val="24"/>
          <w:szCs w:val="24"/>
        </w:rPr>
        <w:t>Konsolidace může přinést nižší sazbu i větší přehled</w:t>
      </w:r>
    </w:p>
    <w:p w14:paraId="5CB0CDCC" w14:textId="31CBD40D" w:rsidR="00914188" w:rsidRPr="004978D4" w:rsidRDefault="00914188" w:rsidP="00914188">
      <w:pPr>
        <w:spacing w:after="160" w:line="278" w:lineRule="auto"/>
        <w:jc w:val="both"/>
        <w:rPr>
          <w:sz w:val="20"/>
          <w:szCs w:val="20"/>
        </w:rPr>
      </w:pPr>
      <w:r w:rsidRPr="004978D4">
        <w:rPr>
          <w:sz w:val="20"/>
          <w:szCs w:val="20"/>
        </w:rPr>
        <w:t>Pokud klient splácí více úvěrových produktů současně, může být vhodným řešením jejich konsolidace. Ta umožňuje sloučit několik závazků do jednoho úvěru, často za výhodnějších podmínek, než jaké nabízejí standardní bezúčelové půjčky.</w:t>
      </w:r>
      <w:r w:rsidR="00496EBD">
        <w:rPr>
          <w:sz w:val="20"/>
          <w:szCs w:val="20"/>
        </w:rPr>
        <w:t xml:space="preserve"> </w:t>
      </w:r>
      <w:r w:rsidRPr="004978D4">
        <w:rPr>
          <w:sz w:val="20"/>
          <w:szCs w:val="20"/>
        </w:rPr>
        <w:t>„</w:t>
      </w:r>
      <w:r w:rsidRPr="004978D4">
        <w:rPr>
          <w:i/>
          <w:iCs/>
          <w:sz w:val="20"/>
          <w:szCs w:val="20"/>
        </w:rPr>
        <w:t>Konsolidace může klientům pomoci nejen snížit měsíční splátku, ale také získat lepší přehled o svých financích. Místo několika různých závazků splácí pouze jeden úvěr s jednou splátkou a jedním termínem splatnosti</w:t>
      </w:r>
      <w:r w:rsidRPr="004978D4">
        <w:rPr>
          <w:sz w:val="20"/>
          <w:szCs w:val="20"/>
        </w:rPr>
        <w:t xml:space="preserve">,“ doplňuje </w:t>
      </w:r>
      <w:r w:rsidRPr="004978D4">
        <w:rPr>
          <w:b/>
          <w:bCs/>
          <w:sz w:val="20"/>
          <w:szCs w:val="20"/>
        </w:rPr>
        <w:t>Pudilová</w:t>
      </w:r>
      <w:r w:rsidRPr="004978D4">
        <w:rPr>
          <w:sz w:val="20"/>
          <w:szCs w:val="20"/>
        </w:rPr>
        <w:t>.</w:t>
      </w:r>
    </w:p>
    <w:p w14:paraId="1C703D9D" w14:textId="6DB547B8" w:rsidR="00914188" w:rsidRPr="004978D4" w:rsidRDefault="00914188" w:rsidP="00914188">
      <w:pPr>
        <w:spacing w:after="160" w:line="278" w:lineRule="auto"/>
        <w:jc w:val="both"/>
        <w:rPr>
          <w:b/>
          <w:bCs/>
          <w:sz w:val="20"/>
          <w:szCs w:val="20"/>
        </w:rPr>
      </w:pPr>
      <w:r w:rsidRPr="004978D4">
        <w:rPr>
          <w:sz w:val="20"/>
          <w:szCs w:val="20"/>
        </w:rPr>
        <w:t xml:space="preserve">Stejně jako u běžných spotřebitelských úvěrů však ani v případě konsolidace </w:t>
      </w:r>
      <w:r w:rsidR="00844CBE">
        <w:rPr>
          <w:sz w:val="20"/>
          <w:szCs w:val="20"/>
        </w:rPr>
        <w:t xml:space="preserve">nemusí být </w:t>
      </w:r>
      <w:r w:rsidRPr="004978D4">
        <w:rPr>
          <w:sz w:val="20"/>
          <w:szCs w:val="20"/>
        </w:rPr>
        <w:t>garantována sazba uvedená v reklamních nabídkách. Banky obvykle prezentují úrokovou sazbu „od“, přičemž konkrétní podmínky stanovují až na základě individuálního posouzení klienta. Výsledná sazba proto závisí na bonitě žadatele, jeho příjmech, úvěrové historii i celkové zadluženosti</w:t>
      </w:r>
      <w:r w:rsidR="003B72FF">
        <w:rPr>
          <w:sz w:val="20"/>
          <w:szCs w:val="20"/>
        </w:rPr>
        <w:t>.</w:t>
      </w:r>
    </w:p>
    <w:p w14:paraId="18F86BFB" w14:textId="77777777" w:rsidR="00914188" w:rsidRPr="004978D4" w:rsidRDefault="00914188" w:rsidP="00914188">
      <w:pPr>
        <w:spacing w:after="160" w:line="278" w:lineRule="auto"/>
        <w:jc w:val="both"/>
        <w:rPr>
          <w:b/>
          <w:bCs/>
          <w:sz w:val="24"/>
          <w:szCs w:val="24"/>
        </w:rPr>
      </w:pPr>
      <w:r w:rsidRPr="004978D4">
        <w:rPr>
          <w:b/>
          <w:bCs/>
          <w:sz w:val="24"/>
          <w:szCs w:val="24"/>
        </w:rPr>
        <w:lastRenderedPageBreak/>
        <w:t>Největší zátěží bývají kreditní karty a kontokorenty</w:t>
      </w:r>
    </w:p>
    <w:p w14:paraId="0D533BA7" w14:textId="4A9326C5" w:rsidR="00914188" w:rsidRPr="00844CBE" w:rsidRDefault="00914188" w:rsidP="00914188">
      <w:pPr>
        <w:spacing w:after="160" w:line="278" w:lineRule="auto"/>
        <w:jc w:val="both"/>
        <w:rPr>
          <w:sz w:val="20"/>
          <w:szCs w:val="20"/>
        </w:rPr>
      </w:pPr>
      <w:r w:rsidRPr="00844CBE">
        <w:rPr>
          <w:sz w:val="20"/>
          <w:szCs w:val="20"/>
        </w:rPr>
        <w:t>Součástí konsolidace by mělo být nejen splacení původních úvěrů, ale také zrušení již nevyužívaných úvěrových produktů. To se týká zejména kreditních karet a kontokorentů</w:t>
      </w:r>
      <w:r w:rsidR="00B5581B">
        <w:rPr>
          <w:sz w:val="20"/>
          <w:szCs w:val="20"/>
        </w:rPr>
        <w:t>.</w:t>
      </w:r>
    </w:p>
    <w:p w14:paraId="0E617FDF" w14:textId="329616A3" w:rsidR="00844CBE" w:rsidRPr="00844CBE" w:rsidRDefault="00914188" w:rsidP="00914188">
      <w:pPr>
        <w:spacing w:after="160" w:line="278" w:lineRule="auto"/>
        <w:jc w:val="both"/>
        <w:rPr>
          <w:sz w:val="20"/>
          <w:szCs w:val="20"/>
        </w:rPr>
      </w:pPr>
      <w:r w:rsidRPr="00844CBE">
        <w:rPr>
          <w:sz w:val="20"/>
          <w:szCs w:val="20"/>
        </w:rPr>
        <w:t xml:space="preserve">Právě tyto produkty mohou významně zvyšovat celkové náklady domácností, pokud nejsou využívány správně nebo </w:t>
      </w:r>
      <w:r w:rsidR="00B5581B">
        <w:rPr>
          <w:sz w:val="20"/>
          <w:szCs w:val="20"/>
        </w:rPr>
        <w:t>ne</w:t>
      </w:r>
      <w:r w:rsidRPr="00844CBE">
        <w:rPr>
          <w:sz w:val="20"/>
          <w:szCs w:val="20"/>
        </w:rPr>
        <w:t xml:space="preserve">jsou dlouhodobě </w:t>
      </w:r>
      <w:r w:rsidR="00B5581B">
        <w:rPr>
          <w:sz w:val="20"/>
          <w:szCs w:val="20"/>
        </w:rPr>
        <w:t xml:space="preserve">vůbec </w:t>
      </w:r>
      <w:r w:rsidRPr="00844CBE">
        <w:rPr>
          <w:sz w:val="20"/>
          <w:szCs w:val="20"/>
        </w:rPr>
        <w:t>čerpány.</w:t>
      </w:r>
      <w:r w:rsidR="00844CBE" w:rsidRPr="00844CBE">
        <w:rPr>
          <w:sz w:val="20"/>
          <w:szCs w:val="20"/>
        </w:rPr>
        <w:t xml:space="preserve"> Pokud klient má kreditní karty nebo kontokorenty, které aktivně nevyužívá, </w:t>
      </w:r>
      <w:r w:rsidR="003B72FF" w:rsidRPr="00844CBE">
        <w:rPr>
          <w:sz w:val="20"/>
          <w:szCs w:val="20"/>
        </w:rPr>
        <w:t xml:space="preserve">je </w:t>
      </w:r>
      <w:r w:rsidR="001E5FEE">
        <w:rPr>
          <w:sz w:val="20"/>
          <w:szCs w:val="20"/>
        </w:rPr>
        <w:t>vhodné</w:t>
      </w:r>
      <w:r w:rsidR="003B72FF" w:rsidRPr="00844CBE">
        <w:rPr>
          <w:sz w:val="20"/>
          <w:szCs w:val="20"/>
        </w:rPr>
        <w:t xml:space="preserve"> </w:t>
      </w:r>
      <w:r w:rsidR="00844CBE" w:rsidRPr="00844CBE">
        <w:rPr>
          <w:sz w:val="20"/>
          <w:szCs w:val="20"/>
        </w:rPr>
        <w:t xml:space="preserve">před jakoukoliv žádostí o větší půjčku </w:t>
      </w:r>
      <w:r w:rsidR="001E5FEE">
        <w:rPr>
          <w:sz w:val="20"/>
          <w:szCs w:val="20"/>
        </w:rPr>
        <w:t>tyto produkty</w:t>
      </w:r>
      <w:r w:rsidR="00844CBE" w:rsidRPr="00844CBE">
        <w:rPr>
          <w:sz w:val="20"/>
          <w:szCs w:val="20"/>
        </w:rPr>
        <w:t xml:space="preserve"> zrušit nebo </w:t>
      </w:r>
      <w:r w:rsidR="00844CBE" w:rsidRPr="00C07F80">
        <w:rPr>
          <w:sz w:val="20"/>
          <w:szCs w:val="20"/>
        </w:rPr>
        <w:t>požádat o snížení limitu</w:t>
      </w:r>
      <w:r w:rsidR="00844CBE" w:rsidRPr="00844CBE">
        <w:rPr>
          <w:sz w:val="20"/>
          <w:szCs w:val="20"/>
        </w:rPr>
        <w:t>.</w:t>
      </w:r>
    </w:p>
    <w:p w14:paraId="7E6DEC11" w14:textId="77777777" w:rsidR="00914188" w:rsidRPr="004978D4" w:rsidRDefault="00914188" w:rsidP="00914188">
      <w:pPr>
        <w:spacing w:after="160" w:line="278" w:lineRule="auto"/>
        <w:jc w:val="both"/>
        <w:rPr>
          <w:b/>
          <w:bCs/>
          <w:sz w:val="24"/>
          <w:szCs w:val="24"/>
        </w:rPr>
      </w:pPr>
      <w:r w:rsidRPr="004978D4">
        <w:rPr>
          <w:b/>
          <w:bCs/>
          <w:sz w:val="24"/>
          <w:szCs w:val="24"/>
        </w:rPr>
        <w:t xml:space="preserve">Výhody a nevýhody prodloužení doby splatnosti </w:t>
      </w:r>
    </w:p>
    <w:p w14:paraId="5A065258" w14:textId="232432DD" w:rsidR="00914188" w:rsidRPr="004978D4" w:rsidRDefault="00914188" w:rsidP="00914188">
      <w:pPr>
        <w:spacing w:after="160" w:line="278" w:lineRule="auto"/>
        <w:jc w:val="both"/>
        <w:rPr>
          <w:sz w:val="20"/>
          <w:szCs w:val="20"/>
        </w:rPr>
      </w:pPr>
      <w:r w:rsidRPr="004978D4">
        <w:rPr>
          <w:sz w:val="20"/>
          <w:szCs w:val="20"/>
        </w:rPr>
        <w:t xml:space="preserve">Další výhodou konsolidace bývá možnost prodloužení splatnosti. V závislosti na nabídce bankovních </w:t>
      </w:r>
      <w:proofErr w:type="gramStart"/>
      <w:r w:rsidRPr="004978D4">
        <w:rPr>
          <w:sz w:val="20"/>
          <w:szCs w:val="20"/>
        </w:rPr>
        <w:t xml:space="preserve">i </w:t>
      </w:r>
      <w:r w:rsidR="0046128F">
        <w:rPr>
          <w:sz w:val="20"/>
          <w:szCs w:val="20"/>
        </w:rPr>
        <w:t> </w:t>
      </w:r>
      <w:r w:rsidRPr="004978D4">
        <w:rPr>
          <w:sz w:val="20"/>
          <w:szCs w:val="20"/>
        </w:rPr>
        <w:t>nebankovních</w:t>
      </w:r>
      <w:proofErr w:type="gramEnd"/>
      <w:r w:rsidRPr="004978D4">
        <w:rPr>
          <w:sz w:val="20"/>
          <w:szCs w:val="20"/>
        </w:rPr>
        <w:t xml:space="preserve"> institucí lze dobu splácení prodloužit až na deset nebo dvanáct let. </w:t>
      </w:r>
      <w:r w:rsidR="00B5581B">
        <w:rPr>
          <w:sz w:val="20"/>
          <w:szCs w:val="20"/>
        </w:rPr>
        <w:t xml:space="preserve">Jen je nutné si dát pozor na „prodlužování do nekonečna“. </w:t>
      </w:r>
      <w:r w:rsidRPr="004978D4">
        <w:rPr>
          <w:sz w:val="20"/>
          <w:szCs w:val="20"/>
        </w:rPr>
        <w:t>Delší splatnost sice vede ke snížení měsíční splátky, zároveň však zvyšuje celkovou částku, kterou klient za úvěr zaplatí.</w:t>
      </w:r>
    </w:p>
    <w:p w14:paraId="3F91D1B6" w14:textId="461EE375" w:rsidR="00914188" w:rsidRPr="004978D4" w:rsidRDefault="00914188" w:rsidP="00914188">
      <w:pPr>
        <w:spacing w:after="160" w:line="278" w:lineRule="auto"/>
        <w:jc w:val="both"/>
        <w:rPr>
          <w:sz w:val="20"/>
          <w:szCs w:val="20"/>
        </w:rPr>
      </w:pPr>
      <w:r w:rsidRPr="004978D4">
        <w:rPr>
          <w:sz w:val="20"/>
          <w:szCs w:val="20"/>
        </w:rPr>
        <w:t>„</w:t>
      </w:r>
      <w:r w:rsidRPr="004978D4">
        <w:rPr>
          <w:i/>
          <w:iCs/>
          <w:sz w:val="20"/>
          <w:szCs w:val="20"/>
        </w:rPr>
        <w:t>Při rozhodování o konsolidaci je důležité sledovat nejen výši měsíční splátky, ale také celkové náklady úvěru. Delší splatnost může domácnosti krátkodobě ulevit, z dlouhodobého pohledu však často znamená vyšší přeplacení. Proto je vždy vhodné posuzovat nabídku komplexně a neřídit se pouze výší splátky,“</w:t>
      </w:r>
      <w:r w:rsidRPr="004978D4">
        <w:rPr>
          <w:sz w:val="20"/>
          <w:szCs w:val="20"/>
        </w:rPr>
        <w:t xml:space="preserve"> uzavírá </w:t>
      </w:r>
      <w:r w:rsidRPr="004978D4">
        <w:rPr>
          <w:b/>
          <w:bCs/>
          <w:sz w:val="20"/>
          <w:szCs w:val="20"/>
        </w:rPr>
        <w:t>Micha</w:t>
      </w:r>
      <w:r w:rsidR="005117CF">
        <w:rPr>
          <w:b/>
          <w:bCs/>
          <w:sz w:val="20"/>
          <w:szCs w:val="20"/>
        </w:rPr>
        <w:t>e</w:t>
      </w:r>
      <w:r w:rsidRPr="004978D4">
        <w:rPr>
          <w:b/>
          <w:bCs/>
          <w:sz w:val="20"/>
          <w:szCs w:val="20"/>
        </w:rPr>
        <w:t>la Pudilová</w:t>
      </w:r>
      <w:r w:rsidRPr="004978D4">
        <w:rPr>
          <w:sz w:val="20"/>
          <w:szCs w:val="20"/>
        </w:rPr>
        <w:t>.</w:t>
      </w:r>
    </w:p>
    <w:p w14:paraId="5827017E" w14:textId="3064E089" w:rsidR="00914188" w:rsidRPr="004978D4" w:rsidRDefault="00914188" w:rsidP="00914188">
      <w:pPr>
        <w:spacing w:after="160" w:line="278" w:lineRule="auto"/>
        <w:jc w:val="both"/>
        <w:rPr>
          <w:sz w:val="20"/>
          <w:szCs w:val="20"/>
        </w:rPr>
      </w:pPr>
      <w:r w:rsidRPr="004978D4">
        <w:rPr>
          <w:sz w:val="20"/>
          <w:szCs w:val="20"/>
        </w:rPr>
        <w:t xml:space="preserve">Podle odborníků tak současný růst sazeb </w:t>
      </w:r>
      <w:r w:rsidR="00B5581B">
        <w:rPr>
          <w:sz w:val="20"/>
          <w:szCs w:val="20"/>
        </w:rPr>
        <w:t>ne</w:t>
      </w:r>
      <w:r w:rsidRPr="004978D4">
        <w:rPr>
          <w:sz w:val="20"/>
          <w:szCs w:val="20"/>
        </w:rPr>
        <w:t xml:space="preserve">představuje </w:t>
      </w:r>
      <w:r w:rsidR="00B5581B">
        <w:rPr>
          <w:sz w:val="20"/>
          <w:szCs w:val="20"/>
        </w:rPr>
        <w:t>nepřekonatelnou překážku. Pro</w:t>
      </w:r>
      <w:r w:rsidR="000969CB">
        <w:rPr>
          <w:sz w:val="20"/>
          <w:szCs w:val="20"/>
        </w:rPr>
        <w:t xml:space="preserve"> </w:t>
      </w:r>
      <w:r w:rsidR="00B5581B">
        <w:rPr>
          <w:sz w:val="20"/>
          <w:szCs w:val="20"/>
        </w:rPr>
        <w:t xml:space="preserve">řadu spotřebitelů může být naopak </w:t>
      </w:r>
      <w:r w:rsidRPr="004978D4">
        <w:rPr>
          <w:sz w:val="20"/>
          <w:szCs w:val="20"/>
        </w:rPr>
        <w:t>vhodnou příležitost</w:t>
      </w:r>
      <w:r w:rsidR="00B5581B">
        <w:rPr>
          <w:sz w:val="20"/>
          <w:szCs w:val="20"/>
        </w:rPr>
        <w:t>í</w:t>
      </w:r>
      <w:r w:rsidRPr="004978D4">
        <w:rPr>
          <w:sz w:val="20"/>
          <w:szCs w:val="20"/>
        </w:rPr>
        <w:t xml:space="preserve"> </w:t>
      </w:r>
      <w:r w:rsidR="000969CB">
        <w:rPr>
          <w:sz w:val="20"/>
          <w:szCs w:val="20"/>
        </w:rPr>
        <w:t xml:space="preserve">k </w:t>
      </w:r>
      <w:r w:rsidRPr="004978D4">
        <w:rPr>
          <w:sz w:val="20"/>
          <w:szCs w:val="20"/>
        </w:rPr>
        <w:t>revizi stávajících závazků. Správně nastavená konsolidace může domácnostem pomoci získat lepší přehled o financích, snížit měsíční</w:t>
      </w:r>
      <w:r w:rsidR="0046128F">
        <w:rPr>
          <w:sz w:val="20"/>
          <w:szCs w:val="20"/>
        </w:rPr>
        <w:t> </w:t>
      </w:r>
      <w:r w:rsidRPr="004978D4">
        <w:rPr>
          <w:sz w:val="20"/>
          <w:szCs w:val="20"/>
        </w:rPr>
        <w:t>zatížení</w:t>
      </w:r>
      <w:r w:rsidR="0046128F">
        <w:rPr>
          <w:sz w:val="20"/>
          <w:szCs w:val="20"/>
        </w:rPr>
        <w:t> </w:t>
      </w:r>
      <w:proofErr w:type="gramStart"/>
      <w:r w:rsidRPr="004978D4">
        <w:rPr>
          <w:sz w:val="20"/>
          <w:szCs w:val="20"/>
        </w:rPr>
        <w:t xml:space="preserve">a </w:t>
      </w:r>
      <w:r w:rsidR="0046128F">
        <w:rPr>
          <w:sz w:val="20"/>
          <w:szCs w:val="20"/>
        </w:rPr>
        <w:t> </w:t>
      </w:r>
      <w:r w:rsidRPr="004978D4">
        <w:rPr>
          <w:sz w:val="20"/>
          <w:szCs w:val="20"/>
        </w:rPr>
        <w:t>v</w:t>
      </w:r>
      <w:proofErr w:type="gramEnd"/>
      <w:r w:rsidRPr="004978D4">
        <w:rPr>
          <w:sz w:val="20"/>
          <w:szCs w:val="20"/>
        </w:rPr>
        <w:t xml:space="preserve"> </w:t>
      </w:r>
      <w:r w:rsidR="0046128F">
        <w:rPr>
          <w:sz w:val="20"/>
          <w:szCs w:val="20"/>
        </w:rPr>
        <w:t> </w:t>
      </w:r>
      <w:r w:rsidRPr="004978D4">
        <w:rPr>
          <w:sz w:val="20"/>
          <w:szCs w:val="20"/>
        </w:rPr>
        <w:t>některých případech také dosáhnout výhodnější úrokové sazby.</w:t>
      </w:r>
    </w:p>
    <w:p w14:paraId="6B711876" w14:textId="77777777" w:rsidR="00914188" w:rsidRDefault="00000000" w:rsidP="00914188">
      <w:pPr>
        <w:spacing w:before="240" w:after="240"/>
        <w:jc w:val="both"/>
        <w:rPr>
          <w:rFonts w:ascii="Calibri" w:eastAsia="Calibri" w:hAnsi="Calibri" w:cs="Calibri"/>
        </w:rPr>
      </w:pPr>
      <w:r>
        <w:pict w14:anchorId="137BDBB0">
          <v:rect id="_x0000_i1025" style="width:0;height:1.5pt" o:hralign="center" o:hrstd="t" o:hr="t" fillcolor="#a0a0a0" stroked="f"/>
        </w:pict>
      </w:r>
    </w:p>
    <w:p w14:paraId="6CC450F7" w14:textId="77777777" w:rsidR="00914188" w:rsidRPr="00950314" w:rsidRDefault="00914188" w:rsidP="00914188">
      <w:pPr>
        <w:spacing w:before="240" w:after="240"/>
        <w:jc w:val="both"/>
        <w:rPr>
          <w:rFonts w:eastAsia="Calibri"/>
          <w:sz w:val="18"/>
          <w:szCs w:val="18"/>
        </w:rPr>
      </w:pPr>
      <w:r w:rsidRPr="00950314">
        <w:rPr>
          <w:rFonts w:eastAsia="Calibri"/>
          <w:b/>
          <w:bCs/>
          <w:sz w:val="18"/>
          <w:szCs w:val="18"/>
        </w:rPr>
        <w:t xml:space="preserve">Broker </w:t>
      </w:r>
      <w:proofErr w:type="spellStart"/>
      <w:r w:rsidRPr="00950314">
        <w:rPr>
          <w:rFonts w:eastAsia="Calibri"/>
          <w:b/>
          <w:bCs/>
          <w:sz w:val="18"/>
          <w:szCs w:val="18"/>
        </w:rPr>
        <w:t>Consulting</w:t>
      </w:r>
      <w:proofErr w:type="spellEnd"/>
      <w:r w:rsidRPr="00950314">
        <w:rPr>
          <w:rFonts w:eastAsia="Calibri"/>
          <w:b/>
          <w:bCs/>
          <w:sz w:val="18"/>
          <w:szCs w:val="18"/>
        </w:rPr>
        <w:t xml:space="preserve"> Index spotřebitelských úvěrů</w:t>
      </w:r>
      <w:r w:rsidRPr="00950314">
        <w:rPr>
          <w:rFonts w:eastAsia="Calibri"/>
          <w:sz w:val="18"/>
          <w:szCs w:val="18"/>
        </w:rPr>
        <w:t xml:space="preserve"> je analytický nástroj, který ukazuje průměrnou úrokovou sazbu u spotřebitelských úvěrů, jež zprostředkovali konzultanti Broker </w:t>
      </w:r>
      <w:proofErr w:type="spellStart"/>
      <w:r w:rsidRPr="00950314">
        <w:rPr>
          <w:rFonts w:eastAsia="Calibri"/>
          <w:sz w:val="18"/>
          <w:szCs w:val="18"/>
        </w:rPr>
        <w:t>Consulting</w:t>
      </w:r>
      <w:proofErr w:type="spellEnd"/>
      <w:r w:rsidRPr="00950314">
        <w:rPr>
          <w:rFonts w:eastAsia="Calibri"/>
          <w:sz w:val="18"/>
          <w:szCs w:val="18"/>
        </w:rPr>
        <w:t xml:space="preserve"> a pobočky Broker Point či Broker Point Premium, u poskytovatelů bankovních a nebankovních úvěrů. Jedná se o vážený aritmetický průměr, kdy hlavní vahou je objem úvěru. Tedy čím vyšší úvěr, tím jeho sazba do Indexu vstupuje větší vahou. Výhodou metody výpočtu je to, že se do statistiky dostávají pouze skutečně schválené úvěry, a to bez výjimky všechny. Nemůže tak dojít ke zkreslení informací a index není závislý na datech dodávaných třetími stranami.</w:t>
      </w:r>
    </w:p>
    <w:p w14:paraId="4262F55D" w14:textId="77777777" w:rsidR="00914188" w:rsidRPr="00950314" w:rsidRDefault="00914188" w:rsidP="00914188">
      <w:pPr>
        <w:spacing w:before="240" w:after="240"/>
        <w:jc w:val="both"/>
        <w:rPr>
          <w:rFonts w:eastAsia="Calibri"/>
          <w:sz w:val="18"/>
          <w:szCs w:val="18"/>
        </w:rPr>
      </w:pPr>
      <w:r w:rsidRPr="00950314">
        <w:rPr>
          <w:rFonts w:eastAsia="Calibri"/>
          <w:b/>
          <w:bCs/>
          <w:sz w:val="18"/>
          <w:szCs w:val="18"/>
        </w:rPr>
        <w:t>Proč je dobré Index sledovat</w:t>
      </w:r>
      <w:r w:rsidRPr="00950314">
        <w:rPr>
          <w:rFonts w:eastAsia="Calibri"/>
          <w:sz w:val="18"/>
          <w:szCs w:val="18"/>
        </w:rPr>
        <w:t xml:space="preserve"> </w:t>
      </w:r>
    </w:p>
    <w:p w14:paraId="696BBE55" w14:textId="77777777" w:rsidR="00914188" w:rsidRPr="00950314" w:rsidRDefault="00914188" w:rsidP="00914188">
      <w:pPr>
        <w:spacing w:before="240" w:after="240"/>
        <w:jc w:val="both"/>
        <w:rPr>
          <w:rFonts w:eastAsia="Calibri"/>
          <w:sz w:val="18"/>
          <w:szCs w:val="18"/>
        </w:rPr>
      </w:pPr>
      <w:r w:rsidRPr="00950314">
        <w:rPr>
          <w:rFonts w:eastAsia="Calibri"/>
          <w:sz w:val="18"/>
          <w:szCs w:val="18"/>
        </w:rPr>
        <w:t xml:space="preserve">Broker </w:t>
      </w:r>
      <w:proofErr w:type="spellStart"/>
      <w:r w:rsidRPr="00950314">
        <w:rPr>
          <w:rFonts w:eastAsia="Calibri"/>
          <w:sz w:val="18"/>
          <w:szCs w:val="18"/>
        </w:rPr>
        <w:t>Consulting</w:t>
      </w:r>
      <w:proofErr w:type="spellEnd"/>
      <w:r w:rsidRPr="00950314">
        <w:rPr>
          <w:rFonts w:eastAsia="Calibri"/>
          <w:sz w:val="18"/>
          <w:szCs w:val="18"/>
        </w:rPr>
        <w:t xml:space="preserve"> Index spotřebitelských úvěrů zachycuje vývoj úrokových sazeb u spotřebitelských úvěrů. Je praktickým indikátorem toho, jak se pro českou veřejnost úvěry vyvíjejí z hlediska úrokových sazeb, a tedy i výše splátek na určitou půjčenou sumu. Lidé si tyto typy úvěrů berou, aby financovali různé potřeby. Od dovolené přes nový telefon až po překlenutí nějaké tíživé situace. Zásadní význam má index pro domácnosti, které splácejí větší množství úvěrů a splátky je dusí. Index jim může otevřít oči, že půjčky je možné refinancovat s mnohem nižší úrokovou sazbou, a nastartovat tak cestu za ozdravením rodinných financí. Sazby spotřebitelských úvěrů jsou na trhu velmi různé, lidé často dobře nezhodnotí situaci a sjednají si drahou půjčku. Index je důvěryhodným podkladem pro média při komunikaci praktického a pro občany zajímavého tématu. Index nemá za cíl ukazovat průměr trhu, ale zdravou sazbu. Pokud si proto člověk chce sjednat spotřebitelský úvěr ať už v bance, nebo v nebankovní instituci, a úroková sazba je výrazněji vyšší než aktuální index, je potřeba zpozornět.</w:t>
      </w:r>
    </w:p>
    <w:p w14:paraId="537E37E7" w14:textId="77777777" w:rsidR="00950314" w:rsidRPr="00950314" w:rsidRDefault="00950314" w:rsidP="00950314">
      <w:pPr>
        <w:widowControl w:val="0"/>
        <w:spacing w:after="120" w:line="240" w:lineRule="auto"/>
        <w:rPr>
          <w:rFonts w:eastAsia="Calibri"/>
          <w:sz w:val="18"/>
          <w:szCs w:val="18"/>
        </w:rPr>
      </w:pPr>
      <w:r w:rsidRPr="00950314">
        <w:rPr>
          <w:rFonts w:eastAsia="Calibri"/>
          <w:b/>
          <w:bCs/>
          <w:sz w:val="18"/>
          <w:szCs w:val="18"/>
        </w:rPr>
        <w:t>Poznámka pro média:</w:t>
      </w:r>
      <w:r w:rsidRPr="00950314">
        <w:rPr>
          <w:rFonts w:eastAsia="Calibri"/>
          <w:sz w:val="18"/>
          <w:szCs w:val="18"/>
        </w:rPr>
        <w:t xml:space="preserve"> </w:t>
      </w:r>
      <w:r w:rsidRPr="00950314">
        <w:rPr>
          <w:rFonts w:eastAsia="Calibri"/>
          <w:color w:val="1D1D1B"/>
          <w:sz w:val="18"/>
          <w:szCs w:val="18"/>
        </w:rPr>
        <w:t xml:space="preserve">Broker </w:t>
      </w:r>
      <w:proofErr w:type="spellStart"/>
      <w:r w:rsidRPr="00950314">
        <w:rPr>
          <w:rFonts w:eastAsia="Calibri"/>
          <w:color w:val="1D1D1B"/>
          <w:sz w:val="18"/>
          <w:szCs w:val="18"/>
        </w:rPr>
        <w:t>Consulting</w:t>
      </w:r>
      <w:proofErr w:type="spellEnd"/>
      <w:r w:rsidRPr="00950314">
        <w:rPr>
          <w:rFonts w:eastAsia="Calibri"/>
          <w:color w:val="1D1D1B"/>
          <w:sz w:val="18"/>
          <w:szCs w:val="18"/>
        </w:rPr>
        <w:t xml:space="preserve"> Indexy je možné volně publikovat pouze s označením „Broker </w:t>
      </w:r>
      <w:proofErr w:type="spellStart"/>
      <w:r w:rsidRPr="00950314">
        <w:rPr>
          <w:rFonts w:eastAsia="Calibri"/>
          <w:color w:val="1D1D1B"/>
          <w:sz w:val="18"/>
          <w:szCs w:val="18"/>
        </w:rPr>
        <w:t>Consulting</w:t>
      </w:r>
      <w:proofErr w:type="spellEnd"/>
      <w:r w:rsidRPr="00950314">
        <w:rPr>
          <w:rFonts w:eastAsia="Calibri"/>
          <w:color w:val="1D1D1B"/>
          <w:sz w:val="18"/>
          <w:szCs w:val="18"/>
        </w:rPr>
        <w:t xml:space="preserve"> Index“ (</w:t>
      </w:r>
      <w:r w:rsidRPr="00950314">
        <w:rPr>
          <w:rFonts w:eastAsia="Calibri"/>
          <w:i/>
          <w:iCs/>
          <w:color w:val="1D1D1B"/>
          <w:sz w:val="18"/>
          <w:szCs w:val="18"/>
        </w:rPr>
        <w:t xml:space="preserve">např. Broker </w:t>
      </w:r>
      <w:proofErr w:type="spellStart"/>
      <w:r w:rsidRPr="00950314">
        <w:rPr>
          <w:rFonts w:eastAsia="Calibri"/>
          <w:i/>
          <w:iCs/>
          <w:color w:val="1D1D1B"/>
          <w:sz w:val="18"/>
          <w:szCs w:val="18"/>
        </w:rPr>
        <w:t>Consulting</w:t>
      </w:r>
      <w:proofErr w:type="spellEnd"/>
      <w:r w:rsidRPr="00950314">
        <w:rPr>
          <w:rFonts w:eastAsia="Calibri"/>
          <w:i/>
          <w:iCs/>
          <w:color w:val="1D1D1B"/>
          <w:sz w:val="18"/>
          <w:szCs w:val="18"/>
        </w:rPr>
        <w:t xml:space="preserve"> Index hypotečních úvěrů). Více informací najdete též na webu </w:t>
      </w:r>
      <w:r w:rsidRPr="00950314">
        <w:rPr>
          <w:rFonts w:eastAsia="Calibri"/>
          <w:i/>
          <w:iCs/>
          <w:color w:val="0000FF"/>
          <w:sz w:val="18"/>
          <w:szCs w:val="18"/>
          <w:u w:val="single"/>
        </w:rPr>
        <w:t>https://www.bcas.cz/onas/pro-media/</w:t>
      </w:r>
      <w:r w:rsidRPr="00950314">
        <w:rPr>
          <w:rFonts w:eastAsia="Calibri"/>
          <w:i/>
          <w:iCs/>
          <w:color w:val="1D1D1B"/>
          <w:sz w:val="18"/>
          <w:szCs w:val="18"/>
        </w:rPr>
        <w:t xml:space="preserve">. </w:t>
      </w:r>
    </w:p>
    <w:p w14:paraId="2C337A40" w14:textId="77777777" w:rsidR="00950314" w:rsidRDefault="00950314" w:rsidP="00950314">
      <w:pPr>
        <w:widowControl w:val="0"/>
        <w:spacing w:line="360" w:lineRule="auto"/>
        <w:rPr>
          <w:rFonts w:ascii="Calibri" w:eastAsia="Calibri" w:hAnsi="Calibri" w:cs="Calibri"/>
          <w:b/>
          <w:bCs/>
          <w:color w:val="1D1D1B"/>
          <w:sz w:val="20"/>
          <w:szCs w:val="20"/>
        </w:rPr>
      </w:pPr>
      <w:r w:rsidRPr="00950314">
        <w:rPr>
          <w:rFonts w:eastAsia="Calibri"/>
          <w:b/>
          <w:bCs/>
          <w:color w:val="FF0000"/>
          <w:sz w:val="18"/>
          <w:szCs w:val="18"/>
        </w:rPr>
        <w:lastRenderedPageBreak/>
        <w:t xml:space="preserve">Broker </w:t>
      </w:r>
      <w:proofErr w:type="spellStart"/>
      <w:r w:rsidRPr="00950314">
        <w:rPr>
          <w:rFonts w:eastAsia="Calibri"/>
          <w:b/>
          <w:bCs/>
          <w:color w:val="FF0000"/>
          <w:sz w:val="18"/>
          <w:szCs w:val="18"/>
        </w:rPr>
        <w:t>Consulting</w:t>
      </w:r>
      <w:proofErr w:type="spellEnd"/>
      <w:r w:rsidRPr="00950314">
        <w:rPr>
          <w:rFonts w:eastAsia="Calibri"/>
          <w:b/>
          <w:bCs/>
          <w:color w:val="FF0000"/>
          <w:sz w:val="18"/>
          <w:szCs w:val="18"/>
        </w:rPr>
        <w:t xml:space="preserve"> Indexy je nyní možné sledovat v interaktivní formě na webu</w:t>
      </w:r>
      <w:r w:rsidRPr="00950314">
        <w:rPr>
          <w:rFonts w:eastAsia="Calibri"/>
          <w:color w:val="1D1D1B"/>
          <w:sz w:val="18"/>
          <w:szCs w:val="18"/>
        </w:rPr>
        <w:t>. Zde lze zároveň exportovat zdrojová data ke grafům. Vice dostupné na odkaze</w:t>
      </w:r>
      <w:r w:rsidRPr="00950314">
        <w:rPr>
          <w:rFonts w:eastAsia="Calibri"/>
          <w:b/>
          <w:bCs/>
          <w:color w:val="1D1D1B"/>
          <w:sz w:val="18"/>
          <w:szCs w:val="18"/>
        </w:rPr>
        <w:t xml:space="preserve">: </w:t>
      </w:r>
      <w:hyperlink r:id="rId8">
        <w:r w:rsidRPr="00950314">
          <w:rPr>
            <w:rFonts w:eastAsia="Calibri"/>
            <w:b/>
            <w:bCs/>
            <w:color w:val="0000FF"/>
            <w:sz w:val="18"/>
            <w:szCs w:val="18"/>
            <w:u w:val="single"/>
          </w:rPr>
          <w:t>https://www.bcas.cz/o-nas/broker-consulting-index-spotrebitelskych-uveru/</w:t>
        </w:r>
      </w:hyperlink>
      <w:r>
        <w:rPr>
          <w:rFonts w:ascii="Calibri" w:eastAsia="Calibri" w:hAnsi="Calibri" w:cs="Calibri"/>
          <w:b/>
          <w:bCs/>
          <w:sz w:val="20"/>
          <w:szCs w:val="20"/>
        </w:rPr>
        <w:t xml:space="preserve">. </w:t>
      </w:r>
    </w:p>
    <w:p w14:paraId="5CA75C64" w14:textId="6571C301" w:rsidR="00F5535B" w:rsidRPr="00914188" w:rsidRDefault="00F5535B" w:rsidP="00914188">
      <w:pPr>
        <w:jc w:val="both"/>
        <w:rPr>
          <w:sz w:val="20"/>
          <w:szCs w:val="20"/>
        </w:rPr>
      </w:pPr>
    </w:p>
    <w:p w14:paraId="5F74A0F7" w14:textId="77777777" w:rsidR="00F5535B" w:rsidRPr="00914188" w:rsidRDefault="00496EBD">
      <w:pPr>
        <w:pStyle w:val="Nadpis3"/>
        <w:rPr>
          <w:sz w:val="22"/>
          <w:szCs w:val="22"/>
        </w:rPr>
      </w:pPr>
      <w:bookmarkStart w:id="1" w:name="_heading=h.5g84pqnpp5pw" w:colFirst="0" w:colLast="0"/>
      <w:bookmarkStart w:id="2" w:name="_heading=h.vehrqumafm8j" w:colFirst="0" w:colLast="0"/>
      <w:bookmarkEnd w:id="1"/>
      <w:bookmarkEnd w:id="2"/>
      <w:r w:rsidRPr="00914188">
        <w:rPr>
          <w:sz w:val="22"/>
          <w:szCs w:val="22"/>
        </w:rPr>
        <w:t xml:space="preserve">O společnosti Broker </w:t>
      </w:r>
      <w:proofErr w:type="spellStart"/>
      <w:r w:rsidRPr="00914188">
        <w:rPr>
          <w:sz w:val="22"/>
          <w:szCs w:val="22"/>
        </w:rPr>
        <w:t>Consulting</w:t>
      </w:r>
      <w:proofErr w:type="spellEnd"/>
    </w:p>
    <w:p w14:paraId="185007FD" w14:textId="77777777" w:rsidR="00F5535B" w:rsidRPr="00914188" w:rsidRDefault="00496EBD">
      <w:pPr>
        <w:widowControl w:val="0"/>
        <w:spacing w:line="240" w:lineRule="auto"/>
        <w:jc w:val="both"/>
        <w:rPr>
          <w:sz w:val="18"/>
          <w:szCs w:val="18"/>
        </w:rPr>
      </w:pPr>
      <w:r w:rsidRPr="00914188">
        <w:rPr>
          <w:sz w:val="18"/>
          <w:szCs w:val="18"/>
        </w:rPr>
        <w:t xml:space="preserve">Broker </w:t>
      </w:r>
      <w:proofErr w:type="spellStart"/>
      <w:r w:rsidRPr="00914188">
        <w:rPr>
          <w:sz w:val="18"/>
          <w:szCs w:val="18"/>
        </w:rPr>
        <w:t>Consulting</w:t>
      </w:r>
      <w:proofErr w:type="spellEnd"/>
      <w:r w:rsidRPr="00914188">
        <w:rPr>
          <w:sz w:val="18"/>
          <w:szCs w:val="18"/>
        </w:rPr>
        <w:t xml:space="preserve"> je jednou z největších společností na českém a slovenském trhu, která poskytuje služby v oblasti financí a realit. Od roku 1998 získala důvěru více než 700 000 klientů. Poskytuje také služby přes 4 000 firmám. Distribuci služeb zajišťuje přibližně 2 000 konzultantů (profesionální konzultanti, zaměstnanci, konzultanti v zapracování v ČR i SR) ve více než 150 kancelářích a na několika desítkách poboček Broker Point Premium. Společnost uvedla na český a slovenský trh řadu inovací. Jednalo se například o investice do otevřených podílových fondů se zamykáním zisků nebo unikátní produkty životního dopojištění, které umožňují pojistit smrt a invaliditu za zlomek obvyklých cen. Bankovní, finanční a realitní služby společně, to je Broker Point Premium, jehož přináší společnost Broker </w:t>
      </w:r>
      <w:proofErr w:type="spellStart"/>
      <w:r w:rsidRPr="00914188">
        <w:rPr>
          <w:sz w:val="18"/>
          <w:szCs w:val="18"/>
        </w:rPr>
        <w:t>Consulting</w:t>
      </w:r>
      <w:proofErr w:type="spellEnd"/>
      <w:r w:rsidRPr="00914188">
        <w:rPr>
          <w:sz w:val="18"/>
          <w:szCs w:val="18"/>
        </w:rPr>
        <w:t xml:space="preserve">, která za vedení franšízy a její podporu získala ocenění </w:t>
      </w:r>
      <w:proofErr w:type="spellStart"/>
      <w:r w:rsidRPr="00914188">
        <w:rPr>
          <w:b/>
          <w:bCs/>
          <w:color w:val="FF0000"/>
          <w:sz w:val="18"/>
          <w:szCs w:val="18"/>
        </w:rPr>
        <w:t>Franchisor</w:t>
      </w:r>
      <w:proofErr w:type="spellEnd"/>
      <w:r w:rsidRPr="00914188">
        <w:rPr>
          <w:b/>
          <w:bCs/>
          <w:color w:val="FF0000"/>
          <w:sz w:val="18"/>
          <w:szCs w:val="18"/>
        </w:rPr>
        <w:t xml:space="preserve"> roku 2022</w:t>
      </w:r>
      <w:r w:rsidRPr="00914188">
        <w:rPr>
          <w:color w:val="FF0000"/>
          <w:sz w:val="18"/>
          <w:szCs w:val="18"/>
        </w:rPr>
        <w:t xml:space="preserve"> </w:t>
      </w:r>
      <w:r w:rsidRPr="00914188">
        <w:rPr>
          <w:sz w:val="18"/>
          <w:szCs w:val="18"/>
        </w:rPr>
        <w:t xml:space="preserve">od České asociace </w:t>
      </w:r>
      <w:proofErr w:type="spellStart"/>
      <w:r w:rsidRPr="00914188">
        <w:rPr>
          <w:sz w:val="18"/>
          <w:szCs w:val="18"/>
        </w:rPr>
        <w:t>franchisingu</w:t>
      </w:r>
      <w:proofErr w:type="spellEnd"/>
      <w:r w:rsidRPr="00914188">
        <w:rPr>
          <w:sz w:val="18"/>
          <w:szCs w:val="18"/>
        </w:rPr>
        <w:t xml:space="preserve">. Více na </w:t>
      </w:r>
      <w:hyperlink r:id="rId9">
        <w:r w:rsidRPr="00914188">
          <w:rPr>
            <w:color w:val="0000FF"/>
            <w:sz w:val="18"/>
            <w:szCs w:val="18"/>
            <w:u w:val="single"/>
          </w:rPr>
          <w:t>bcas.cz</w:t>
        </w:r>
      </w:hyperlink>
      <w:r w:rsidRPr="00914188">
        <w:rPr>
          <w:color w:val="0000FF"/>
          <w:sz w:val="18"/>
          <w:szCs w:val="18"/>
          <w:u w:val="single"/>
        </w:rPr>
        <w:t xml:space="preserve"> </w:t>
      </w:r>
      <w:r w:rsidRPr="00914188">
        <w:rPr>
          <w:sz w:val="18"/>
          <w:szCs w:val="18"/>
        </w:rPr>
        <w:t xml:space="preserve">a na </w:t>
      </w:r>
      <w:hyperlink r:id="rId10">
        <w:r w:rsidRPr="00914188">
          <w:rPr>
            <w:color w:val="0000FF"/>
            <w:sz w:val="18"/>
            <w:szCs w:val="18"/>
            <w:u w:val="single"/>
          </w:rPr>
          <w:t>realityspolu.cz</w:t>
        </w:r>
      </w:hyperlink>
      <w:r w:rsidRPr="00914188">
        <w:rPr>
          <w:color w:val="0000FF"/>
          <w:sz w:val="18"/>
          <w:szCs w:val="18"/>
          <w:u w:val="single"/>
        </w:rPr>
        <w:t xml:space="preserve">. </w:t>
      </w:r>
      <w:r w:rsidRPr="00914188">
        <w:rPr>
          <w:sz w:val="18"/>
          <w:szCs w:val="18"/>
        </w:rPr>
        <w:t xml:space="preserve">Navštivte také náš </w:t>
      </w:r>
      <w:hyperlink r:id="rId11">
        <w:r w:rsidRPr="00914188">
          <w:rPr>
            <w:color w:val="0000FF"/>
            <w:sz w:val="18"/>
            <w:szCs w:val="18"/>
            <w:u w:val="single"/>
          </w:rPr>
          <w:t>Facebook</w:t>
        </w:r>
      </w:hyperlink>
      <w:r w:rsidRPr="00914188">
        <w:rPr>
          <w:sz w:val="18"/>
          <w:szCs w:val="18"/>
        </w:rPr>
        <w:t xml:space="preserve">, </w:t>
      </w:r>
      <w:hyperlink r:id="rId12">
        <w:proofErr w:type="spellStart"/>
        <w:r w:rsidRPr="00914188">
          <w:rPr>
            <w:color w:val="0000FF"/>
            <w:sz w:val="18"/>
            <w:szCs w:val="18"/>
            <w:u w:val="single"/>
          </w:rPr>
          <w:t>LinkedIN</w:t>
        </w:r>
        <w:proofErr w:type="spellEnd"/>
      </w:hyperlink>
      <w:r w:rsidRPr="00914188">
        <w:rPr>
          <w:sz w:val="18"/>
          <w:szCs w:val="18"/>
        </w:rPr>
        <w:t xml:space="preserve"> Broker </w:t>
      </w:r>
      <w:proofErr w:type="spellStart"/>
      <w:r w:rsidRPr="00914188">
        <w:rPr>
          <w:sz w:val="18"/>
          <w:szCs w:val="18"/>
        </w:rPr>
        <w:t>Consulting</w:t>
      </w:r>
      <w:proofErr w:type="spellEnd"/>
      <w:r w:rsidRPr="00914188">
        <w:rPr>
          <w:sz w:val="18"/>
          <w:szCs w:val="18"/>
        </w:rPr>
        <w:t xml:space="preserve">, Twitter </w:t>
      </w:r>
      <w:r w:rsidRPr="00914188">
        <w:rPr>
          <w:sz w:val="18"/>
          <w:szCs w:val="18"/>
          <w:highlight w:val="white"/>
        </w:rPr>
        <w:t xml:space="preserve">@BC_oficialni, </w:t>
      </w:r>
      <w:r w:rsidRPr="00914188">
        <w:rPr>
          <w:sz w:val="18"/>
          <w:szCs w:val="18"/>
        </w:rPr>
        <w:t xml:space="preserve"> </w:t>
      </w:r>
      <w:hyperlink r:id="rId13">
        <w:r w:rsidRPr="00914188">
          <w:rPr>
            <w:color w:val="0000FF"/>
            <w:sz w:val="18"/>
            <w:szCs w:val="18"/>
            <w:u w:val="single"/>
          </w:rPr>
          <w:t>Facebook</w:t>
        </w:r>
      </w:hyperlink>
      <w:r w:rsidRPr="00914188">
        <w:rPr>
          <w:sz w:val="18"/>
          <w:szCs w:val="18"/>
        </w:rPr>
        <w:t xml:space="preserve"> a </w:t>
      </w:r>
      <w:hyperlink r:id="rId14">
        <w:proofErr w:type="spellStart"/>
        <w:r w:rsidRPr="00914188">
          <w:rPr>
            <w:color w:val="0000FF"/>
            <w:sz w:val="18"/>
            <w:szCs w:val="18"/>
            <w:u w:val="single"/>
          </w:rPr>
          <w:t>LinkedI</w:t>
        </w:r>
      </w:hyperlink>
      <w:r w:rsidRPr="00914188">
        <w:rPr>
          <w:color w:val="0000FF"/>
          <w:sz w:val="18"/>
          <w:szCs w:val="18"/>
          <w:u w:val="single"/>
        </w:rPr>
        <w:t>N</w:t>
      </w:r>
      <w:proofErr w:type="spellEnd"/>
      <w:r w:rsidRPr="00914188">
        <w:rPr>
          <w:sz w:val="18"/>
          <w:szCs w:val="18"/>
        </w:rPr>
        <w:t xml:space="preserve"> Broker Point Premium. </w:t>
      </w:r>
    </w:p>
    <w:p w14:paraId="514F40BD" w14:textId="77777777" w:rsidR="00F5535B" w:rsidRDefault="00496EBD">
      <w:pPr>
        <w:pStyle w:val="Nadpis3"/>
        <w:rPr>
          <w:sz w:val="22"/>
          <w:szCs w:val="22"/>
        </w:rPr>
      </w:pPr>
      <w:bookmarkStart w:id="3" w:name="_heading=h.y5cqlwaobvsv" w:colFirst="0" w:colLast="0"/>
      <w:bookmarkEnd w:id="3"/>
      <w:r>
        <w:rPr>
          <w:sz w:val="22"/>
          <w:szCs w:val="22"/>
        </w:rPr>
        <w:t>Kontakt pro média:</w:t>
      </w:r>
    </w:p>
    <w:p w14:paraId="6873659B" w14:textId="77777777" w:rsidR="00F5535B" w:rsidRDefault="00496EBD">
      <w:pPr>
        <w:widowControl w:val="0"/>
        <w:spacing w:line="240" w:lineRule="auto"/>
        <w:jc w:val="both"/>
        <w:rPr>
          <w:sz w:val="16"/>
          <w:szCs w:val="16"/>
        </w:rPr>
      </w:pPr>
      <w:r>
        <w:rPr>
          <w:sz w:val="16"/>
          <w:szCs w:val="16"/>
        </w:rPr>
        <w:t>Ondřej Lukáš</w:t>
      </w:r>
    </w:p>
    <w:p w14:paraId="2E0DC812" w14:textId="77777777" w:rsidR="00F5535B" w:rsidRDefault="00496EBD">
      <w:pPr>
        <w:spacing w:line="240" w:lineRule="auto"/>
        <w:jc w:val="both"/>
        <w:rPr>
          <w:sz w:val="16"/>
          <w:szCs w:val="16"/>
        </w:rPr>
      </w:pPr>
      <w:r>
        <w:rPr>
          <w:sz w:val="16"/>
          <w:szCs w:val="16"/>
        </w:rPr>
        <w:t>Insighters, s. r. o.</w:t>
      </w:r>
    </w:p>
    <w:p w14:paraId="61C12F6E" w14:textId="77777777" w:rsidR="00F5535B" w:rsidRDefault="00496EBD">
      <w:pPr>
        <w:spacing w:line="240" w:lineRule="auto"/>
        <w:jc w:val="both"/>
        <w:rPr>
          <w:sz w:val="17"/>
          <w:szCs w:val="17"/>
        </w:rPr>
      </w:pPr>
      <w:r>
        <w:rPr>
          <w:sz w:val="17"/>
          <w:szCs w:val="17"/>
        </w:rPr>
        <w:t>Mobil: +420 776 186 529</w:t>
      </w:r>
    </w:p>
    <w:p w14:paraId="4B458772" w14:textId="77777777" w:rsidR="00F5535B" w:rsidRDefault="00496EBD">
      <w:pPr>
        <w:spacing w:line="240" w:lineRule="auto"/>
        <w:jc w:val="both"/>
        <w:rPr>
          <w:sz w:val="18"/>
          <w:szCs w:val="18"/>
        </w:rPr>
      </w:pPr>
      <w:r>
        <w:rPr>
          <w:sz w:val="17"/>
          <w:szCs w:val="17"/>
        </w:rPr>
        <w:t xml:space="preserve">e-mail: </w:t>
      </w:r>
      <w:hyperlink r:id="rId15">
        <w:r>
          <w:rPr>
            <w:color w:val="0000FF"/>
            <w:sz w:val="17"/>
            <w:szCs w:val="17"/>
            <w:u w:val="single"/>
          </w:rPr>
          <w:t>ondrej.lukas@insighters.cz</w:t>
        </w:r>
      </w:hyperlink>
      <w:r>
        <w:rPr>
          <w:sz w:val="17"/>
          <w:szCs w:val="17"/>
        </w:rPr>
        <w:t xml:space="preserve"> </w:t>
      </w:r>
    </w:p>
    <w:sectPr w:rsidR="00F5535B">
      <w:headerReference w:type="default" r:id="rId16"/>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421D1" w14:textId="77777777" w:rsidR="00DD1167" w:rsidRDefault="00DD1167">
      <w:pPr>
        <w:spacing w:line="240" w:lineRule="auto"/>
      </w:pPr>
      <w:r>
        <w:separator/>
      </w:r>
    </w:p>
  </w:endnote>
  <w:endnote w:type="continuationSeparator" w:id="0">
    <w:p w14:paraId="54060052" w14:textId="77777777" w:rsidR="00DD1167" w:rsidRDefault="00DD11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4DBD25C5-58AB-43F6-89EE-6166FFA90F0C}"/>
    <w:embedBold r:id="rId2" w:fontKey="{67571DA9-C825-489B-89F3-1B5E088D6BB9}"/>
    <w:embedItalic r:id="rId3" w:fontKey="{094A3358-C198-499E-8F37-615819B61851}"/>
  </w:font>
  <w:font w:name="Cambria">
    <w:panose1 w:val="02040503050406030204"/>
    <w:charset w:val="EE"/>
    <w:family w:val="roman"/>
    <w:pitch w:val="variable"/>
    <w:sig w:usb0="E00006FF" w:usb1="420024FF" w:usb2="02000000" w:usb3="00000000" w:csb0="0000019F" w:csb1="00000000"/>
    <w:embedRegular r:id="rId4" w:fontKey="{2B22F9F3-5763-4144-88FA-0A664066EFF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11FB6" w14:textId="77777777" w:rsidR="00DD1167" w:rsidRDefault="00DD1167">
      <w:pPr>
        <w:spacing w:line="240" w:lineRule="auto"/>
      </w:pPr>
      <w:r>
        <w:separator/>
      </w:r>
    </w:p>
  </w:footnote>
  <w:footnote w:type="continuationSeparator" w:id="0">
    <w:p w14:paraId="6730AEA1" w14:textId="77777777" w:rsidR="00DD1167" w:rsidRDefault="00DD11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FB1D7" w14:textId="77777777" w:rsidR="00F5535B" w:rsidRDefault="00496EBD">
    <w:r>
      <w:rPr>
        <w:noProof/>
      </w:rPr>
      <w:drawing>
        <wp:inline distT="114300" distB="114300" distL="114300" distR="114300" wp14:anchorId="436380F2" wp14:editId="5B568BC5">
          <wp:extent cx="1879038" cy="9667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79038" cy="966788"/>
                  </a:xfrm>
                  <a:prstGeom prst="rect">
                    <a:avLst/>
                  </a:prstGeom>
                  <a:ln/>
                </pic:spPr>
              </pic:pic>
            </a:graphicData>
          </a:graphic>
        </wp:inline>
      </w:drawing>
    </w:r>
  </w:p>
  <w:p w14:paraId="2886397B" w14:textId="77777777" w:rsidR="00F5535B" w:rsidRDefault="00F553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01373"/>
    <w:multiLevelType w:val="hybridMultilevel"/>
    <w:tmpl w:val="C86A39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35173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35B"/>
    <w:rsid w:val="000969CB"/>
    <w:rsid w:val="000A4C6A"/>
    <w:rsid w:val="001E5FEE"/>
    <w:rsid w:val="00283F37"/>
    <w:rsid w:val="00373213"/>
    <w:rsid w:val="003B72FF"/>
    <w:rsid w:val="0046128F"/>
    <w:rsid w:val="00496EBD"/>
    <w:rsid w:val="004978D4"/>
    <w:rsid w:val="005117CF"/>
    <w:rsid w:val="006D5D13"/>
    <w:rsid w:val="00770692"/>
    <w:rsid w:val="007E5083"/>
    <w:rsid w:val="00844CBE"/>
    <w:rsid w:val="00914188"/>
    <w:rsid w:val="00950314"/>
    <w:rsid w:val="00A40BDC"/>
    <w:rsid w:val="00B5581B"/>
    <w:rsid w:val="00C07F80"/>
    <w:rsid w:val="00DD1167"/>
    <w:rsid w:val="00DD30D7"/>
    <w:rsid w:val="00E15428"/>
    <w:rsid w:val="00E837D4"/>
    <w:rsid w:val="00F553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9A0A7"/>
  <w15:docId w15:val="{7D887704-98C9-4591-9AEE-F7DCD595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unhideWhenUsed/>
    <w:qFormat/>
    <w:pPr>
      <w:keepNext/>
      <w:keepLines/>
      <w:spacing w:before="360" w:after="120"/>
      <w:jc w:val="both"/>
      <w:outlineLvl w:val="1"/>
    </w:pPr>
    <w:rPr>
      <w:b/>
      <w:bCs/>
    </w:rPr>
  </w:style>
  <w:style w:type="paragraph" w:styleId="Nadpis3">
    <w:name w:val="heading 3"/>
    <w:basedOn w:val="Normln"/>
    <w:next w:val="Normln"/>
    <w:uiPriority w:val="9"/>
    <w:unhideWhenUsed/>
    <w:qFormat/>
    <w:pPr>
      <w:keepNext/>
      <w:keepLines/>
      <w:spacing w:before="280" w:after="80"/>
      <w:jc w:val="both"/>
      <w:outlineLvl w:val="2"/>
    </w:pPr>
    <w:rPr>
      <w:b/>
      <w:bCs/>
      <w:sz w:val="24"/>
      <w:szCs w:val="24"/>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iCs/>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after="60"/>
      <w:jc w:val="both"/>
    </w:pPr>
    <w:rPr>
      <w:b/>
      <w:bCs/>
      <w:color w:val="CC0000"/>
      <w:sz w:val="48"/>
      <w:szCs w:val="48"/>
    </w:rPr>
  </w:style>
  <w:style w:type="paragraph" w:styleId="Podnadpis">
    <w:name w:val="Subtitle"/>
    <w:basedOn w:val="Normln"/>
    <w:next w:val="Normln"/>
    <w:uiPriority w:val="11"/>
    <w:qFormat/>
    <w:pPr>
      <w:keepNext/>
      <w:keepLines/>
      <w:spacing w:after="320"/>
    </w:pPr>
    <w:rPr>
      <w:color w:val="666666"/>
      <w:sz w:val="30"/>
      <w:szCs w:val="30"/>
    </w:rPr>
  </w:style>
  <w:style w:type="paragraph" w:styleId="Odstavecseseznamem">
    <w:name w:val="List Paragraph"/>
    <w:basedOn w:val="Normln"/>
    <w:uiPriority w:val="34"/>
    <w:qFormat/>
    <w:rsid w:val="00914188"/>
    <w:pPr>
      <w:ind w:left="720"/>
      <w:contextualSpacing/>
    </w:pPr>
  </w:style>
  <w:style w:type="paragraph" w:styleId="Revize">
    <w:name w:val="Revision"/>
    <w:hidden/>
    <w:uiPriority w:val="99"/>
    <w:semiHidden/>
    <w:rsid w:val="00496EBD"/>
    <w:pPr>
      <w:spacing w:line="240" w:lineRule="auto"/>
    </w:pPr>
  </w:style>
  <w:style w:type="character" w:styleId="Odkaznakoment">
    <w:name w:val="annotation reference"/>
    <w:basedOn w:val="Standardnpsmoodstavce"/>
    <w:uiPriority w:val="99"/>
    <w:semiHidden/>
    <w:unhideWhenUsed/>
    <w:rsid w:val="00496EBD"/>
    <w:rPr>
      <w:sz w:val="16"/>
      <w:szCs w:val="16"/>
    </w:rPr>
  </w:style>
  <w:style w:type="paragraph" w:styleId="Textkomente">
    <w:name w:val="annotation text"/>
    <w:basedOn w:val="Normln"/>
    <w:link w:val="TextkomenteChar"/>
    <w:uiPriority w:val="99"/>
    <w:unhideWhenUsed/>
    <w:rsid w:val="00496EBD"/>
    <w:pPr>
      <w:spacing w:line="240" w:lineRule="auto"/>
    </w:pPr>
    <w:rPr>
      <w:sz w:val="20"/>
      <w:szCs w:val="20"/>
    </w:rPr>
  </w:style>
  <w:style w:type="character" w:customStyle="1" w:styleId="TextkomenteChar">
    <w:name w:val="Text komentáře Char"/>
    <w:basedOn w:val="Standardnpsmoodstavce"/>
    <w:link w:val="Textkomente"/>
    <w:uiPriority w:val="99"/>
    <w:rsid w:val="00496EBD"/>
    <w:rPr>
      <w:sz w:val="20"/>
      <w:szCs w:val="20"/>
    </w:rPr>
  </w:style>
  <w:style w:type="paragraph" w:styleId="Pedmtkomente">
    <w:name w:val="annotation subject"/>
    <w:basedOn w:val="Textkomente"/>
    <w:next w:val="Textkomente"/>
    <w:link w:val="PedmtkomenteChar"/>
    <w:uiPriority w:val="99"/>
    <w:semiHidden/>
    <w:unhideWhenUsed/>
    <w:rsid w:val="00496EBD"/>
    <w:rPr>
      <w:b/>
      <w:bCs/>
    </w:rPr>
  </w:style>
  <w:style w:type="character" w:customStyle="1" w:styleId="PedmtkomenteChar">
    <w:name w:val="Předmět komentáře Char"/>
    <w:basedOn w:val="TextkomenteChar"/>
    <w:link w:val="Pedmtkomente"/>
    <w:uiPriority w:val="99"/>
    <w:semiHidden/>
    <w:rsid w:val="00496E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cas.cz/o-nas/broker-consulting-index-spotrebitelskych-uveru/" TargetMode="External"/><Relationship Id="rId13" Type="http://schemas.openxmlformats.org/officeDocument/2006/relationships/hyperlink" Target="https://www.facebook.com/okpoint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company/78654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Broker.Consulting/" TargetMode="External"/><Relationship Id="rId5" Type="http://schemas.openxmlformats.org/officeDocument/2006/relationships/webSettings" Target="webSettings.xml"/><Relationship Id="rId15" Type="http://schemas.openxmlformats.org/officeDocument/2006/relationships/hyperlink" Target="mailto:ondrej.lukas@insighters.cz" TargetMode="External"/><Relationship Id="rId10" Type="http://schemas.openxmlformats.org/officeDocument/2006/relationships/hyperlink" Target="http://www.realityspolu.cz" TargetMode="External"/><Relationship Id="rId4" Type="http://schemas.openxmlformats.org/officeDocument/2006/relationships/settings" Target="settings.xml"/><Relationship Id="rId9" Type="http://schemas.openxmlformats.org/officeDocument/2006/relationships/hyperlink" Target="http://bcas.cz" TargetMode="External"/><Relationship Id="rId14" Type="http://schemas.openxmlformats.org/officeDocument/2006/relationships/hyperlink" Target="https://www.linkedin.com/company/10668151/"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BhVglABPaRFn/lyFtVc6nvM6pw==">CgMxLjAyDmgueGFxY2luM2Z4MG5qMg5oLjduamxuNXpjNXZyYTIOaC5wdWtiNGd0OGplY3QyDmguZHJ6bjg3cHd3dDF0Mg5oLm14enN0MGtycnJmNTIOaC5teThoMTZzMThyb28yDmguNWc4NHBxbnBwNXB3Mg5oLnZlaHJxdW1hZm04ajIOaC55NWNxbHdhb2J2c3Y4AGoiChRzdWdnZXN0LjM1NTAxcDE0MXl4dRIKSmFuIEtyb3VwYWoiChRzdWdnZXN0LnQ2ZjdsbHFvYmNmdRIKSmFuIEtyb3VwYWoiChRzdWdnZXN0LjRrYmtyczN1YTYzMxIKSmFuIEtyb3VwYXIhMWUwSFEtSUtBbFQ4RlhQUjc4WHc0YUp4VXBzd09BLUk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1215</Words>
  <Characters>7172</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Insighters</dc:creator>
  <cp:lastModifiedBy>PR 3</cp:lastModifiedBy>
  <cp:revision>3</cp:revision>
  <cp:lastPrinted>2026-07-07T13:13:00Z</cp:lastPrinted>
  <dcterms:created xsi:type="dcterms:W3CDTF">2026-07-14T11:19:00Z</dcterms:created>
  <dcterms:modified xsi:type="dcterms:W3CDTF">2026-07-14T13:48:00Z</dcterms:modified>
</cp:coreProperties>
</file>