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7A912C88" w14:textId="1D6FBE11" w:rsidR="005A1EE0"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xml:space="preserve">) </w:t>
      </w:r>
      <w:r w:rsidR="005A1EE0">
        <w:rPr>
          <w:rFonts w:asciiTheme="minorHAnsi" w:hAnsiTheme="minorHAnsi" w:cstheme="minorHAnsi"/>
          <w:sz w:val="20"/>
          <w:szCs w:val="20"/>
        </w:rPr>
        <w:t>na více než 110 obchodních místech pod názvy</w:t>
      </w:r>
      <w:r>
        <w:rPr>
          <w:rFonts w:asciiTheme="minorHAnsi" w:hAnsiTheme="minorHAnsi" w:cstheme="minorHAnsi"/>
          <w:sz w:val="20"/>
          <w:szCs w:val="20"/>
        </w:rPr>
        <w:t xml:space="preserve"> Broker Point Premium</w:t>
      </w:r>
      <w:r w:rsidR="005A1EE0">
        <w:rPr>
          <w:rFonts w:asciiTheme="minorHAnsi" w:hAnsiTheme="minorHAnsi" w:cstheme="minorHAnsi"/>
          <w:sz w:val="20"/>
          <w:szCs w:val="20"/>
        </w:rPr>
        <w:t xml:space="preserve"> nebo Broker Point. Společnost uvedla na český a</w:t>
      </w:r>
      <w:r w:rsidRPr="005B7E46">
        <w:rPr>
          <w:rFonts w:asciiTheme="minorHAnsi" w:hAnsiTheme="minorHAnsi" w:cstheme="minorHAnsi"/>
          <w:sz w:val="20"/>
          <w:szCs w:val="20"/>
        </w:rPr>
        <w:t xml:space="preserve"> slovenský trh řadu inovací. Jednalo se například o investice do otevřených podílových fondů se zamykáním zisků nebo unikátní produkty životního dopojištění, které umožňují pojistit smrt a inv</w:t>
      </w:r>
      <w:r w:rsidR="005A1EE0">
        <w:rPr>
          <w:rFonts w:asciiTheme="minorHAnsi" w:hAnsiTheme="minorHAnsi" w:cstheme="minorHAnsi"/>
          <w:sz w:val="20"/>
          <w:szCs w:val="20"/>
        </w:rPr>
        <w:t>aliditu za zlomek obvyklých cen</w:t>
      </w:r>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9"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0"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1"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2"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12E396C" w14:textId="77777777" w:rsidR="005A1EE0" w:rsidRDefault="005A1EE0" w:rsidP="00E54C6F">
      <w:pPr>
        <w:spacing w:after="120"/>
        <w:jc w:val="center"/>
        <w:rPr>
          <w:rFonts w:asciiTheme="minorHAnsi" w:hAnsiTheme="minorHAnsi" w:cstheme="minorHAnsi"/>
          <w:b/>
          <w:color w:val="000000" w:themeColor="text1"/>
          <w:sz w:val="32"/>
          <w:szCs w:val="32"/>
        </w:rPr>
      </w:pPr>
    </w:p>
    <w:p w14:paraId="754C4A66" w14:textId="2E6570F6" w:rsidR="009E6D78" w:rsidRPr="00D2745A" w:rsidRDefault="00861492" w:rsidP="00E54C6F">
      <w:pPr>
        <w:spacing w:after="120"/>
        <w:jc w:val="center"/>
        <w:rPr>
          <w:rFonts w:asciiTheme="minorHAnsi" w:hAnsiTheme="minorHAnsi" w:cstheme="minorHAnsi"/>
          <w:b/>
          <w:color w:val="000000" w:themeColor="text1"/>
          <w:sz w:val="28"/>
          <w:szCs w:val="28"/>
          <w:lang w:val="de-DE"/>
        </w:rPr>
      </w:pPr>
      <w:r w:rsidRPr="00D2745A">
        <w:rPr>
          <w:rFonts w:asciiTheme="minorHAnsi" w:hAnsiTheme="minorHAnsi" w:cstheme="minorHAnsi"/>
          <w:b/>
          <w:sz w:val="28"/>
          <w:szCs w:val="28"/>
        </w:rPr>
        <w:lastRenderedPageBreak/>
        <w:t>Průměrné náklady na</w:t>
      </w:r>
      <w:r w:rsidR="00F02779">
        <w:rPr>
          <w:rFonts w:asciiTheme="minorHAnsi" w:hAnsiTheme="minorHAnsi" w:cstheme="minorHAnsi"/>
          <w:b/>
          <w:sz w:val="28"/>
          <w:szCs w:val="28"/>
        </w:rPr>
        <w:t xml:space="preserve"> povin</w:t>
      </w:r>
      <w:r w:rsidR="00F47F87">
        <w:rPr>
          <w:rFonts w:asciiTheme="minorHAnsi" w:hAnsiTheme="minorHAnsi" w:cstheme="minorHAnsi"/>
          <w:b/>
          <w:sz w:val="28"/>
          <w:szCs w:val="28"/>
        </w:rPr>
        <w:t xml:space="preserve">né ručení se zvedly jen </w:t>
      </w:r>
      <w:r w:rsidR="00F02779">
        <w:rPr>
          <w:rFonts w:asciiTheme="minorHAnsi" w:hAnsiTheme="minorHAnsi" w:cstheme="minorHAnsi"/>
          <w:b/>
          <w:sz w:val="28"/>
          <w:szCs w:val="28"/>
        </w:rPr>
        <w:t>nepatrně</w:t>
      </w:r>
    </w:p>
    <w:p w14:paraId="631FD780" w14:textId="67820CC9" w:rsidR="005C6C1D" w:rsidRPr="004E16C3" w:rsidRDefault="00861492" w:rsidP="005C6C1D">
      <w:pPr>
        <w:pStyle w:val="Odstavecseseznamem"/>
        <w:numPr>
          <w:ilvl w:val="0"/>
          <w:numId w:val="24"/>
        </w:numPr>
        <w:ind w:left="357" w:right="40" w:hanging="357"/>
        <w:jc w:val="both"/>
        <w:rPr>
          <w:rFonts w:asciiTheme="minorHAnsi" w:hAnsiTheme="minorHAnsi" w:cstheme="minorHAnsi"/>
          <w:b/>
          <w:color w:val="000000" w:themeColor="text1"/>
          <w:sz w:val="21"/>
          <w:szCs w:val="21"/>
        </w:rPr>
      </w:pPr>
      <w:r w:rsidRPr="004E16C3">
        <w:rPr>
          <w:rFonts w:asciiTheme="minorHAnsi" w:hAnsiTheme="minorHAnsi" w:cstheme="minorHAnsi"/>
          <w:b/>
          <w:sz w:val="21"/>
          <w:szCs w:val="21"/>
        </w:rPr>
        <w:t>Průměrná cen</w:t>
      </w:r>
      <w:r w:rsidR="00F02779">
        <w:rPr>
          <w:rFonts w:asciiTheme="minorHAnsi" w:hAnsiTheme="minorHAnsi" w:cstheme="minorHAnsi"/>
          <w:b/>
          <w:sz w:val="21"/>
          <w:szCs w:val="21"/>
        </w:rPr>
        <w:t>a povinného ručení dosáhla</w:t>
      </w:r>
      <w:r w:rsidR="00F47F87">
        <w:rPr>
          <w:rFonts w:asciiTheme="minorHAnsi" w:hAnsiTheme="minorHAnsi" w:cstheme="minorHAnsi"/>
          <w:b/>
          <w:sz w:val="21"/>
          <w:szCs w:val="21"/>
        </w:rPr>
        <w:t xml:space="preserve"> v srpnu</w:t>
      </w:r>
      <w:r w:rsidR="00F02779">
        <w:rPr>
          <w:rFonts w:asciiTheme="minorHAnsi" w:hAnsiTheme="minorHAnsi" w:cstheme="minorHAnsi"/>
          <w:b/>
          <w:sz w:val="21"/>
          <w:szCs w:val="21"/>
        </w:rPr>
        <w:t xml:space="preserve"> 7 482</w:t>
      </w:r>
      <w:r w:rsidRPr="004E16C3">
        <w:rPr>
          <w:rFonts w:asciiTheme="minorHAnsi" w:hAnsiTheme="minorHAnsi" w:cstheme="minorHAnsi"/>
          <w:b/>
          <w:sz w:val="21"/>
          <w:szCs w:val="21"/>
        </w:rPr>
        <w:t xml:space="preserve"> korun.</w:t>
      </w:r>
    </w:p>
    <w:p w14:paraId="1F438A4D" w14:textId="56694C21" w:rsidR="00736701" w:rsidRPr="004E16C3" w:rsidRDefault="00861492" w:rsidP="00E54C6F">
      <w:pPr>
        <w:pStyle w:val="Odstavecseseznamem"/>
        <w:numPr>
          <w:ilvl w:val="0"/>
          <w:numId w:val="24"/>
        </w:numPr>
        <w:ind w:left="357" w:right="40" w:hanging="357"/>
        <w:jc w:val="both"/>
        <w:rPr>
          <w:rFonts w:asciiTheme="minorHAnsi" w:hAnsiTheme="minorHAnsi" w:cstheme="minorHAnsi"/>
          <w:b/>
          <w:color w:val="000000" w:themeColor="text1"/>
          <w:sz w:val="21"/>
          <w:szCs w:val="21"/>
        </w:rPr>
      </w:pPr>
      <w:r w:rsidRPr="004E16C3">
        <w:rPr>
          <w:rFonts w:asciiTheme="minorHAnsi" w:hAnsiTheme="minorHAnsi" w:cstheme="minorHAnsi"/>
          <w:b/>
          <w:sz w:val="21"/>
          <w:szCs w:val="21"/>
        </w:rPr>
        <w:t>Oproti červenci vzrostla hodnot</w:t>
      </w:r>
      <w:r w:rsidR="00F02779">
        <w:rPr>
          <w:rFonts w:asciiTheme="minorHAnsi" w:hAnsiTheme="minorHAnsi" w:cstheme="minorHAnsi"/>
          <w:b/>
          <w:sz w:val="21"/>
          <w:szCs w:val="21"/>
        </w:rPr>
        <w:t xml:space="preserve">a Broker Consulting Indexu o pouhé čtyři </w:t>
      </w:r>
      <w:r w:rsidRPr="004E16C3">
        <w:rPr>
          <w:rFonts w:asciiTheme="minorHAnsi" w:hAnsiTheme="minorHAnsi" w:cstheme="minorHAnsi"/>
          <w:b/>
          <w:sz w:val="21"/>
          <w:szCs w:val="21"/>
        </w:rPr>
        <w:t>korun</w:t>
      </w:r>
      <w:r w:rsidR="00F02779">
        <w:rPr>
          <w:rFonts w:asciiTheme="minorHAnsi" w:hAnsiTheme="minorHAnsi" w:cstheme="minorHAnsi"/>
          <w:b/>
          <w:sz w:val="21"/>
          <w:szCs w:val="21"/>
        </w:rPr>
        <w:t>y</w:t>
      </w:r>
      <w:r w:rsidRPr="004E16C3">
        <w:rPr>
          <w:rFonts w:asciiTheme="minorHAnsi" w:hAnsiTheme="minorHAnsi" w:cstheme="minorHAnsi"/>
          <w:b/>
          <w:sz w:val="21"/>
          <w:szCs w:val="21"/>
        </w:rPr>
        <w:t>.</w:t>
      </w:r>
    </w:p>
    <w:p w14:paraId="640D9C2D" w14:textId="5CF1155E" w:rsidR="00A41322" w:rsidRPr="004E16C3" w:rsidRDefault="003059C9" w:rsidP="00A41322">
      <w:pPr>
        <w:pStyle w:val="Odstavecseseznamem"/>
        <w:numPr>
          <w:ilvl w:val="0"/>
          <w:numId w:val="24"/>
        </w:numPr>
        <w:ind w:left="357" w:right="40" w:hanging="357"/>
        <w:jc w:val="both"/>
        <w:rPr>
          <w:rFonts w:asciiTheme="minorHAnsi" w:hAnsiTheme="minorHAnsi" w:cstheme="minorHAnsi"/>
          <w:b/>
          <w:color w:val="000000" w:themeColor="text1"/>
          <w:sz w:val="21"/>
          <w:szCs w:val="21"/>
        </w:rPr>
      </w:pPr>
      <w:r w:rsidRPr="004E16C3">
        <w:rPr>
          <w:rFonts w:asciiTheme="minorHAnsi" w:hAnsiTheme="minorHAnsi" w:cstheme="minorHAnsi"/>
          <w:b/>
          <w:color w:val="000000" w:themeColor="text1"/>
          <w:sz w:val="21"/>
          <w:szCs w:val="21"/>
        </w:rPr>
        <w:t>Co všechno rozhoduje o výši povinného ručení?</w:t>
      </w:r>
    </w:p>
    <w:p w14:paraId="14124C39" w14:textId="71089DE4" w:rsidR="00F02779" w:rsidRPr="00F02779" w:rsidRDefault="00F47F87" w:rsidP="005C6C1D">
      <w:pPr>
        <w:widowControl/>
        <w:autoSpaceDE/>
        <w:autoSpaceDN/>
        <w:spacing w:before="100" w:beforeAutospacing="1" w:after="100" w:afterAutospacing="1"/>
        <w:jc w:val="both"/>
        <w:rPr>
          <w:rFonts w:asciiTheme="minorHAnsi" w:hAnsiTheme="minorHAnsi" w:cstheme="minorHAnsi"/>
        </w:rPr>
      </w:pPr>
      <w:r>
        <w:rPr>
          <w:rFonts w:asciiTheme="minorHAnsi" w:hAnsiTheme="minorHAnsi" w:cstheme="minorHAnsi"/>
        </w:rPr>
        <w:t>Praha, 24</w:t>
      </w:r>
      <w:r w:rsidR="00861492" w:rsidRPr="009932A1">
        <w:rPr>
          <w:rFonts w:asciiTheme="minorHAnsi" w:hAnsiTheme="minorHAnsi" w:cstheme="minorHAnsi"/>
        </w:rPr>
        <w:t>. září 2025 –</w:t>
      </w:r>
      <w:r w:rsidR="00861492" w:rsidRPr="009932A1">
        <w:rPr>
          <w:rFonts w:asciiTheme="minorHAnsi" w:hAnsiTheme="minorHAnsi" w:cstheme="minorHAnsi"/>
          <w:b/>
        </w:rPr>
        <w:t xml:space="preserve"> </w:t>
      </w:r>
      <w:r w:rsidR="00F02779">
        <w:rPr>
          <w:rFonts w:asciiTheme="minorHAnsi" w:hAnsiTheme="minorHAnsi" w:cstheme="minorHAnsi"/>
          <w:b/>
        </w:rPr>
        <w:t>Náklady na povinné ručení se v srpnu zvedly oproti červenci jen nepatrně. Broker Consulting Index</w:t>
      </w:r>
      <w:r w:rsidR="00F02779" w:rsidRPr="009932A1">
        <w:rPr>
          <w:rFonts w:asciiTheme="minorHAnsi" w:hAnsiTheme="minorHAnsi" w:cstheme="minorHAnsi"/>
          <w:b/>
        </w:rPr>
        <w:t>, který dlouhodobě sleduje vývoj nákladů na  zákonné pojištění vozidla pro řidiče bez historie na modelovém voze Škoda Octavia 1,6 TDI, 85 kW</w:t>
      </w:r>
      <w:r w:rsidR="00F02779">
        <w:rPr>
          <w:rFonts w:asciiTheme="minorHAnsi" w:hAnsiTheme="minorHAnsi" w:cstheme="minorHAnsi"/>
          <w:b/>
        </w:rPr>
        <w:t xml:space="preserve">, ukázal navýšení o pouhé čtyři koruny. Zatímco v červenci jeho hodnota dosáhla </w:t>
      </w:r>
      <w:r w:rsidR="00F02779" w:rsidRPr="009932A1">
        <w:rPr>
          <w:rFonts w:asciiTheme="minorHAnsi" w:hAnsiTheme="minorHAnsi" w:cstheme="minorHAnsi"/>
          <w:b/>
        </w:rPr>
        <w:t xml:space="preserve">7 478 </w:t>
      </w:r>
      <w:r w:rsidR="00F02779">
        <w:rPr>
          <w:rFonts w:asciiTheme="minorHAnsi" w:hAnsiTheme="minorHAnsi" w:cstheme="minorHAnsi"/>
          <w:b/>
        </w:rPr>
        <w:t>korun, v srpnu činila 7 482 korun.</w:t>
      </w:r>
    </w:p>
    <w:p w14:paraId="2D4D44AE" w14:textId="6CA06156" w:rsidR="00861492" w:rsidRPr="00D2745A" w:rsidRDefault="00F02779" w:rsidP="005C6C1D">
      <w:pPr>
        <w:widowControl/>
        <w:autoSpaceDE/>
        <w:autoSpaceDN/>
        <w:spacing w:before="100" w:beforeAutospacing="1" w:after="100" w:afterAutospacing="1"/>
        <w:jc w:val="both"/>
        <w:rPr>
          <w:rFonts w:asciiTheme="minorHAnsi" w:hAnsiTheme="minorHAnsi" w:cstheme="minorHAnsi"/>
          <w:sz w:val="21"/>
          <w:szCs w:val="21"/>
        </w:rPr>
      </w:pPr>
      <w:r w:rsidRPr="00D2745A">
        <w:rPr>
          <w:rFonts w:asciiTheme="minorHAnsi" w:hAnsiTheme="minorHAnsi" w:cstheme="minorHAnsi"/>
          <w:sz w:val="21"/>
          <w:szCs w:val="21"/>
        </w:rPr>
        <w:t xml:space="preserve"> </w:t>
      </w:r>
      <w:r>
        <w:rPr>
          <w:rFonts w:asciiTheme="minorHAnsi" w:hAnsiTheme="minorHAnsi" w:cstheme="minorHAnsi"/>
          <w:sz w:val="21"/>
          <w:szCs w:val="21"/>
        </w:rPr>
        <w:t xml:space="preserve">„Postupné navyšování </w:t>
      </w:r>
      <w:r w:rsidR="00D2745A" w:rsidRPr="00D2745A">
        <w:rPr>
          <w:rFonts w:asciiTheme="minorHAnsi" w:hAnsiTheme="minorHAnsi" w:cstheme="minorHAnsi"/>
          <w:sz w:val="21"/>
          <w:szCs w:val="21"/>
        </w:rPr>
        <w:t xml:space="preserve">cen povinného ručení souvisí s rostoucí inflací ve službách i s tím, že opravy vozidel jsou stále nákladnější a nehody častěji končí vyšší škodou. Tyto faktory se v sazbách </w:t>
      </w:r>
      <w:r w:rsidR="008D34A9">
        <w:rPr>
          <w:rFonts w:asciiTheme="minorHAnsi" w:hAnsiTheme="minorHAnsi" w:cstheme="minorHAnsi"/>
          <w:sz w:val="21"/>
          <w:szCs w:val="21"/>
        </w:rPr>
        <w:t>pojišťoven odrážejí pozvolna</w:t>
      </w:r>
      <w:r w:rsidR="00D2745A" w:rsidRPr="00D2745A">
        <w:rPr>
          <w:rFonts w:asciiTheme="minorHAnsi" w:hAnsiTheme="minorHAnsi" w:cstheme="minorHAnsi"/>
          <w:sz w:val="21"/>
          <w:szCs w:val="21"/>
        </w:rPr>
        <w:t>, což řidičům dává možnost se na změny připravit. Zároveň ale platí, že povinné ručení už není vnímáno pouze jako zákonná povinnost. Pro mnoho lidí představuje službu, která jim v okamžiku nehody dokáže zajistit rychlé vyřízení škody, asistenci na cestě nebo i náhradní dopravu. Hodnota pojištění tak dnes spočívá nejen v samotném krytí škod, ale i v tom, ja</w:t>
      </w:r>
      <w:r w:rsidR="009932A1">
        <w:rPr>
          <w:rFonts w:asciiTheme="minorHAnsi" w:hAnsiTheme="minorHAnsi" w:cstheme="minorHAnsi"/>
          <w:sz w:val="21"/>
          <w:szCs w:val="21"/>
        </w:rPr>
        <w:t>kou podporu klient reálně získá,</w:t>
      </w:r>
      <w:r w:rsidR="00D2745A" w:rsidRPr="00D2745A">
        <w:rPr>
          <w:rFonts w:asciiTheme="minorHAnsi" w:hAnsiTheme="minorHAnsi" w:cstheme="minorHAnsi"/>
          <w:sz w:val="21"/>
          <w:szCs w:val="21"/>
        </w:rPr>
        <w:t>“</w:t>
      </w:r>
      <w:r w:rsidR="009932A1">
        <w:rPr>
          <w:rFonts w:asciiTheme="minorHAnsi" w:hAnsiTheme="minorHAnsi" w:cstheme="minorHAnsi"/>
          <w:sz w:val="21"/>
          <w:szCs w:val="21"/>
        </w:rPr>
        <w:t xml:space="preserve"> komentuje </w:t>
      </w:r>
      <w:r w:rsidR="009932A1" w:rsidRPr="009932A1">
        <w:rPr>
          <w:rFonts w:asciiTheme="minorHAnsi" w:hAnsiTheme="minorHAnsi" w:cstheme="minorHAnsi"/>
          <w:b/>
          <w:sz w:val="21"/>
          <w:szCs w:val="21"/>
        </w:rPr>
        <w:t>Jiří Váchal, analytik neživotního pojištění společnosti Broker Consulting.</w:t>
      </w:r>
      <w:r w:rsidR="009932A1">
        <w:rPr>
          <w:rFonts w:asciiTheme="minorHAnsi" w:hAnsiTheme="minorHAnsi" w:cstheme="minorHAnsi"/>
          <w:sz w:val="21"/>
          <w:szCs w:val="21"/>
        </w:rPr>
        <w:t xml:space="preserve"> </w:t>
      </w:r>
    </w:p>
    <w:p w14:paraId="6002F461" w14:textId="51AA0FD9" w:rsidR="00861492" w:rsidRPr="00861492" w:rsidRDefault="00861492" w:rsidP="00861492">
      <w:pPr>
        <w:widowControl/>
        <w:autoSpaceDE/>
        <w:autoSpaceDN/>
        <w:spacing w:before="100" w:beforeAutospacing="1" w:after="100" w:afterAutospacing="1"/>
        <w:rPr>
          <w:rFonts w:asciiTheme="minorHAnsi" w:eastAsia="Times New Roman" w:hAnsiTheme="minorHAnsi" w:cstheme="minorHAnsi"/>
          <w:sz w:val="21"/>
          <w:szCs w:val="21"/>
          <w:lang w:bidi="ar-SA"/>
        </w:rPr>
      </w:pPr>
      <w:r w:rsidRPr="00861492">
        <w:rPr>
          <w:rFonts w:asciiTheme="minorHAnsi" w:eastAsia="Times New Roman" w:hAnsiTheme="minorHAnsi" w:cstheme="minorHAnsi"/>
          <w:sz w:val="21"/>
          <w:szCs w:val="21"/>
          <w:lang w:bidi="ar-SA"/>
        </w:rPr>
        <w:t>Průměrná cena povinného ručení v Praze dosáhla v srpnu 8 155 korun. Oproti červencovým 8 147 korunám jde jen o kosmetický nárůst o osm korun. Ve středočeském Benešově naopak doš</w:t>
      </w:r>
      <w:r w:rsidR="008D34A9">
        <w:rPr>
          <w:rFonts w:asciiTheme="minorHAnsi" w:eastAsia="Times New Roman" w:hAnsiTheme="minorHAnsi" w:cstheme="minorHAnsi"/>
          <w:sz w:val="21"/>
          <w:szCs w:val="21"/>
          <w:lang w:bidi="ar-SA"/>
        </w:rPr>
        <w:t>lo k nepatrnému poklesu, a to z</w:t>
      </w:r>
      <w:r w:rsidRPr="00861492">
        <w:rPr>
          <w:rFonts w:asciiTheme="minorHAnsi" w:eastAsia="Times New Roman" w:hAnsiTheme="minorHAnsi" w:cstheme="minorHAnsi"/>
          <w:sz w:val="21"/>
          <w:szCs w:val="21"/>
          <w:lang w:bidi="ar-SA"/>
        </w:rPr>
        <w:t xml:space="preserve"> 6 809 korun v červenci na srpnových 6 808 korun. Hodnoty tak potvrzují dlouhodobý trend stability, kdy se ceny v regionu pohybují jen v úzkém rozmezí několika desítek korun.</w:t>
      </w:r>
    </w:p>
    <w:p w14:paraId="6C661CF4" w14:textId="77777777" w:rsidR="00861492" w:rsidRPr="00861492" w:rsidRDefault="00861492" w:rsidP="00861492">
      <w:pPr>
        <w:widowControl/>
        <w:autoSpaceDE/>
        <w:autoSpaceDN/>
        <w:spacing w:before="100" w:beforeAutospacing="1" w:after="100" w:afterAutospacing="1"/>
        <w:rPr>
          <w:rFonts w:asciiTheme="minorHAnsi" w:eastAsia="Times New Roman" w:hAnsiTheme="minorHAnsi" w:cstheme="minorHAnsi"/>
          <w:sz w:val="21"/>
          <w:szCs w:val="21"/>
          <w:lang w:bidi="ar-SA"/>
        </w:rPr>
      </w:pPr>
      <w:r w:rsidRPr="00861492">
        <w:rPr>
          <w:rFonts w:asciiTheme="minorHAnsi" w:eastAsia="Times New Roman" w:hAnsiTheme="minorHAnsi" w:cstheme="minorHAnsi"/>
          <w:sz w:val="21"/>
          <w:szCs w:val="21"/>
          <w:lang w:bidi="ar-SA"/>
        </w:rPr>
        <w:t>Z meziročního pohledu se ceny zvyšují postupně. V srpnu 2024 činila hodnota Indexu 7 157 Kč, o rok dříve 6 868 Kč, v roce 2022 to bylo 6 526 Kč a v roce 2021 dokonce jen 6 488 Kč. Dlouhodobý růst tak odpovídá přirozenému vývoji nákladů v oblasti pojištění.</w:t>
      </w:r>
    </w:p>
    <w:p w14:paraId="3A217517" w14:textId="1266313B" w:rsidR="00563088" w:rsidRPr="005C6C1D" w:rsidRDefault="00717FE9" w:rsidP="00563088">
      <w:pPr>
        <w:spacing w:before="100" w:beforeAutospacing="1" w:after="100" w:afterAutospacing="1"/>
        <w:jc w:val="both"/>
        <w:rPr>
          <w:rFonts w:asciiTheme="minorHAnsi" w:eastAsia="Times New Roman" w:hAnsiTheme="minorHAnsi" w:cstheme="minorHAnsi"/>
          <w:i/>
          <w:lang w:bidi="ar-SA"/>
        </w:rPr>
      </w:pPr>
      <w:r>
        <w:rPr>
          <w:rFonts w:asciiTheme="minorHAnsi" w:eastAsia="Times New Roman" w:hAnsiTheme="minorHAnsi" w:cstheme="minorHAnsi"/>
          <w:i/>
          <w:noProof/>
          <w:lang w:bidi="ar-SA"/>
        </w:rPr>
        <w:drawing>
          <wp:inline distT="0" distB="0" distL="0" distR="0" wp14:anchorId="757B6BFD" wp14:editId="40E456A2">
            <wp:extent cx="6604000" cy="2977041"/>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13">
                      <a:extLst>
                        <a:ext uri="{28A0092B-C50C-407E-A947-70E740481C1C}">
                          <a14:useLocalDpi xmlns:a14="http://schemas.microsoft.com/office/drawing/2010/main" val="0"/>
                        </a:ext>
                      </a:extLst>
                    </a:blip>
                    <a:stretch>
                      <a:fillRect/>
                    </a:stretch>
                  </pic:blipFill>
                  <pic:spPr>
                    <a:xfrm>
                      <a:off x="0" y="0"/>
                      <a:ext cx="6625645" cy="2986799"/>
                    </a:xfrm>
                    <a:prstGeom prst="rect">
                      <a:avLst/>
                    </a:prstGeom>
                  </pic:spPr>
                </pic:pic>
              </a:graphicData>
            </a:graphic>
          </wp:inline>
        </w:drawing>
      </w:r>
    </w:p>
    <w:p w14:paraId="580E3E42" w14:textId="77777777" w:rsidR="00717FE9" w:rsidRDefault="00717FE9" w:rsidP="003059C9">
      <w:pPr>
        <w:pStyle w:val="Nadpis3"/>
        <w:ind w:left="0"/>
        <w:jc w:val="both"/>
        <w:rPr>
          <w:rFonts w:asciiTheme="minorHAnsi" w:hAnsiTheme="minorHAnsi" w:cstheme="minorHAnsi"/>
          <w:b/>
        </w:rPr>
      </w:pPr>
    </w:p>
    <w:p w14:paraId="4E2FFF2F" w14:textId="7D7DA41F" w:rsidR="003059C9" w:rsidRPr="003059C9" w:rsidRDefault="003059C9" w:rsidP="003059C9">
      <w:pPr>
        <w:pStyle w:val="Nadpis3"/>
        <w:ind w:left="0"/>
        <w:jc w:val="both"/>
        <w:rPr>
          <w:rFonts w:asciiTheme="minorHAnsi" w:eastAsia="Times New Roman" w:hAnsiTheme="minorHAnsi" w:cstheme="minorHAnsi"/>
          <w:b/>
          <w:lang w:bidi="ar-SA"/>
        </w:rPr>
      </w:pPr>
      <w:r w:rsidRPr="003059C9">
        <w:rPr>
          <w:rFonts w:asciiTheme="minorHAnsi" w:hAnsiTheme="minorHAnsi" w:cstheme="minorHAnsi"/>
          <w:b/>
        </w:rPr>
        <w:lastRenderedPageBreak/>
        <w:t>Co všechno rozhoduje o ceně povinného ručení</w:t>
      </w:r>
    </w:p>
    <w:p w14:paraId="225D7F73" w14:textId="77777777" w:rsidR="003059C9" w:rsidRPr="003059C9" w:rsidRDefault="003059C9" w:rsidP="003059C9">
      <w:pPr>
        <w:pStyle w:val="Normlnweb"/>
        <w:jc w:val="both"/>
        <w:rPr>
          <w:rFonts w:asciiTheme="minorHAnsi" w:hAnsiTheme="minorHAnsi" w:cstheme="minorHAnsi"/>
          <w:sz w:val="22"/>
          <w:szCs w:val="22"/>
        </w:rPr>
      </w:pPr>
      <w:r w:rsidRPr="003059C9">
        <w:rPr>
          <w:rFonts w:asciiTheme="minorHAnsi" w:hAnsiTheme="minorHAnsi" w:cstheme="minorHAnsi"/>
          <w:sz w:val="22"/>
          <w:szCs w:val="22"/>
        </w:rPr>
        <w:t>Cenu povinného ručení neurčuje jeden faktor, ale souhra celé řady okolností. Pojišťovny berou v úvahu technické parametry vozidla, tedy jeho stáří, výkon, značku i způsob používání. Zároveň přihlížejí k individuálním charakteristikám řidiče, jako je věk, bydliště nebo dosavadní škodní průběh. Jízda bez nehod přináší bonusy, které pojistné snižují, naopak nehody vedou k malusům a výslednou cenu zvyšují.</w:t>
      </w:r>
    </w:p>
    <w:p w14:paraId="41FEB20C" w14:textId="43568E7C" w:rsidR="00BF2B2A" w:rsidRPr="004E16C3" w:rsidRDefault="003059C9" w:rsidP="003059C9">
      <w:pPr>
        <w:pStyle w:val="Normlnweb"/>
        <w:jc w:val="both"/>
        <w:rPr>
          <w:rFonts w:asciiTheme="minorHAnsi" w:hAnsiTheme="minorHAnsi" w:cstheme="minorHAnsi"/>
          <w:b/>
          <w:sz w:val="22"/>
          <w:szCs w:val="22"/>
        </w:rPr>
      </w:pPr>
      <w:r w:rsidRPr="003059C9">
        <w:rPr>
          <w:rFonts w:asciiTheme="minorHAnsi" w:hAnsiTheme="minorHAnsi" w:cstheme="minorHAnsi"/>
          <w:i/>
          <w:sz w:val="22"/>
          <w:szCs w:val="22"/>
        </w:rPr>
        <w:t>„Výši pojistného ovlivňuje kombinace faktorů, z nichž každému klientovi vzniká jeho vlastní rizikový profil. Proto se může stát, že dva lidé se stejným autem zaplatí rozdílné částky. Konkurence na trhu navíc nutí pojišťovny přidávat i něco navíc, ať už jde o asistenční služby, nebo slevy při sjednání více smluv,“</w:t>
      </w:r>
      <w:r>
        <w:rPr>
          <w:rFonts w:asciiTheme="minorHAnsi" w:hAnsiTheme="minorHAnsi" w:cstheme="minorHAnsi"/>
          <w:sz w:val="22"/>
          <w:szCs w:val="22"/>
        </w:rPr>
        <w:t xml:space="preserve"> vysvětluje </w:t>
      </w:r>
      <w:r w:rsidRPr="004E16C3">
        <w:rPr>
          <w:rFonts w:asciiTheme="minorHAnsi" w:hAnsiTheme="minorHAnsi" w:cstheme="minorHAnsi"/>
          <w:b/>
          <w:sz w:val="22"/>
          <w:szCs w:val="22"/>
        </w:rPr>
        <w:t>Jiří Váchal ze společnosti Broker Consulting.</w:t>
      </w:r>
    </w:p>
    <w:p w14:paraId="4E7F8CBF" w14:textId="77777777" w:rsidR="00B20F7B" w:rsidRPr="00AD79CC" w:rsidRDefault="00B20F7B" w:rsidP="00342E0B">
      <w:pPr>
        <w:pBdr>
          <w:top w:val="single" w:sz="4" w:space="1" w:color="auto"/>
        </w:pBdr>
        <w:spacing w:before="120"/>
        <w:jc w:val="both"/>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342E0B">
      <w:pPr>
        <w:pStyle w:val="Zkladntext"/>
        <w:spacing w:before="240" w:line="237" w:lineRule="auto"/>
        <w:jc w:val="both"/>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w:t>
      </w:r>
      <w:bookmarkStart w:id="0" w:name="_GoBack"/>
      <w:bookmarkEnd w:id="0"/>
      <w:r w:rsidRPr="00AD79CC">
        <w:rPr>
          <w:rFonts w:asciiTheme="minorHAnsi" w:hAnsiTheme="minorHAnsi" w:cstheme="minorHAnsi"/>
          <w:sz w:val="21"/>
          <w:szCs w:val="21"/>
        </w:rPr>
        <w:t xml:space="preserve">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10097972" w14:textId="6F8C2698" w:rsidR="00342E0B" w:rsidRDefault="00B24DBE" w:rsidP="00AD2933">
      <w:pPr>
        <w:rPr>
          <w:rFonts w:asciiTheme="minorHAnsi" w:hAnsiTheme="minorHAnsi" w:cstheme="minorHAnsi"/>
          <w:color w:val="1D1D1B"/>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hyperlink r:id="rId14" w:history="1">
        <w:r w:rsidR="00342E0B" w:rsidRPr="00C3366E">
          <w:rPr>
            <w:rStyle w:val="Hypertextovodkaz"/>
            <w:rFonts w:asciiTheme="minorHAnsi" w:hAnsiTheme="minorHAnsi" w:cstheme="minorHAnsi"/>
            <w:w w:val="105"/>
            <w:sz w:val="21"/>
            <w:szCs w:val="21"/>
          </w:rPr>
          <w:t>https://bcas.cz/pro-media/detail-indexu-broker-consulting-povindex</w:t>
        </w:r>
      </w:hyperlink>
    </w:p>
    <w:p w14:paraId="6C52618D" w14:textId="64258FC6" w:rsidR="00B24DBE" w:rsidRPr="00AD79CC" w:rsidRDefault="00BB27FC" w:rsidP="00AD2933">
      <w:pPr>
        <w:rPr>
          <w:rStyle w:val="Hypertextovodkaz"/>
          <w:rFonts w:asciiTheme="minorHAnsi" w:hAnsiTheme="minorHAnsi" w:cstheme="minorHAnsi"/>
          <w:w w:val="105"/>
          <w:sz w:val="21"/>
          <w:szCs w:val="21"/>
        </w:rPr>
      </w:pPr>
      <w:r w:rsidRPr="00AD79CC">
        <w:rPr>
          <w:rFonts w:asciiTheme="minorHAnsi" w:hAnsiTheme="minorHAnsi" w:cstheme="minorHAnsi"/>
          <w:b/>
          <w:i/>
          <w:w w:val="105"/>
          <w:sz w:val="21"/>
          <w:szCs w:val="21"/>
        </w:rPr>
        <w:fldChar w:fldCharType="begin"/>
      </w:r>
      <w:r w:rsidRPr="00AD79CC">
        <w:rPr>
          <w:rFonts w:asciiTheme="minorHAnsi" w:hAnsiTheme="minorHAnsi" w:cstheme="minorHAnsi"/>
          <w:b/>
          <w:i/>
          <w:w w:val="105"/>
          <w:sz w:val="21"/>
          <w:szCs w:val="21"/>
        </w:rPr>
        <w:instrText xml:space="preserve"> HYPERLINK "https://www.bcas.cz/o-nas/broker-consulting-povindex/" </w:instrText>
      </w:r>
      <w:r w:rsidRPr="00AD79CC">
        <w:rPr>
          <w:rFonts w:asciiTheme="minorHAnsi" w:hAnsiTheme="minorHAnsi" w:cstheme="minorHAnsi"/>
          <w:b/>
          <w:i/>
          <w:w w:val="105"/>
          <w:sz w:val="21"/>
          <w:szCs w:val="21"/>
        </w:rPr>
        <w:fldChar w:fldCharType="separate"/>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5"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6"/>
      <w:footerReference w:type="default" r:id="rId17"/>
      <w:headerReference w:type="first" r:id="rId18"/>
      <w:footerReference w:type="first" r:id="rId19"/>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F9CAF" w14:textId="77777777" w:rsidR="003D1AFF" w:rsidRDefault="003D1AFF">
      <w:r>
        <w:separator/>
      </w:r>
    </w:p>
  </w:endnote>
  <w:endnote w:type="continuationSeparator" w:id="0">
    <w:p w14:paraId="53B7B3CD" w14:textId="77777777" w:rsidR="003D1AFF" w:rsidRDefault="003D1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21F8F8CD"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342E0B">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3D1AFF">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03C30" w14:textId="77777777" w:rsidR="003D1AFF" w:rsidRDefault="003D1AFF">
      <w:r>
        <w:separator/>
      </w:r>
    </w:p>
  </w:footnote>
  <w:footnote w:type="continuationSeparator" w:id="0">
    <w:p w14:paraId="24B4D90F" w14:textId="77777777" w:rsidR="003D1AFF" w:rsidRDefault="003D1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2E2F"/>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3099"/>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37"/>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539C"/>
    <w:rsid w:val="0012713E"/>
    <w:rsid w:val="0013044E"/>
    <w:rsid w:val="00131F7B"/>
    <w:rsid w:val="001338F6"/>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5FC"/>
    <w:rsid w:val="00194628"/>
    <w:rsid w:val="00194A47"/>
    <w:rsid w:val="00197408"/>
    <w:rsid w:val="00197411"/>
    <w:rsid w:val="00197AF4"/>
    <w:rsid w:val="00197DE5"/>
    <w:rsid w:val="001A04EE"/>
    <w:rsid w:val="001A210B"/>
    <w:rsid w:val="001A269A"/>
    <w:rsid w:val="001A4DDB"/>
    <w:rsid w:val="001A54DD"/>
    <w:rsid w:val="001A6282"/>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0F71"/>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20DC"/>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4AC0"/>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09FF"/>
    <w:rsid w:val="00301660"/>
    <w:rsid w:val="00302322"/>
    <w:rsid w:val="00302AE6"/>
    <w:rsid w:val="00303223"/>
    <w:rsid w:val="00303BCE"/>
    <w:rsid w:val="00303C85"/>
    <w:rsid w:val="0030477F"/>
    <w:rsid w:val="003059C9"/>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2E0B"/>
    <w:rsid w:val="003434AD"/>
    <w:rsid w:val="003450E1"/>
    <w:rsid w:val="00345D3E"/>
    <w:rsid w:val="003466B5"/>
    <w:rsid w:val="003473B3"/>
    <w:rsid w:val="00347557"/>
    <w:rsid w:val="003504FD"/>
    <w:rsid w:val="00352433"/>
    <w:rsid w:val="0035286E"/>
    <w:rsid w:val="00352D61"/>
    <w:rsid w:val="00354DBF"/>
    <w:rsid w:val="00356FFC"/>
    <w:rsid w:val="00357D66"/>
    <w:rsid w:val="00361C2E"/>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5CF9"/>
    <w:rsid w:val="003A76E8"/>
    <w:rsid w:val="003A7C59"/>
    <w:rsid w:val="003A7C9A"/>
    <w:rsid w:val="003B08AC"/>
    <w:rsid w:val="003B2C75"/>
    <w:rsid w:val="003B4B9E"/>
    <w:rsid w:val="003B54D9"/>
    <w:rsid w:val="003B612F"/>
    <w:rsid w:val="003B7BFE"/>
    <w:rsid w:val="003C0030"/>
    <w:rsid w:val="003C1497"/>
    <w:rsid w:val="003C42F9"/>
    <w:rsid w:val="003C4D4B"/>
    <w:rsid w:val="003C7C52"/>
    <w:rsid w:val="003D03A6"/>
    <w:rsid w:val="003D07A2"/>
    <w:rsid w:val="003D1AFF"/>
    <w:rsid w:val="003D2590"/>
    <w:rsid w:val="003D2711"/>
    <w:rsid w:val="003D2CAC"/>
    <w:rsid w:val="003D2EF0"/>
    <w:rsid w:val="003D386F"/>
    <w:rsid w:val="003D405C"/>
    <w:rsid w:val="003D43DB"/>
    <w:rsid w:val="003D4C73"/>
    <w:rsid w:val="003D556B"/>
    <w:rsid w:val="003D5718"/>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40B"/>
    <w:rsid w:val="00437639"/>
    <w:rsid w:val="004407C2"/>
    <w:rsid w:val="004413A6"/>
    <w:rsid w:val="004418DE"/>
    <w:rsid w:val="00441D22"/>
    <w:rsid w:val="00444BB9"/>
    <w:rsid w:val="00445D0A"/>
    <w:rsid w:val="00447E56"/>
    <w:rsid w:val="00447F18"/>
    <w:rsid w:val="004504BC"/>
    <w:rsid w:val="00453482"/>
    <w:rsid w:val="00453762"/>
    <w:rsid w:val="00453CFE"/>
    <w:rsid w:val="004560F3"/>
    <w:rsid w:val="004571D6"/>
    <w:rsid w:val="00457E45"/>
    <w:rsid w:val="0046325B"/>
    <w:rsid w:val="00463570"/>
    <w:rsid w:val="00465961"/>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0C72"/>
    <w:rsid w:val="004A1F27"/>
    <w:rsid w:val="004A245D"/>
    <w:rsid w:val="004A2D42"/>
    <w:rsid w:val="004A2E7A"/>
    <w:rsid w:val="004A3A91"/>
    <w:rsid w:val="004A557B"/>
    <w:rsid w:val="004A6125"/>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16C3"/>
    <w:rsid w:val="004E207F"/>
    <w:rsid w:val="004E3877"/>
    <w:rsid w:val="004E4203"/>
    <w:rsid w:val="004E42A8"/>
    <w:rsid w:val="004E44A2"/>
    <w:rsid w:val="004E6864"/>
    <w:rsid w:val="004E7863"/>
    <w:rsid w:val="004F07BC"/>
    <w:rsid w:val="004F0D7B"/>
    <w:rsid w:val="004F0DC0"/>
    <w:rsid w:val="004F1CA3"/>
    <w:rsid w:val="004F2548"/>
    <w:rsid w:val="004F43C7"/>
    <w:rsid w:val="004F5BEC"/>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34F82"/>
    <w:rsid w:val="00540002"/>
    <w:rsid w:val="00540A5E"/>
    <w:rsid w:val="00543BFB"/>
    <w:rsid w:val="00543F98"/>
    <w:rsid w:val="00544A6F"/>
    <w:rsid w:val="00544F68"/>
    <w:rsid w:val="00545CF4"/>
    <w:rsid w:val="00547816"/>
    <w:rsid w:val="00552CC5"/>
    <w:rsid w:val="005541A6"/>
    <w:rsid w:val="005546DD"/>
    <w:rsid w:val="00555E73"/>
    <w:rsid w:val="005613E9"/>
    <w:rsid w:val="00561757"/>
    <w:rsid w:val="00561997"/>
    <w:rsid w:val="00562CA8"/>
    <w:rsid w:val="00562DBA"/>
    <w:rsid w:val="00563088"/>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1EE0"/>
    <w:rsid w:val="005A22B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C6C1D"/>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5F3678"/>
    <w:rsid w:val="00601F8F"/>
    <w:rsid w:val="006033BD"/>
    <w:rsid w:val="006056A4"/>
    <w:rsid w:val="00605C99"/>
    <w:rsid w:val="00605FAF"/>
    <w:rsid w:val="00606B19"/>
    <w:rsid w:val="00606FBC"/>
    <w:rsid w:val="006070F0"/>
    <w:rsid w:val="00612B3B"/>
    <w:rsid w:val="006156DC"/>
    <w:rsid w:val="00623B26"/>
    <w:rsid w:val="00624C21"/>
    <w:rsid w:val="00625503"/>
    <w:rsid w:val="00627876"/>
    <w:rsid w:val="00630C55"/>
    <w:rsid w:val="0063340F"/>
    <w:rsid w:val="00633924"/>
    <w:rsid w:val="00633DC6"/>
    <w:rsid w:val="00633FA8"/>
    <w:rsid w:val="006340BB"/>
    <w:rsid w:val="00636B42"/>
    <w:rsid w:val="00637399"/>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7001E0"/>
    <w:rsid w:val="00702C82"/>
    <w:rsid w:val="00704089"/>
    <w:rsid w:val="007123C2"/>
    <w:rsid w:val="0071316F"/>
    <w:rsid w:val="007136E6"/>
    <w:rsid w:val="00717FE9"/>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5FE"/>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49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B29"/>
    <w:rsid w:val="00882EAC"/>
    <w:rsid w:val="008838E4"/>
    <w:rsid w:val="008838E8"/>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4A9"/>
    <w:rsid w:val="008D368D"/>
    <w:rsid w:val="008D4344"/>
    <w:rsid w:val="008D4839"/>
    <w:rsid w:val="008D5A5C"/>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5E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32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2667"/>
    <w:rsid w:val="009E2B4E"/>
    <w:rsid w:val="009E3060"/>
    <w:rsid w:val="009E317D"/>
    <w:rsid w:val="009E4188"/>
    <w:rsid w:val="009E561A"/>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1322"/>
    <w:rsid w:val="00A4441D"/>
    <w:rsid w:val="00A477F8"/>
    <w:rsid w:val="00A51DB8"/>
    <w:rsid w:val="00A526C9"/>
    <w:rsid w:val="00A52E40"/>
    <w:rsid w:val="00A553F8"/>
    <w:rsid w:val="00A577B7"/>
    <w:rsid w:val="00A644DF"/>
    <w:rsid w:val="00A661EE"/>
    <w:rsid w:val="00A672EA"/>
    <w:rsid w:val="00A67865"/>
    <w:rsid w:val="00A706DB"/>
    <w:rsid w:val="00A71413"/>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864"/>
    <w:rsid w:val="00B64945"/>
    <w:rsid w:val="00B6512E"/>
    <w:rsid w:val="00B65A3B"/>
    <w:rsid w:val="00B67429"/>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1D03"/>
    <w:rsid w:val="00BF2980"/>
    <w:rsid w:val="00BF2B2A"/>
    <w:rsid w:val="00BF3B93"/>
    <w:rsid w:val="00BF3C3D"/>
    <w:rsid w:val="00BF4FA6"/>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2C7C"/>
    <w:rsid w:val="00C35BFC"/>
    <w:rsid w:val="00C36244"/>
    <w:rsid w:val="00C362AF"/>
    <w:rsid w:val="00C36818"/>
    <w:rsid w:val="00C36AC8"/>
    <w:rsid w:val="00C36C63"/>
    <w:rsid w:val="00C36E73"/>
    <w:rsid w:val="00C40157"/>
    <w:rsid w:val="00C41064"/>
    <w:rsid w:val="00C411A0"/>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A6A04"/>
    <w:rsid w:val="00CB057E"/>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0AC1"/>
    <w:rsid w:val="00CE220A"/>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2745A"/>
    <w:rsid w:val="00D31127"/>
    <w:rsid w:val="00D31386"/>
    <w:rsid w:val="00D31FA8"/>
    <w:rsid w:val="00D3396D"/>
    <w:rsid w:val="00D3397B"/>
    <w:rsid w:val="00D3569B"/>
    <w:rsid w:val="00D35A90"/>
    <w:rsid w:val="00D36065"/>
    <w:rsid w:val="00D36130"/>
    <w:rsid w:val="00D40D11"/>
    <w:rsid w:val="00D423AD"/>
    <w:rsid w:val="00D44899"/>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B7E2F"/>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0121"/>
    <w:rsid w:val="00E515C8"/>
    <w:rsid w:val="00E53945"/>
    <w:rsid w:val="00E54C6F"/>
    <w:rsid w:val="00E55682"/>
    <w:rsid w:val="00E5639B"/>
    <w:rsid w:val="00E57D1A"/>
    <w:rsid w:val="00E608E3"/>
    <w:rsid w:val="00E60E78"/>
    <w:rsid w:val="00E63C9B"/>
    <w:rsid w:val="00E669EF"/>
    <w:rsid w:val="00E67800"/>
    <w:rsid w:val="00E70E9A"/>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5B80"/>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E7E52"/>
    <w:rsid w:val="00EF1568"/>
    <w:rsid w:val="00EF56AC"/>
    <w:rsid w:val="00EF5EE0"/>
    <w:rsid w:val="00EF62F8"/>
    <w:rsid w:val="00F0275F"/>
    <w:rsid w:val="00F02779"/>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47F87"/>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0559"/>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3609"/>
    <w:rsid w:val="00FB551F"/>
    <w:rsid w:val="00FB6C4F"/>
    <w:rsid w:val="00FB7593"/>
    <w:rsid w:val="00FC1254"/>
    <w:rsid w:val="00FC33AA"/>
    <w:rsid w:val="00FC5217"/>
    <w:rsid w:val="00FC5EE8"/>
    <w:rsid w:val="00FD08A6"/>
    <w:rsid w:val="00FD20D1"/>
    <w:rsid w:val="00FD37BD"/>
    <w:rsid w:val="00FD5578"/>
    <w:rsid w:val="00FD783F"/>
    <w:rsid w:val="00FE189D"/>
    <w:rsid w:val="00FE28BC"/>
    <w:rsid w:val="00FE3A27"/>
    <w:rsid w:val="00FE6591"/>
    <w:rsid w:val="00FE6DB7"/>
    <w:rsid w:val="00FE7E9A"/>
    <w:rsid w:val="00FF07DB"/>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29826944">
      <w:bodyDiv w:val="1"/>
      <w:marLeft w:val="0"/>
      <w:marRight w:val="0"/>
      <w:marTop w:val="0"/>
      <w:marBottom w:val="0"/>
      <w:divBdr>
        <w:top w:val="none" w:sz="0" w:space="0" w:color="auto"/>
        <w:left w:val="none" w:sz="0" w:space="0" w:color="auto"/>
        <w:bottom w:val="none" w:sz="0" w:space="0" w:color="auto"/>
        <w:right w:val="none" w:sz="0" w:space="0" w:color="auto"/>
      </w:divBdr>
      <w:divsChild>
        <w:div w:id="354383267">
          <w:marLeft w:val="0"/>
          <w:marRight w:val="0"/>
          <w:marTop w:val="0"/>
          <w:marBottom w:val="0"/>
          <w:divBdr>
            <w:top w:val="none" w:sz="0" w:space="0" w:color="auto"/>
            <w:left w:val="none" w:sz="0" w:space="0" w:color="auto"/>
            <w:bottom w:val="none" w:sz="0" w:space="0" w:color="auto"/>
            <w:right w:val="none" w:sz="0" w:space="0" w:color="auto"/>
          </w:divBdr>
          <w:divsChild>
            <w:div w:id="335231588">
              <w:marLeft w:val="0"/>
              <w:marRight w:val="0"/>
              <w:marTop w:val="0"/>
              <w:marBottom w:val="0"/>
              <w:divBdr>
                <w:top w:val="none" w:sz="0" w:space="0" w:color="auto"/>
                <w:left w:val="none" w:sz="0" w:space="0" w:color="auto"/>
                <w:bottom w:val="none" w:sz="0" w:space="0" w:color="auto"/>
                <w:right w:val="none" w:sz="0" w:space="0" w:color="auto"/>
              </w:divBdr>
              <w:divsChild>
                <w:div w:id="1272592030">
                  <w:marLeft w:val="0"/>
                  <w:marRight w:val="0"/>
                  <w:marTop w:val="0"/>
                  <w:marBottom w:val="0"/>
                  <w:divBdr>
                    <w:top w:val="none" w:sz="0" w:space="0" w:color="auto"/>
                    <w:left w:val="none" w:sz="0" w:space="0" w:color="auto"/>
                    <w:bottom w:val="none" w:sz="0" w:space="0" w:color="auto"/>
                    <w:right w:val="none" w:sz="0" w:space="0" w:color="auto"/>
                  </w:divBdr>
                  <w:divsChild>
                    <w:div w:id="1057626299">
                      <w:marLeft w:val="0"/>
                      <w:marRight w:val="0"/>
                      <w:marTop w:val="0"/>
                      <w:marBottom w:val="0"/>
                      <w:divBdr>
                        <w:top w:val="none" w:sz="0" w:space="0" w:color="auto"/>
                        <w:left w:val="none" w:sz="0" w:space="0" w:color="auto"/>
                        <w:bottom w:val="none" w:sz="0" w:space="0" w:color="auto"/>
                        <w:right w:val="none" w:sz="0" w:space="0" w:color="auto"/>
                      </w:divBdr>
                      <w:divsChild>
                        <w:div w:id="817649838">
                          <w:marLeft w:val="0"/>
                          <w:marRight w:val="0"/>
                          <w:marTop w:val="0"/>
                          <w:marBottom w:val="0"/>
                          <w:divBdr>
                            <w:top w:val="none" w:sz="0" w:space="0" w:color="auto"/>
                            <w:left w:val="none" w:sz="0" w:space="0" w:color="auto"/>
                            <w:bottom w:val="none" w:sz="0" w:space="0" w:color="auto"/>
                            <w:right w:val="none" w:sz="0" w:space="0" w:color="auto"/>
                          </w:divBdr>
                          <w:divsChild>
                            <w:div w:id="699859903">
                              <w:marLeft w:val="0"/>
                              <w:marRight w:val="0"/>
                              <w:marTop w:val="0"/>
                              <w:marBottom w:val="0"/>
                              <w:divBdr>
                                <w:top w:val="none" w:sz="0" w:space="0" w:color="auto"/>
                                <w:left w:val="none" w:sz="0" w:space="0" w:color="auto"/>
                                <w:bottom w:val="none" w:sz="0" w:space="0" w:color="auto"/>
                                <w:right w:val="none" w:sz="0" w:space="0" w:color="auto"/>
                              </w:divBdr>
                              <w:divsChild>
                                <w:div w:id="814101609">
                                  <w:marLeft w:val="0"/>
                                  <w:marRight w:val="0"/>
                                  <w:marTop w:val="0"/>
                                  <w:marBottom w:val="0"/>
                                  <w:divBdr>
                                    <w:top w:val="none" w:sz="0" w:space="0" w:color="auto"/>
                                    <w:left w:val="none" w:sz="0" w:space="0" w:color="auto"/>
                                    <w:bottom w:val="none" w:sz="0" w:space="0" w:color="auto"/>
                                    <w:right w:val="none" w:sz="0" w:space="0" w:color="auto"/>
                                  </w:divBdr>
                                  <w:divsChild>
                                    <w:div w:id="1296762244">
                                      <w:marLeft w:val="0"/>
                                      <w:marRight w:val="0"/>
                                      <w:marTop w:val="0"/>
                                      <w:marBottom w:val="0"/>
                                      <w:divBdr>
                                        <w:top w:val="none" w:sz="0" w:space="0" w:color="auto"/>
                                        <w:left w:val="none" w:sz="0" w:space="0" w:color="auto"/>
                                        <w:bottom w:val="none" w:sz="0" w:space="0" w:color="auto"/>
                                        <w:right w:val="none" w:sz="0" w:space="0" w:color="auto"/>
                                      </w:divBdr>
                                      <w:divsChild>
                                        <w:div w:id="950822681">
                                          <w:marLeft w:val="0"/>
                                          <w:marRight w:val="0"/>
                                          <w:marTop w:val="0"/>
                                          <w:marBottom w:val="0"/>
                                          <w:divBdr>
                                            <w:top w:val="none" w:sz="0" w:space="0" w:color="auto"/>
                                            <w:left w:val="none" w:sz="0" w:space="0" w:color="auto"/>
                                            <w:bottom w:val="none" w:sz="0" w:space="0" w:color="auto"/>
                                            <w:right w:val="none" w:sz="0" w:space="0" w:color="auto"/>
                                          </w:divBdr>
                                          <w:divsChild>
                                            <w:div w:id="6597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154535961">
      <w:bodyDiv w:val="1"/>
      <w:marLeft w:val="0"/>
      <w:marRight w:val="0"/>
      <w:marTop w:val="0"/>
      <w:marBottom w:val="0"/>
      <w:divBdr>
        <w:top w:val="none" w:sz="0" w:space="0" w:color="auto"/>
        <w:left w:val="none" w:sz="0" w:space="0" w:color="auto"/>
        <w:bottom w:val="none" w:sz="0" w:space="0" w:color="auto"/>
        <w:right w:val="none" w:sz="0" w:space="0" w:color="auto"/>
      </w:divBdr>
    </w:div>
    <w:div w:id="165484436">
      <w:bodyDiv w:val="1"/>
      <w:marLeft w:val="0"/>
      <w:marRight w:val="0"/>
      <w:marTop w:val="0"/>
      <w:marBottom w:val="0"/>
      <w:divBdr>
        <w:top w:val="none" w:sz="0" w:space="0" w:color="auto"/>
        <w:left w:val="none" w:sz="0" w:space="0" w:color="auto"/>
        <w:bottom w:val="none" w:sz="0" w:space="0" w:color="auto"/>
        <w:right w:val="none" w:sz="0" w:space="0" w:color="auto"/>
      </w:divBdr>
    </w:div>
    <w:div w:id="209344331">
      <w:bodyDiv w:val="1"/>
      <w:marLeft w:val="0"/>
      <w:marRight w:val="0"/>
      <w:marTop w:val="0"/>
      <w:marBottom w:val="0"/>
      <w:divBdr>
        <w:top w:val="none" w:sz="0" w:space="0" w:color="auto"/>
        <w:left w:val="none" w:sz="0" w:space="0" w:color="auto"/>
        <w:bottom w:val="none" w:sz="0" w:space="0" w:color="auto"/>
        <w:right w:val="none" w:sz="0" w:space="0" w:color="auto"/>
      </w:divBdr>
    </w:div>
    <w:div w:id="211112149">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80915848">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6002660">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10137983">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36415316">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36518109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00998809">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02373042">
      <w:bodyDiv w:val="1"/>
      <w:marLeft w:val="0"/>
      <w:marRight w:val="0"/>
      <w:marTop w:val="0"/>
      <w:marBottom w:val="0"/>
      <w:divBdr>
        <w:top w:val="none" w:sz="0" w:space="0" w:color="auto"/>
        <w:left w:val="none" w:sz="0" w:space="0" w:color="auto"/>
        <w:bottom w:val="none" w:sz="0" w:space="0" w:color="auto"/>
        <w:right w:val="none" w:sz="0" w:space="0" w:color="auto"/>
      </w:divBdr>
    </w:div>
    <w:div w:id="1643000407">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company/1066815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kpointy/" TargetMode="External"/><Relationship Id="rId5" Type="http://schemas.openxmlformats.org/officeDocument/2006/relationships/webSettings" Target="webSettings.xml"/><Relationship Id="rId15" Type="http://schemas.openxmlformats.org/officeDocument/2006/relationships/hyperlink" Target="mailto:lenka.kuzelova@bcas.cz" TargetMode="External"/><Relationship Id="rId10" Type="http://schemas.openxmlformats.org/officeDocument/2006/relationships/hyperlink" Target="https://www.linkedin.com/company/78654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cebook.com/Broker.Consulting/" TargetMode="External"/><Relationship Id="rId14" Type="http://schemas.openxmlformats.org/officeDocument/2006/relationships/hyperlink" Target="https://bcas.cz/pro-media/detail-indexu-broker-consulting-povinde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F72D7-2510-426B-B99A-926132B4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944</Words>
  <Characters>5571</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10</cp:revision>
  <dcterms:created xsi:type="dcterms:W3CDTF">2025-09-18T11:33:00Z</dcterms:created>
  <dcterms:modified xsi:type="dcterms:W3CDTF">2025-09-24T06:34:00Z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