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8F2F7F">
      <w:pPr>
        <w:pStyle w:val="Zkladntext"/>
        <w:ind w:left="100"/>
        <w:rPr>
          <w:rFonts w:ascii="Times New Roman"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984885</wp:posOffset>
            </wp:positionV>
            <wp:extent cx="3239770" cy="323977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jc w:val="center"/>
        <w:rPr>
          <w:rFonts w:asciiTheme="minorHAnsi" w:eastAsia="Times New Roman" w:hAnsiTheme="minorHAnsi" w:cstheme="minorHAnsi"/>
          <w:b/>
        </w:rPr>
      </w:pPr>
    </w:p>
    <w:p w:rsidR="003E31A1" w:rsidRPr="009D5CEC" w:rsidRDefault="008F2F7F" w:rsidP="003E31A1">
      <w:pPr>
        <w:spacing w:after="240" w:line="276" w:lineRule="auto"/>
        <w:jc w:val="center"/>
        <w:rPr>
          <w:rStyle w:val="Siln"/>
          <w:rFonts w:ascii="Arial" w:hAnsi="Arial" w:cs="Arial"/>
          <w:b w:val="0"/>
          <w:color w:val="000000"/>
          <w:sz w:val="44"/>
          <w:szCs w:val="44"/>
          <w:lang w:val="cs-CZ"/>
        </w:rPr>
      </w:pPr>
      <w:r w:rsidRPr="009D5CEC">
        <w:rPr>
          <w:rFonts w:ascii="Arial" w:eastAsia="Times New Roman" w:hAnsi="Arial" w:cs="Arial"/>
          <w:b/>
          <w:sz w:val="44"/>
          <w:szCs w:val="44"/>
          <w:lang w:val="cs-CZ"/>
        </w:rPr>
        <w:t>MARTIN NOVÁK</w:t>
      </w:r>
    </w:p>
    <w:p w:rsidR="003E31A1" w:rsidRPr="009D5CEC" w:rsidRDefault="00BA532F" w:rsidP="00BA532F">
      <w:pPr>
        <w:pStyle w:val="Normlnweb"/>
        <w:spacing w:before="0" w:beforeAutospacing="0" w:after="225" w:afterAutospacing="0"/>
        <w:jc w:val="center"/>
        <w:rPr>
          <w:rFonts w:ascii="Arial" w:hAnsi="Arial" w:cs="Arial"/>
          <w:b/>
          <w:i/>
          <w:sz w:val="22"/>
          <w:szCs w:val="22"/>
        </w:rPr>
      </w:pPr>
      <w:r w:rsidRPr="009D5CEC">
        <w:rPr>
          <w:rFonts w:ascii="Arial" w:eastAsia="Times New Roman" w:hAnsi="Arial" w:cs="Arial"/>
          <w:b/>
          <w:i/>
          <w:color w:val="222222"/>
          <w:sz w:val="22"/>
          <w:szCs w:val="22"/>
        </w:rPr>
        <w:t xml:space="preserve">hlavní analytik a </w:t>
      </w:r>
      <w:r w:rsidRPr="009D5CEC">
        <w:rPr>
          <w:rFonts w:ascii="Arial" w:hAnsi="Arial" w:cs="Arial"/>
          <w:b/>
          <w:i/>
          <w:sz w:val="22"/>
          <w:szCs w:val="22"/>
        </w:rPr>
        <w:t xml:space="preserve">vedoucí oddělení produktového managementu společnosti Broker </w:t>
      </w:r>
      <w:proofErr w:type="spellStart"/>
      <w:r w:rsidRPr="009D5CEC">
        <w:rPr>
          <w:rFonts w:ascii="Arial" w:hAnsi="Arial" w:cs="Arial"/>
          <w:b/>
          <w:i/>
          <w:sz w:val="22"/>
          <w:szCs w:val="22"/>
        </w:rPr>
        <w:t>Consulting</w:t>
      </w:r>
      <w:proofErr w:type="spellEnd"/>
    </w:p>
    <w:p w:rsidR="00BA532F" w:rsidRPr="009D5CEC" w:rsidRDefault="00BA532F" w:rsidP="00BA532F">
      <w:pPr>
        <w:pStyle w:val="Normlnweb"/>
        <w:spacing w:before="0" w:beforeAutospacing="0" w:after="225" w:afterAutospacing="0"/>
        <w:jc w:val="center"/>
        <w:rPr>
          <w:rFonts w:ascii="Arial" w:hAnsi="Arial" w:cs="Arial"/>
          <w:b/>
          <w:i/>
          <w:sz w:val="22"/>
          <w:szCs w:val="22"/>
        </w:rPr>
      </w:pPr>
    </w:p>
    <w:p w:rsidR="008F2F7F" w:rsidRPr="009D5CEC" w:rsidRDefault="008F2F7F" w:rsidP="00EC2598">
      <w:pPr>
        <w:spacing w:line="360" w:lineRule="auto"/>
        <w:jc w:val="both"/>
        <w:rPr>
          <w:rFonts w:ascii="Arial" w:eastAsia="Times New Roman" w:hAnsi="Arial" w:cs="Arial"/>
          <w:sz w:val="24"/>
          <w:lang w:val="cs-CZ"/>
        </w:rPr>
      </w:pPr>
      <w:r w:rsidRPr="009D5CEC">
        <w:rPr>
          <w:rFonts w:ascii="Arial" w:eastAsia="Times New Roman" w:hAnsi="Arial" w:cs="Arial"/>
          <w:sz w:val="24"/>
          <w:lang w:val="cs-CZ"/>
        </w:rPr>
        <w:t xml:space="preserve">V poradenské společnosti Broker </w:t>
      </w:r>
      <w:proofErr w:type="spellStart"/>
      <w:r w:rsidRPr="009D5CEC">
        <w:rPr>
          <w:rFonts w:ascii="Arial" w:eastAsia="Times New Roman" w:hAnsi="Arial" w:cs="Arial"/>
          <w:sz w:val="24"/>
          <w:lang w:val="cs-CZ"/>
        </w:rPr>
        <w:t>Consulting</w:t>
      </w:r>
      <w:proofErr w:type="spellEnd"/>
      <w:r w:rsidRPr="009D5CEC">
        <w:rPr>
          <w:rFonts w:ascii="Arial" w:eastAsia="Times New Roman" w:hAnsi="Arial" w:cs="Arial"/>
          <w:sz w:val="24"/>
          <w:lang w:val="cs-CZ"/>
        </w:rPr>
        <w:t xml:space="preserve"> působí od roku 2013, kdy nastoupil na pozici analytika na zajištěné a nezajištěné úvěry a bankovní služby. V roce 2015 se přesunul na pozici investičního analytika, o rok později se stal senior analytikem společnosti. Jako hlavní analytik Broker </w:t>
      </w:r>
      <w:proofErr w:type="spellStart"/>
      <w:r w:rsidRPr="009D5CEC">
        <w:rPr>
          <w:rFonts w:ascii="Arial" w:eastAsia="Times New Roman" w:hAnsi="Arial" w:cs="Arial"/>
          <w:sz w:val="24"/>
          <w:lang w:val="cs-CZ"/>
        </w:rPr>
        <w:t>Consulting</w:t>
      </w:r>
      <w:proofErr w:type="spellEnd"/>
      <w:r w:rsidRPr="009D5CEC">
        <w:rPr>
          <w:rFonts w:ascii="Arial" w:eastAsia="Times New Roman" w:hAnsi="Arial" w:cs="Arial"/>
          <w:sz w:val="24"/>
          <w:lang w:val="cs-CZ"/>
        </w:rPr>
        <w:t xml:space="preserve"> působí od počátku roku 2019, od letoška je také vedoucím oddělení produktového managementu. Je zodpovědný za podporu prodeje obchodní sítě společnosti a její franšízové sítě OK POINT a pravidelně se též věnuje školení a edukaci finančních konzultantů. V Broker </w:t>
      </w:r>
      <w:proofErr w:type="spellStart"/>
      <w:r w:rsidRPr="009D5CEC">
        <w:rPr>
          <w:rFonts w:ascii="Arial" w:eastAsia="Times New Roman" w:hAnsi="Arial" w:cs="Arial"/>
          <w:sz w:val="24"/>
          <w:lang w:val="cs-CZ"/>
        </w:rPr>
        <w:t>Consulting</w:t>
      </w:r>
      <w:proofErr w:type="spellEnd"/>
      <w:r w:rsidRPr="009D5CEC">
        <w:rPr>
          <w:rFonts w:ascii="Arial" w:eastAsia="Times New Roman" w:hAnsi="Arial" w:cs="Arial"/>
          <w:sz w:val="24"/>
          <w:lang w:val="cs-CZ"/>
        </w:rPr>
        <w:t xml:space="preserve"> působí i jako předseda etické komise a člen legislativní komise. Svou profesní dráhu zahájil v roce 2010 v České spořitelně jako specialista OPS III. Absolvoval Národohospodářskou fakultu na Vysoké škole ekonomické v Praze.  </w:t>
      </w:r>
      <w:bookmarkStart w:id="0" w:name="_GoBack"/>
      <w:bookmarkEnd w:id="0"/>
    </w:p>
    <w:p w:rsidR="003E31A1" w:rsidRDefault="003E31A1">
      <w:pPr>
        <w:tabs>
          <w:tab w:val="left" w:pos="9478"/>
        </w:tabs>
        <w:spacing w:before="94"/>
        <w:ind w:left="4950"/>
      </w:pPr>
    </w:p>
    <w:p w:rsidR="001D17B4" w:rsidRDefault="001D17B4" w:rsidP="003E31A1">
      <w:pPr>
        <w:tabs>
          <w:tab w:val="left" w:pos="9478"/>
        </w:tabs>
        <w:spacing w:before="94"/>
        <w:rPr>
          <w:rFonts w:ascii="Arial"/>
          <w:sz w:val="20"/>
        </w:rPr>
      </w:pPr>
    </w:p>
    <w:sectPr w:rsidR="001D17B4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D17B4"/>
    <w:rsid w:val="00256ED7"/>
    <w:rsid w:val="003E31A1"/>
    <w:rsid w:val="0064715F"/>
    <w:rsid w:val="008F2F7F"/>
    <w:rsid w:val="009D5CEC"/>
    <w:rsid w:val="00BA532F"/>
    <w:rsid w:val="00EC2598"/>
    <w:rsid w:val="00F2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  <w:style w:type="paragraph" w:styleId="Normlnweb">
    <w:name w:val="Normal (Web)"/>
    <w:basedOn w:val="Normln"/>
    <w:uiPriority w:val="99"/>
    <w:unhideWhenUsed/>
    <w:rsid w:val="00BA532F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8</cp:revision>
  <dcterms:created xsi:type="dcterms:W3CDTF">2023-03-02T15:09:00Z</dcterms:created>
  <dcterms:modified xsi:type="dcterms:W3CDTF">2023-04-11T09:43:00Z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