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3477F" w14:textId="73DE3A14" w:rsidR="00B712F8" w:rsidRPr="00B712F8" w:rsidRDefault="00B712F8" w:rsidP="00B712F8">
      <w:pPr>
        <w:spacing w:before="230"/>
        <w:jc w:val="center"/>
        <w:rPr>
          <w:rFonts w:asciiTheme="minorHAnsi" w:hAnsiTheme="minorHAnsi" w:cstheme="minorHAnsi"/>
          <w:sz w:val="24"/>
        </w:rPr>
      </w:pPr>
      <w:r w:rsidRPr="00B712F8">
        <w:rPr>
          <w:rFonts w:asciiTheme="minorHAnsi" w:hAnsiTheme="minorHAnsi" w:cstheme="minorHAnsi"/>
          <w:sz w:val="24"/>
        </w:rPr>
        <w:t>INDEX HYPOTEČNÍCH ÚVĚRŮ | FIXINDEX</w:t>
      </w:r>
    </w:p>
    <w:p w14:paraId="60EAB24B" w14:textId="1AA8A38E" w:rsid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PODÍLOVÝCH </w:t>
      </w:r>
    </w:p>
    <w:p w14:paraId="5297514E" w14:textId="27BF137B" w:rsidR="00873067" w:rsidRPr="00B712F8" w:rsidRDefault="00873067" w:rsidP="00B712F8">
      <w:pPr>
        <w:spacing w:before="230"/>
        <w:ind w:left="165"/>
        <w:jc w:val="center"/>
        <w:rPr>
          <w:rFonts w:asciiTheme="minorHAnsi" w:hAnsiTheme="minorHAnsi" w:cstheme="minorHAnsi"/>
          <w:sz w:val="24"/>
        </w:rPr>
      </w:pPr>
      <w:r>
        <w:rPr>
          <w:rFonts w:asciiTheme="minorHAnsi" w:hAnsiTheme="minorHAnsi" w:cstheme="minorHAnsi"/>
          <w:sz w:val="24"/>
        </w:rPr>
        <w:t>REALINDEX</w:t>
      </w:r>
    </w:p>
    <w:p w14:paraId="26DF00A4" w14:textId="285D3435" w:rsidR="00873067" w:rsidRPr="00B712F8" w:rsidRDefault="00B712F8" w:rsidP="00873067">
      <w:pPr>
        <w:spacing w:before="230"/>
        <w:ind w:left="165"/>
        <w:jc w:val="center"/>
        <w:rPr>
          <w:rFonts w:asciiTheme="minorHAnsi" w:hAnsiTheme="minorHAnsi" w:cstheme="minorHAnsi"/>
          <w:b/>
          <w:sz w:val="24"/>
        </w:rPr>
      </w:pPr>
      <w:r w:rsidRPr="00B712F8">
        <w:rPr>
          <w:rFonts w:asciiTheme="minorHAnsi" w:hAnsiTheme="minorHAnsi" w:cstheme="minorHAnsi"/>
          <w:b/>
          <w:sz w:val="24"/>
        </w:rPr>
        <w:t xml:space="preserve">POVINDEX </w:t>
      </w:r>
    </w:p>
    <w:p w14:paraId="35D84D67"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SPOTŘEBITELSKÝCH ÚVĚRŮ  </w:t>
      </w:r>
    </w:p>
    <w:p w14:paraId="461E2AE1" w14:textId="77777777" w:rsidR="00B712F8" w:rsidRPr="005D11F0" w:rsidRDefault="00B712F8" w:rsidP="00B712F8">
      <w:pPr>
        <w:pStyle w:val="Zkladntext"/>
        <w:rPr>
          <w:sz w:val="20"/>
        </w:rPr>
      </w:pPr>
    </w:p>
    <w:p w14:paraId="0E5FD800" w14:textId="77777777" w:rsidR="00B712F8" w:rsidRPr="005D11F0" w:rsidRDefault="00B712F8" w:rsidP="00B712F8">
      <w:pPr>
        <w:pStyle w:val="Zkladntext"/>
        <w:rPr>
          <w:sz w:val="20"/>
        </w:rPr>
      </w:pPr>
      <w:r w:rsidRPr="005D11F0">
        <w:rPr>
          <w:noProof/>
          <w:sz w:val="20"/>
          <w:lang w:bidi="ar-SA"/>
        </w:rPr>
        <w:drawing>
          <wp:anchor distT="0" distB="0" distL="114300" distR="114300" simplePos="0" relativeHeight="251659264" behindDoc="1" locked="0" layoutInCell="1" allowOverlap="1" wp14:anchorId="5B99E0AC" wp14:editId="394D1D8C">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3ED0" w14:textId="77777777" w:rsidR="00B712F8" w:rsidRPr="005D11F0" w:rsidRDefault="00B712F8" w:rsidP="00B712F8">
      <w:pPr>
        <w:pStyle w:val="Zkladntext"/>
        <w:rPr>
          <w:sz w:val="20"/>
        </w:rPr>
      </w:pPr>
    </w:p>
    <w:p w14:paraId="07EC57A1" w14:textId="77777777" w:rsidR="00B712F8" w:rsidRPr="005D11F0" w:rsidRDefault="00B712F8" w:rsidP="00B712F8">
      <w:pPr>
        <w:pStyle w:val="Zkladntext"/>
        <w:rPr>
          <w:sz w:val="20"/>
        </w:rPr>
      </w:pPr>
    </w:p>
    <w:p w14:paraId="10EA7975" w14:textId="77777777" w:rsidR="00B712F8" w:rsidRPr="005D11F0" w:rsidRDefault="00B712F8" w:rsidP="00B712F8">
      <w:pPr>
        <w:pStyle w:val="Zkladntext"/>
        <w:rPr>
          <w:sz w:val="20"/>
        </w:rPr>
      </w:pPr>
    </w:p>
    <w:p w14:paraId="0E42394D" w14:textId="77777777" w:rsidR="00B712F8" w:rsidRPr="005D11F0" w:rsidRDefault="00B712F8" w:rsidP="00B712F8">
      <w:pPr>
        <w:pStyle w:val="Zkladntext"/>
        <w:rPr>
          <w:sz w:val="20"/>
        </w:rPr>
      </w:pPr>
    </w:p>
    <w:p w14:paraId="1D9CF081" w14:textId="77777777" w:rsidR="00B712F8" w:rsidRPr="005D11F0" w:rsidRDefault="00B712F8" w:rsidP="00B712F8">
      <w:pPr>
        <w:pStyle w:val="Zkladntext"/>
        <w:rPr>
          <w:sz w:val="20"/>
        </w:rPr>
      </w:pPr>
    </w:p>
    <w:p w14:paraId="28C33AD0" w14:textId="77777777" w:rsidR="00B712F8" w:rsidRPr="005D11F0" w:rsidRDefault="00B712F8" w:rsidP="00B712F8">
      <w:pPr>
        <w:pStyle w:val="Zkladntext"/>
        <w:rPr>
          <w:sz w:val="20"/>
        </w:rPr>
      </w:pPr>
    </w:p>
    <w:p w14:paraId="64B40F02" w14:textId="77777777" w:rsidR="00B712F8" w:rsidRPr="005D11F0" w:rsidRDefault="00B712F8" w:rsidP="00B712F8">
      <w:pPr>
        <w:pStyle w:val="Zkladntext"/>
        <w:rPr>
          <w:sz w:val="20"/>
        </w:rPr>
      </w:pPr>
    </w:p>
    <w:p w14:paraId="6AB0AA92" w14:textId="77777777" w:rsidR="00B712F8" w:rsidRPr="005D11F0" w:rsidRDefault="00B712F8" w:rsidP="00B712F8">
      <w:pPr>
        <w:pStyle w:val="Zkladntext"/>
        <w:jc w:val="both"/>
        <w:rPr>
          <w:rFonts w:ascii="Arial" w:hAnsi="Arial" w:cs="Arial"/>
          <w:sz w:val="20"/>
        </w:rPr>
      </w:pPr>
    </w:p>
    <w:p w14:paraId="168CA3FE" w14:textId="77777777" w:rsidR="00B712F8" w:rsidRPr="005D11F0" w:rsidRDefault="00B712F8" w:rsidP="00B712F8">
      <w:pPr>
        <w:pStyle w:val="Zkladntext"/>
        <w:jc w:val="both"/>
        <w:rPr>
          <w:rFonts w:ascii="Arial" w:hAnsi="Arial" w:cs="Arial"/>
          <w:b/>
          <w:sz w:val="20"/>
        </w:rPr>
      </w:pPr>
    </w:p>
    <w:p w14:paraId="2C7C11E7" w14:textId="77777777" w:rsidR="00B712F8" w:rsidRPr="005D11F0" w:rsidRDefault="00B712F8" w:rsidP="00B712F8">
      <w:pPr>
        <w:pStyle w:val="Zkladntext"/>
        <w:jc w:val="both"/>
        <w:rPr>
          <w:rFonts w:ascii="Arial" w:hAnsi="Arial" w:cs="Arial"/>
          <w:b/>
          <w:sz w:val="20"/>
        </w:rPr>
      </w:pPr>
    </w:p>
    <w:p w14:paraId="2EC7A176" w14:textId="77777777" w:rsidR="00B712F8" w:rsidRPr="005D11F0" w:rsidRDefault="00B712F8" w:rsidP="00B712F8">
      <w:pPr>
        <w:pStyle w:val="Zkladntext"/>
        <w:jc w:val="both"/>
        <w:rPr>
          <w:rFonts w:ascii="Arial" w:hAnsi="Arial" w:cs="Arial"/>
          <w:b/>
          <w:sz w:val="20"/>
        </w:rPr>
      </w:pPr>
    </w:p>
    <w:p w14:paraId="3B89FDD7" w14:textId="77777777" w:rsidR="00B712F8" w:rsidRPr="005D11F0" w:rsidRDefault="00B712F8" w:rsidP="00B712F8">
      <w:pPr>
        <w:pStyle w:val="Zkladntext"/>
        <w:jc w:val="both"/>
        <w:rPr>
          <w:rFonts w:ascii="Arial" w:hAnsi="Arial" w:cs="Arial"/>
          <w:b/>
          <w:sz w:val="20"/>
        </w:rPr>
      </w:pPr>
    </w:p>
    <w:p w14:paraId="37DBF001" w14:textId="77777777" w:rsidR="00B712F8" w:rsidRPr="005D11F0" w:rsidRDefault="00B712F8" w:rsidP="00B712F8">
      <w:pPr>
        <w:pStyle w:val="Zkladntext"/>
        <w:jc w:val="both"/>
        <w:rPr>
          <w:rFonts w:ascii="Arial" w:hAnsi="Arial" w:cs="Arial"/>
          <w:b/>
          <w:sz w:val="20"/>
        </w:rPr>
      </w:pPr>
    </w:p>
    <w:p w14:paraId="0B933A79" w14:textId="77777777" w:rsidR="00B712F8" w:rsidRPr="005D11F0" w:rsidRDefault="00B712F8" w:rsidP="00B712F8">
      <w:pPr>
        <w:pStyle w:val="Zkladntext"/>
        <w:jc w:val="both"/>
        <w:rPr>
          <w:rFonts w:ascii="Arial" w:hAnsi="Arial" w:cs="Arial"/>
          <w:b/>
          <w:sz w:val="20"/>
        </w:rPr>
      </w:pPr>
    </w:p>
    <w:p w14:paraId="2A36DAD9" w14:textId="77777777" w:rsidR="00B712F8" w:rsidRPr="005D11F0" w:rsidRDefault="00B712F8" w:rsidP="00B712F8">
      <w:pPr>
        <w:pStyle w:val="Zkladntext"/>
        <w:jc w:val="both"/>
        <w:rPr>
          <w:rFonts w:ascii="Arial" w:hAnsi="Arial" w:cs="Arial"/>
          <w:b/>
          <w:sz w:val="20"/>
        </w:rPr>
      </w:pPr>
    </w:p>
    <w:p w14:paraId="157674BA" w14:textId="77777777" w:rsidR="00B712F8" w:rsidRPr="005D11F0" w:rsidRDefault="00B712F8" w:rsidP="00B712F8">
      <w:pPr>
        <w:pStyle w:val="Zkladntext"/>
        <w:jc w:val="both"/>
        <w:rPr>
          <w:rFonts w:ascii="Arial" w:hAnsi="Arial" w:cs="Arial"/>
          <w:b/>
          <w:sz w:val="20"/>
        </w:rPr>
      </w:pPr>
    </w:p>
    <w:p w14:paraId="7C68B864" w14:textId="77777777" w:rsidR="00B712F8" w:rsidRPr="005D11F0" w:rsidRDefault="00B712F8" w:rsidP="00B712F8">
      <w:pPr>
        <w:pStyle w:val="Zkladntext"/>
        <w:jc w:val="both"/>
        <w:rPr>
          <w:rFonts w:ascii="Arial" w:hAnsi="Arial" w:cs="Arial"/>
          <w:b/>
          <w:sz w:val="20"/>
        </w:rPr>
      </w:pPr>
    </w:p>
    <w:p w14:paraId="5876D6B4" w14:textId="77777777" w:rsidR="00B712F8" w:rsidRPr="005D11F0" w:rsidRDefault="00B712F8" w:rsidP="00B712F8">
      <w:pPr>
        <w:pStyle w:val="Zkladntext"/>
        <w:jc w:val="both"/>
        <w:rPr>
          <w:rFonts w:ascii="Arial" w:hAnsi="Arial" w:cs="Arial"/>
          <w:b/>
          <w:sz w:val="20"/>
        </w:rPr>
      </w:pPr>
    </w:p>
    <w:p w14:paraId="62179353" w14:textId="77777777" w:rsidR="00B712F8" w:rsidRPr="005D11F0" w:rsidRDefault="00B712F8" w:rsidP="00B712F8">
      <w:pPr>
        <w:pStyle w:val="Zkladntext"/>
        <w:jc w:val="both"/>
        <w:rPr>
          <w:rFonts w:ascii="Arial" w:hAnsi="Arial" w:cs="Arial"/>
          <w:b/>
          <w:sz w:val="20"/>
        </w:rPr>
      </w:pPr>
    </w:p>
    <w:p w14:paraId="3D7BD27C" w14:textId="77777777" w:rsidR="00B712F8" w:rsidRPr="005D11F0" w:rsidRDefault="00B712F8" w:rsidP="00B712F8">
      <w:pPr>
        <w:pStyle w:val="Zkladntext"/>
        <w:jc w:val="both"/>
        <w:rPr>
          <w:rFonts w:ascii="Arial" w:hAnsi="Arial" w:cs="Arial"/>
          <w:b/>
          <w:sz w:val="20"/>
        </w:rPr>
      </w:pPr>
    </w:p>
    <w:p w14:paraId="5246B823" w14:textId="77777777" w:rsidR="00B712F8" w:rsidRPr="005D11F0" w:rsidRDefault="00B712F8" w:rsidP="00B712F8">
      <w:pPr>
        <w:pStyle w:val="Zkladntext"/>
        <w:jc w:val="both"/>
        <w:rPr>
          <w:rFonts w:ascii="Arial" w:hAnsi="Arial" w:cs="Arial"/>
          <w:b/>
          <w:sz w:val="20"/>
        </w:rPr>
      </w:pPr>
    </w:p>
    <w:p w14:paraId="7E12EF6D" w14:textId="77777777" w:rsidR="00B712F8" w:rsidRPr="005D11F0" w:rsidRDefault="00B712F8" w:rsidP="00B712F8">
      <w:pPr>
        <w:pStyle w:val="Zkladntext"/>
        <w:jc w:val="both"/>
        <w:rPr>
          <w:rFonts w:ascii="Arial" w:hAnsi="Arial" w:cs="Arial"/>
          <w:b/>
          <w:sz w:val="20"/>
        </w:rPr>
      </w:pPr>
    </w:p>
    <w:p w14:paraId="37782B33" w14:textId="77777777" w:rsidR="00B712F8" w:rsidRPr="005D11F0" w:rsidRDefault="00B712F8" w:rsidP="00B712F8">
      <w:pPr>
        <w:pStyle w:val="Zkladntext"/>
        <w:jc w:val="both"/>
        <w:rPr>
          <w:rFonts w:ascii="Arial" w:hAnsi="Arial" w:cs="Arial"/>
          <w:b/>
          <w:sz w:val="20"/>
        </w:rPr>
      </w:pPr>
    </w:p>
    <w:p w14:paraId="181E0E15" w14:textId="77777777" w:rsidR="00B712F8" w:rsidRPr="005D11F0" w:rsidRDefault="00B712F8" w:rsidP="00B712F8">
      <w:pPr>
        <w:pStyle w:val="Zkladntext"/>
        <w:jc w:val="both"/>
        <w:rPr>
          <w:rFonts w:ascii="Arial" w:hAnsi="Arial" w:cs="Arial"/>
          <w:b/>
          <w:sz w:val="20"/>
        </w:rPr>
      </w:pPr>
    </w:p>
    <w:p w14:paraId="540F0B34" w14:textId="77777777" w:rsidR="00B712F8" w:rsidRPr="005D11F0" w:rsidRDefault="00B712F8" w:rsidP="00B712F8">
      <w:pPr>
        <w:pStyle w:val="Zkladntext"/>
        <w:jc w:val="both"/>
        <w:rPr>
          <w:rFonts w:ascii="Arial" w:hAnsi="Arial" w:cs="Arial"/>
          <w:b/>
          <w:sz w:val="20"/>
        </w:rPr>
      </w:pPr>
    </w:p>
    <w:p w14:paraId="602D9FFB" w14:textId="77777777" w:rsidR="00B712F8" w:rsidRPr="005D11F0" w:rsidRDefault="00B712F8" w:rsidP="00B712F8">
      <w:pPr>
        <w:pStyle w:val="Zkladntext"/>
        <w:jc w:val="both"/>
        <w:rPr>
          <w:rFonts w:ascii="Arial" w:hAnsi="Arial" w:cs="Arial"/>
          <w:b/>
          <w:sz w:val="20"/>
        </w:rPr>
      </w:pPr>
    </w:p>
    <w:p w14:paraId="514F7B2A" w14:textId="62E24A5B" w:rsidR="00B712F8" w:rsidRPr="005D11F0" w:rsidRDefault="00B712F8" w:rsidP="00B712F8">
      <w:pPr>
        <w:pStyle w:val="Zkladntext"/>
        <w:jc w:val="both"/>
        <w:rPr>
          <w:rFonts w:ascii="Arial" w:hAnsi="Arial" w:cs="Arial"/>
          <w:b/>
          <w:sz w:val="20"/>
        </w:rPr>
      </w:pPr>
    </w:p>
    <w:p w14:paraId="7134DC1D" w14:textId="77777777" w:rsidR="00B712F8" w:rsidRPr="005D11F0" w:rsidRDefault="00B712F8" w:rsidP="00B712F8">
      <w:pPr>
        <w:pStyle w:val="Zkladntext"/>
        <w:jc w:val="both"/>
        <w:rPr>
          <w:rFonts w:ascii="Arial" w:hAnsi="Arial" w:cs="Arial"/>
          <w:b/>
          <w:sz w:val="20"/>
        </w:rPr>
      </w:pPr>
    </w:p>
    <w:p w14:paraId="3B9A3695" w14:textId="0BA677B3" w:rsidR="00B712F8" w:rsidRPr="00B712F8" w:rsidRDefault="00B712F8" w:rsidP="00B712F8">
      <w:pPr>
        <w:pStyle w:val="Zkladntext"/>
        <w:jc w:val="both"/>
        <w:rPr>
          <w:rFonts w:asciiTheme="minorHAnsi" w:hAnsiTheme="minorHAnsi" w:cstheme="minorHAnsi"/>
          <w:b/>
        </w:rPr>
      </w:pPr>
      <w:r w:rsidRPr="00B712F8">
        <w:rPr>
          <w:rFonts w:asciiTheme="minorHAnsi" w:hAnsiTheme="minorHAnsi" w:cstheme="minorHAnsi"/>
          <w:b/>
        </w:rPr>
        <w:t>O společnosti Broker Consulting</w:t>
      </w:r>
    </w:p>
    <w:p w14:paraId="46DADFA7" w14:textId="77777777" w:rsidR="00F63179" w:rsidRPr="005B7E46" w:rsidRDefault="00F63179" w:rsidP="00F63179">
      <w:pPr>
        <w:jc w:val="both"/>
        <w:rPr>
          <w:rFonts w:asciiTheme="minorHAnsi" w:hAnsiTheme="minorHAnsi" w:cstheme="minorHAnsi"/>
          <w:sz w:val="20"/>
          <w:szCs w:val="20"/>
        </w:rPr>
      </w:pPr>
    </w:p>
    <w:p w14:paraId="7A912C88" w14:textId="1D6FBE11" w:rsidR="005A1EE0" w:rsidRDefault="00F63179" w:rsidP="005541A6">
      <w:pPr>
        <w:jc w:val="both"/>
        <w:rPr>
          <w:rFonts w:asciiTheme="minorHAnsi" w:hAnsiTheme="minorHAnsi" w:cstheme="minorHAnsi"/>
          <w:sz w:val="20"/>
          <w:szCs w:val="20"/>
          <w:lang w:val="de-DE"/>
        </w:rPr>
      </w:pPr>
      <w:r w:rsidRPr="005B7E46">
        <w:rPr>
          <w:rFonts w:asciiTheme="minorHAnsi" w:hAnsiTheme="minorHAnsi" w:cstheme="minorHAnsi"/>
          <w:sz w:val="20"/>
          <w:szCs w:val="20"/>
        </w:rPr>
        <w:t>Broker Consulting je jednou z největších společností na českém a slovenském trhu, která poskytuje služby v oblasti financí a realit. Od rok</w:t>
      </w:r>
      <w:r w:rsidR="00DA68D5">
        <w:rPr>
          <w:rFonts w:asciiTheme="minorHAnsi" w:hAnsiTheme="minorHAnsi" w:cstheme="minorHAnsi"/>
          <w:sz w:val="20"/>
          <w:szCs w:val="20"/>
        </w:rPr>
        <w:t>u 1998 získala důvěru více než 7</w:t>
      </w:r>
      <w:r w:rsidRPr="005B7E46">
        <w:rPr>
          <w:rFonts w:asciiTheme="minorHAnsi" w:hAnsiTheme="minorHAnsi" w:cstheme="minorHAnsi"/>
          <w:sz w:val="20"/>
          <w:szCs w:val="20"/>
        </w:rPr>
        <w:t>00 000 klientů. Poskytuje také služby přes 4 000 firmám. Distribuci služeb zajišťuje přibližně 2 000 konzultantů (profesionální konzultanti, zaměstnanci, konzultanti v zapracování v ČR i SR</w:t>
      </w:r>
      <w:r>
        <w:rPr>
          <w:rFonts w:asciiTheme="minorHAnsi" w:hAnsiTheme="minorHAnsi" w:cstheme="minorHAnsi"/>
          <w:sz w:val="20"/>
          <w:szCs w:val="20"/>
        </w:rPr>
        <w:t xml:space="preserve">) </w:t>
      </w:r>
      <w:r w:rsidR="005A1EE0">
        <w:rPr>
          <w:rFonts w:asciiTheme="minorHAnsi" w:hAnsiTheme="minorHAnsi" w:cstheme="minorHAnsi"/>
          <w:sz w:val="20"/>
          <w:szCs w:val="20"/>
        </w:rPr>
        <w:t>na více než 110 obchodních místech pod názvy</w:t>
      </w:r>
      <w:r>
        <w:rPr>
          <w:rFonts w:asciiTheme="minorHAnsi" w:hAnsiTheme="minorHAnsi" w:cstheme="minorHAnsi"/>
          <w:sz w:val="20"/>
          <w:szCs w:val="20"/>
        </w:rPr>
        <w:t xml:space="preserve"> Broker Point Premium</w:t>
      </w:r>
      <w:r w:rsidR="005A1EE0">
        <w:rPr>
          <w:rFonts w:asciiTheme="minorHAnsi" w:hAnsiTheme="minorHAnsi" w:cstheme="minorHAnsi"/>
          <w:sz w:val="20"/>
          <w:szCs w:val="20"/>
        </w:rPr>
        <w:t xml:space="preserve"> nebo Broker Point. Společnost uvedla na český a</w:t>
      </w:r>
      <w:r w:rsidRPr="005B7E46">
        <w:rPr>
          <w:rFonts w:asciiTheme="minorHAnsi" w:hAnsiTheme="minorHAnsi" w:cstheme="minorHAnsi"/>
          <w:sz w:val="20"/>
          <w:szCs w:val="20"/>
        </w:rPr>
        <w:t xml:space="preserve"> slovenský trh řadu inovací. Jednalo se například o investice do otevřených podílových fondů se zamykáním zisků nebo unikátní produkty životního dopojištění, které umožňují pojistit smrt a inv</w:t>
      </w:r>
      <w:r w:rsidR="005A1EE0">
        <w:rPr>
          <w:rFonts w:asciiTheme="minorHAnsi" w:hAnsiTheme="minorHAnsi" w:cstheme="minorHAnsi"/>
          <w:sz w:val="20"/>
          <w:szCs w:val="20"/>
        </w:rPr>
        <w:t>aliditu za zlomek obvyklých cen</w:t>
      </w:r>
      <w:r w:rsidRPr="005B7E46">
        <w:rPr>
          <w:rStyle w:val="Hypertextovodkaz"/>
          <w:rFonts w:asciiTheme="minorHAnsi" w:hAnsiTheme="minorHAnsi" w:cstheme="minorHAnsi"/>
          <w:color w:val="auto"/>
          <w:sz w:val="20"/>
          <w:szCs w:val="20"/>
          <w:u w:val="none"/>
        </w:rPr>
        <w:t xml:space="preserve">. </w:t>
      </w:r>
      <w:r w:rsidRPr="005B7E46">
        <w:rPr>
          <w:rStyle w:val="dn"/>
          <w:rFonts w:asciiTheme="minorHAnsi" w:hAnsiTheme="minorHAnsi" w:cstheme="minorHAnsi"/>
          <w:sz w:val="20"/>
          <w:szCs w:val="20"/>
        </w:rPr>
        <w:t xml:space="preserve">Navštivte také náš </w:t>
      </w:r>
      <w:hyperlink r:id="rId9"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w:t>
      </w:r>
      <w:hyperlink r:id="rId10" w:history="1">
        <w:r w:rsidRPr="005B7E46">
          <w:rPr>
            <w:rStyle w:val="Hypertextovodkaz"/>
            <w:rFonts w:asciiTheme="minorHAnsi" w:hAnsiTheme="minorHAnsi" w:cstheme="minorHAnsi"/>
            <w:color w:val="auto"/>
            <w:sz w:val="20"/>
            <w:szCs w:val="20"/>
          </w:rPr>
          <w:t>LinkedIN</w:t>
        </w:r>
      </w:hyperlink>
      <w:r w:rsidRPr="005B7E46">
        <w:rPr>
          <w:rStyle w:val="dn"/>
          <w:rFonts w:asciiTheme="minorHAnsi" w:hAnsiTheme="minorHAnsi" w:cstheme="minorHAnsi"/>
          <w:sz w:val="20"/>
          <w:szCs w:val="20"/>
        </w:rPr>
        <w:t xml:space="preserve"> Broker Consulting, Twitter </w:t>
      </w:r>
      <w:r w:rsidRPr="005B7E46">
        <w:rPr>
          <w:rFonts w:asciiTheme="minorHAnsi" w:hAnsiTheme="minorHAnsi" w:cstheme="minorHAnsi"/>
          <w:sz w:val="20"/>
          <w:szCs w:val="20"/>
          <w:shd w:val="clear" w:color="auto" w:fill="FFFFFF"/>
        </w:rPr>
        <w:t xml:space="preserve">@BC_oficialni, </w:t>
      </w:r>
      <w:r w:rsidRPr="005B7E46">
        <w:rPr>
          <w:rStyle w:val="dn"/>
          <w:rFonts w:asciiTheme="minorHAnsi" w:hAnsiTheme="minorHAnsi" w:cstheme="minorHAnsi"/>
          <w:sz w:val="20"/>
          <w:szCs w:val="20"/>
        </w:rPr>
        <w:t xml:space="preserve"> </w:t>
      </w:r>
      <w:hyperlink r:id="rId11"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a </w:t>
      </w:r>
      <w:hyperlink r:id="rId12" w:history="1">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r>
        <w:rPr>
          <w:rStyle w:val="dn"/>
          <w:rFonts w:asciiTheme="minorHAnsi" w:hAnsiTheme="minorHAnsi" w:cstheme="minorHAnsi"/>
          <w:sz w:val="20"/>
          <w:szCs w:val="20"/>
        </w:rPr>
        <w:t xml:space="preserve"> Broker Point Premium</w:t>
      </w:r>
      <w:r w:rsidRPr="005B7E46">
        <w:rPr>
          <w:rStyle w:val="dn"/>
          <w:rFonts w:asciiTheme="minorHAnsi" w:hAnsiTheme="minorHAnsi" w:cstheme="minorHAnsi"/>
          <w:sz w:val="20"/>
          <w:szCs w:val="20"/>
        </w:rPr>
        <w:t xml:space="preserve">. </w:t>
      </w:r>
    </w:p>
    <w:p w14:paraId="712E396C" w14:textId="77777777" w:rsidR="005A1EE0" w:rsidRDefault="005A1EE0" w:rsidP="00E54C6F">
      <w:pPr>
        <w:spacing w:after="120"/>
        <w:jc w:val="center"/>
        <w:rPr>
          <w:rFonts w:asciiTheme="minorHAnsi" w:hAnsiTheme="minorHAnsi" w:cstheme="minorHAnsi"/>
          <w:b/>
          <w:color w:val="000000" w:themeColor="text1"/>
          <w:sz w:val="32"/>
          <w:szCs w:val="32"/>
        </w:rPr>
      </w:pPr>
    </w:p>
    <w:p w14:paraId="754C4A66" w14:textId="34A679F8" w:rsidR="009E6D78" w:rsidRPr="00EF5B02" w:rsidRDefault="007F5778" w:rsidP="00E54C6F">
      <w:pPr>
        <w:spacing w:after="120"/>
        <w:jc w:val="center"/>
        <w:rPr>
          <w:rFonts w:asciiTheme="minorHAnsi" w:hAnsiTheme="minorHAnsi" w:cstheme="minorHAnsi"/>
          <w:b/>
          <w:color w:val="000000" w:themeColor="text1"/>
          <w:sz w:val="28"/>
          <w:szCs w:val="28"/>
          <w:lang w:val="de-DE"/>
        </w:rPr>
      </w:pPr>
      <w:r w:rsidRPr="00EF5B02">
        <w:rPr>
          <w:rFonts w:asciiTheme="minorHAnsi" w:hAnsiTheme="minorHAnsi" w:cstheme="minorHAnsi"/>
          <w:b/>
          <w:sz w:val="28"/>
          <w:szCs w:val="28"/>
        </w:rPr>
        <w:lastRenderedPageBreak/>
        <w:t>P</w:t>
      </w:r>
      <w:r w:rsidR="00BF5573" w:rsidRPr="00EF5B02">
        <w:rPr>
          <w:rFonts w:asciiTheme="minorHAnsi" w:hAnsiTheme="minorHAnsi" w:cstheme="minorHAnsi"/>
          <w:b/>
          <w:sz w:val="28"/>
          <w:szCs w:val="28"/>
        </w:rPr>
        <w:t>růměrná cena povinného ručení v září ne</w:t>
      </w:r>
      <w:r w:rsidR="00EF2498">
        <w:rPr>
          <w:rFonts w:asciiTheme="minorHAnsi" w:hAnsiTheme="minorHAnsi" w:cstheme="minorHAnsi"/>
          <w:b/>
          <w:sz w:val="28"/>
          <w:szCs w:val="28"/>
        </w:rPr>
        <w:t>patrně</w:t>
      </w:r>
      <w:r w:rsidR="00BF5573" w:rsidRPr="00EF5B02">
        <w:rPr>
          <w:rFonts w:asciiTheme="minorHAnsi" w:hAnsiTheme="minorHAnsi" w:cstheme="minorHAnsi"/>
          <w:b/>
          <w:sz w:val="28"/>
          <w:szCs w:val="28"/>
        </w:rPr>
        <w:t xml:space="preserve"> klesla</w:t>
      </w:r>
    </w:p>
    <w:p w14:paraId="631FD780" w14:textId="4EA0F0BB" w:rsidR="005C6C1D" w:rsidRPr="00EF5B02" w:rsidRDefault="00A7039D" w:rsidP="005C6C1D">
      <w:pPr>
        <w:pStyle w:val="Odstavecseseznamem"/>
        <w:numPr>
          <w:ilvl w:val="0"/>
          <w:numId w:val="24"/>
        </w:numPr>
        <w:ind w:left="357" w:right="40" w:hanging="357"/>
        <w:jc w:val="both"/>
        <w:rPr>
          <w:rFonts w:asciiTheme="minorHAnsi" w:hAnsiTheme="minorHAnsi" w:cstheme="minorHAnsi"/>
          <w:b/>
          <w:color w:val="000000" w:themeColor="text1"/>
        </w:rPr>
      </w:pPr>
      <w:r w:rsidRPr="00EF5B02">
        <w:rPr>
          <w:rFonts w:asciiTheme="minorHAnsi" w:hAnsiTheme="minorHAnsi" w:cstheme="minorHAnsi"/>
          <w:b/>
        </w:rPr>
        <w:t>Broker Consulting Index zaznamenal meziměsíční pokles o 66 korun.</w:t>
      </w:r>
    </w:p>
    <w:p w14:paraId="1F438A4D" w14:textId="23026D5E" w:rsidR="00736701" w:rsidRPr="00EF5B02" w:rsidRDefault="00A7039D" w:rsidP="00E54C6F">
      <w:pPr>
        <w:pStyle w:val="Odstavecseseznamem"/>
        <w:numPr>
          <w:ilvl w:val="0"/>
          <w:numId w:val="24"/>
        </w:numPr>
        <w:ind w:left="357" w:right="40" w:hanging="357"/>
        <w:jc w:val="both"/>
        <w:rPr>
          <w:rFonts w:asciiTheme="minorHAnsi" w:hAnsiTheme="minorHAnsi" w:cstheme="minorHAnsi"/>
          <w:b/>
          <w:color w:val="000000" w:themeColor="text1"/>
        </w:rPr>
      </w:pPr>
      <w:r w:rsidRPr="00EF5B02">
        <w:rPr>
          <w:rFonts w:asciiTheme="minorHAnsi" w:hAnsiTheme="minorHAnsi" w:cstheme="minorHAnsi"/>
          <w:b/>
        </w:rPr>
        <w:t>Pokles zaznamenala Praha i Benešov.</w:t>
      </w:r>
    </w:p>
    <w:p w14:paraId="640D9C2D" w14:textId="3BE5A6CD" w:rsidR="00A41322" w:rsidRPr="00EF5B02" w:rsidRDefault="00A7039D" w:rsidP="00A41322">
      <w:pPr>
        <w:pStyle w:val="Odstavecseseznamem"/>
        <w:numPr>
          <w:ilvl w:val="0"/>
          <w:numId w:val="24"/>
        </w:numPr>
        <w:ind w:left="357" w:right="40" w:hanging="357"/>
        <w:jc w:val="both"/>
        <w:rPr>
          <w:rFonts w:asciiTheme="minorHAnsi" w:hAnsiTheme="minorHAnsi" w:cstheme="minorHAnsi"/>
          <w:b/>
          <w:color w:val="000000" w:themeColor="text1"/>
        </w:rPr>
      </w:pPr>
      <w:r w:rsidRPr="00EF5B02">
        <w:rPr>
          <w:rFonts w:asciiTheme="minorHAnsi" w:hAnsiTheme="minorHAnsi" w:cstheme="minorHAnsi"/>
          <w:b/>
        </w:rPr>
        <w:t>Nepojištěné vozidlo může řidiče stát desítky tisíc korun.</w:t>
      </w:r>
    </w:p>
    <w:p w14:paraId="1409DCCD" w14:textId="1811D874" w:rsidR="002F7D09" w:rsidRPr="00EF5B02" w:rsidRDefault="0037368D" w:rsidP="005C6C1D">
      <w:pPr>
        <w:widowControl/>
        <w:autoSpaceDE/>
        <w:autoSpaceDN/>
        <w:spacing w:before="100" w:beforeAutospacing="1" w:after="100" w:afterAutospacing="1"/>
        <w:jc w:val="both"/>
        <w:rPr>
          <w:rFonts w:asciiTheme="minorHAnsi" w:hAnsiTheme="minorHAnsi" w:cstheme="minorHAnsi"/>
          <w:b/>
        </w:rPr>
      </w:pPr>
      <w:r w:rsidRPr="0037368D">
        <w:rPr>
          <w:rFonts w:asciiTheme="minorHAnsi" w:hAnsiTheme="minorHAnsi" w:cstheme="minorHAnsi"/>
          <w:i/>
        </w:rPr>
        <w:t>Praha, 23</w:t>
      </w:r>
      <w:r w:rsidR="00EF5B02" w:rsidRPr="0037368D">
        <w:rPr>
          <w:rFonts w:asciiTheme="minorHAnsi" w:hAnsiTheme="minorHAnsi" w:cstheme="minorHAnsi"/>
          <w:i/>
        </w:rPr>
        <w:t xml:space="preserve">. </w:t>
      </w:r>
      <w:r w:rsidR="00861492" w:rsidRPr="0037368D">
        <w:rPr>
          <w:rFonts w:asciiTheme="minorHAnsi" w:hAnsiTheme="minorHAnsi" w:cstheme="minorHAnsi"/>
          <w:i/>
        </w:rPr>
        <w:t>ří</w:t>
      </w:r>
      <w:r w:rsidR="00EF5B02" w:rsidRPr="0037368D">
        <w:rPr>
          <w:rFonts w:asciiTheme="minorHAnsi" w:hAnsiTheme="minorHAnsi" w:cstheme="minorHAnsi"/>
          <w:i/>
        </w:rPr>
        <w:t>jen</w:t>
      </w:r>
      <w:r w:rsidR="00861492" w:rsidRPr="0037368D">
        <w:rPr>
          <w:rFonts w:asciiTheme="minorHAnsi" w:hAnsiTheme="minorHAnsi" w:cstheme="minorHAnsi"/>
          <w:i/>
        </w:rPr>
        <w:t xml:space="preserve"> 2025 –</w:t>
      </w:r>
      <w:r w:rsidR="00861492" w:rsidRPr="00EF5B02">
        <w:rPr>
          <w:rFonts w:asciiTheme="minorHAnsi" w:hAnsiTheme="minorHAnsi" w:cstheme="minorHAnsi"/>
          <w:b/>
        </w:rPr>
        <w:t xml:space="preserve"> </w:t>
      </w:r>
      <w:r w:rsidR="002F7D09" w:rsidRPr="00EF5B02">
        <w:rPr>
          <w:rFonts w:asciiTheme="minorHAnsi" w:hAnsiTheme="minorHAnsi" w:cstheme="minorHAnsi"/>
          <w:b/>
        </w:rPr>
        <w:t>Broker Consulting Index povinného ručení, který pravidelně sleduje vývoj průměrných nákladů na zákonné pojištění vozidel pro řidiče bez pojistné historie, zaznamenal v září pokles cen. Průměrná hodnota Indexu se snížila ze srpnových 7 482 Kč na 7 416 Kč. Ve srovnání se zářím loňského roku (7 152 Kč) jsou ceny o něco vyšší, ale vývoj zůstává vyrovnaný a bez výrazných výkyvů.</w:t>
      </w:r>
    </w:p>
    <w:p w14:paraId="0F40CDA8" w14:textId="44F3A63B" w:rsidR="002F7D09" w:rsidRPr="00EF5B02" w:rsidRDefault="002F7D09" w:rsidP="005C6C1D">
      <w:pPr>
        <w:widowControl/>
        <w:autoSpaceDE/>
        <w:autoSpaceDN/>
        <w:spacing w:before="100" w:beforeAutospacing="1" w:after="100" w:afterAutospacing="1"/>
        <w:jc w:val="both"/>
        <w:rPr>
          <w:rStyle w:val="Siln"/>
          <w:rFonts w:asciiTheme="minorHAnsi" w:hAnsiTheme="minorHAnsi" w:cstheme="minorHAnsi"/>
        </w:rPr>
      </w:pPr>
      <w:r w:rsidRPr="00EF2498">
        <w:rPr>
          <w:rFonts w:asciiTheme="minorHAnsi" w:hAnsiTheme="minorHAnsi" w:cstheme="minorHAnsi"/>
          <w:i/>
        </w:rPr>
        <w:t xml:space="preserve">„Zářijová data potvrzují, že trh s povinným ručením je nadále stabilní. Výše pojistného se přitom vždy odvíjí od toho, jaké parametry si klient ve smlouvě nastaví – například od zvolených limitů krytí, rozsahu asistenčních služeb nebo připojištění. Ceny tak nejsou jen výsledkem vývoje na trhu, ale také odrazem individuálních potřeb každého řidiče,“ </w:t>
      </w:r>
      <w:r w:rsidRPr="00EF5B02">
        <w:rPr>
          <w:rFonts w:asciiTheme="minorHAnsi" w:hAnsiTheme="minorHAnsi" w:cstheme="minorHAnsi"/>
        </w:rPr>
        <w:t xml:space="preserve">vysvětluje </w:t>
      </w:r>
      <w:r w:rsidRPr="00EF5B02">
        <w:rPr>
          <w:rStyle w:val="Siln"/>
          <w:rFonts w:asciiTheme="minorHAnsi" w:hAnsiTheme="minorHAnsi" w:cstheme="minorHAnsi"/>
        </w:rPr>
        <w:t xml:space="preserve">Jiří Váchal, analytik neživotního pojištění společnosti Broker Consulting. </w:t>
      </w:r>
    </w:p>
    <w:p w14:paraId="523D0C9C" w14:textId="25F22405" w:rsidR="00011E95" w:rsidRPr="00EF5B02" w:rsidRDefault="00011E95" w:rsidP="005C6C1D">
      <w:pPr>
        <w:widowControl/>
        <w:autoSpaceDE/>
        <w:autoSpaceDN/>
        <w:spacing w:before="100" w:beforeAutospacing="1" w:after="100" w:afterAutospacing="1"/>
        <w:jc w:val="both"/>
        <w:rPr>
          <w:rFonts w:asciiTheme="minorHAnsi" w:hAnsiTheme="minorHAnsi" w:cstheme="minorHAnsi"/>
        </w:rPr>
      </w:pPr>
      <w:r w:rsidRPr="00EF5B02">
        <w:rPr>
          <w:rFonts w:asciiTheme="minorHAnsi" w:hAnsiTheme="minorHAnsi" w:cstheme="minorHAnsi"/>
        </w:rPr>
        <w:t>V Praze se průměrná cena povinného ručení v září ustálila na 8 128 korunách, což je o něco méně než v srpnu, kdy činila 8 155 korun. Ve středočeském Benešově bylo zlevnění citelnější – ze srpnových 6 808 korun se průměrná cena snížila na 6 703 korun. Vývoj tak ukazuje na návrat k úrovním, které trh vykazoval během jara.</w:t>
      </w:r>
    </w:p>
    <w:p w14:paraId="555CAD0E" w14:textId="71369367" w:rsidR="00011E95" w:rsidRPr="00EF5B02" w:rsidRDefault="007F5778" w:rsidP="005C6C1D">
      <w:pPr>
        <w:widowControl/>
        <w:autoSpaceDE/>
        <w:autoSpaceDN/>
        <w:spacing w:before="100" w:beforeAutospacing="1" w:after="100" w:afterAutospacing="1"/>
        <w:jc w:val="both"/>
        <w:rPr>
          <w:rFonts w:asciiTheme="minorHAnsi" w:hAnsiTheme="minorHAnsi" w:cstheme="minorHAnsi"/>
          <w:b/>
        </w:rPr>
      </w:pPr>
      <w:r w:rsidRPr="00EF5B02">
        <w:rPr>
          <w:rFonts w:asciiTheme="minorHAnsi" w:hAnsiTheme="minorHAnsi" w:cstheme="minorHAnsi"/>
        </w:rPr>
        <w:t>Při pohledu do předchozích let je patrné, že ceny rostou spíše pozvolna. Loni v září se průměrná hodnota Broker Consulting Indexu pohybovala kolem 7 150 korun, v roce 2023 byla zhruba 6 830 korun a o rok dříve lehce přes 6 600 korun.</w:t>
      </w:r>
    </w:p>
    <w:p w14:paraId="3A217517" w14:textId="7341813E" w:rsidR="00563088" w:rsidRPr="005C6C1D" w:rsidRDefault="0037368D" w:rsidP="00563088">
      <w:pPr>
        <w:spacing w:before="100" w:beforeAutospacing="1" w:after="100" w:afterAutospacing="1"/>
        <w:jc w:val="both"/>
        <w:rPr>
          <w:rFonts w:asciiTheme="minorHAnsi" w:eastAsia="Times New Roman" w:hAnsiTheme="minorHAnsi" w:cstheme="minorHAnsi"/>
          <w:i/>
          <w:lang w:bidi="ar-SA"/>
        </w:rPr>
      </w:pPr>
      <w:r>
        <w:rPr>
          <w:rFonts w:asciiTheme="minorHAnsi" w:eastAsia="Times New Roman" w:hAnsiTheme="minorHAnsi" w:cstheme="minorHAnsi"/>
          <w:i/>
          <w:noProof/>
          <w:lang w:bidi="ar-SA"/>
        </w:rPr>
        <w:drawing>
          <wp:inline distT="0" distB="0" distL="0" distR="0" wp14:anchorId="330813F2" wp14:editId="414C356F">
            <wp:extent cx="6654165" cy="29724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png"/>
                    <pic:cNvPicPr/>
                  </pic:nvPicPr>
                  <pic:blipFill>
                    <a:blip r:embed="rId13">
                      <a:extLst>
                        <a:ext uri="{28A0092B-C50C-407E-A947-70E740481C1C}">
                          <a14:useLocalDpi xmlns:a14="http://schemas.microsoft.com/office/drawing/2010/main" val="0"/>
                        </a:ext>
                      </a:extLst>
                    </a:blip>
                    <a:stretch>
                      <a:fillRect/>
                    </a:stretch>
                  </pic:blipFill>
                  <pic:spPr>
                    <a:xfrm>
                      <a:off x="0" y="0"/>
                      <a:ext cx="6654165" cy="2972435"/>
                    </a:xfrm>
                    <a:prstGeom prst="rect">
                      <a:avLst/>
                    </a:prstGeom>
                  </pic:spPr>
                </pic:pic>
              </a:graphicData>
            </a:graphic>
          </wp:inline>
        </w:drawing>
      </w:r>
    </w:p>
    <w:p w14:paraId="580E3E42" w14:textId="436DFB46" w:rsidR="00717FE9" w:rsidRDefault="00717FE9" w:rsidP="003059C9">
      <w:pPr>
        <w:pStyle w:val="Nadpis3"/>
        <w:ind w:left="0"/>
        <w:jc w:val="both"/>
        <w:rPr>
          <w:rFonts w:asciiTheme="minorHAnsi" w:hAnsiTheme="minorHAnsi" w:cstheme="minorHAnsi"/>
          <w:b/>
        </w:rPr>
      </w:pPr>
    </w:p>
    <w:p w14:paraId="1EB02B2D" w14:textId="26CF7FBA" w:rsidR="00317F08" w:rsidRDefault="00317F08" w:rsidP="007A4B8E">
      <w:pPr>
        <w:pStyle w:val="Nadpis3"/>
        <w:ind w:left="0"/>
        <w:jc w:val="left"/>
        <w:rPr>
          <w:rFonts w:asciiTheme="minorHAnsi" w:hAnsiTheme="minorHAnsi" w:cstheme="minorHAnsi"/>
          <w:b/>
          <w:sz w:val="28"/>
          <w:szCs w:val="28"/>
        </w:rPr>
      </w:pPr>
      <w:r w:rsidRPr="007A4B8E">
        <w:rPr>
          <w:rFonts w:asciiTheme="minorHAnsi" w:hAnsiTheme="minorHAnsi" w:cstheme="minorHAnsi"/>
          <w:b/>
          <w:sz w:val="28"/>
          <w:szCs w:val="28"/>
        </w:rPr>
        <w:t>Kdy povinné ručení mít musíte – a kdy ne</w:t>
      </w:r>
    </w:p>
    <w:p w14:paraId="342E8825" w14:textId="32E93917" w:rsidR="00317F08" w:rsidRPr="00317F08" w:rsidRDefault="00317F08" w:rsidP="00317F08">
      <w:pPr>
        <w:pStyle w:val="Nadpis3"/>
        <w:ind w:left="0"/>
        <w:jc w:val="both"/>
        <w:rPr>
          <w:rFonts w:asciiTheme="minorHAnsi" w:eastAsia="Times New Roman" w:hAnsiTheme="minorHAnsi" w:cstheme="minorHAnsi"/>
          <w:b/>
          <w:sz w:val="22"/>
          <w:szCs w:val="22"/>
          <w:lang w:bidi="ar-SA"/>
        </w:rPr>
      </w:pPr>
      <w:r w:rsidRPr="00317F08">
        <w:rPr>
          <w:rFonts w:asciiTheme="minorHAnsi" w:hAnsiTheme="minorHAnsi" w:cstheme="minorHAnsi"/>
          <w:sz w:val="22"/>
          <w:szCs w:val="22"/>
        </w:rPr>
        <w:t xml:space="preserve">Povinnost sjednat pojištění odpovědnosti z provozu vozidla se vztahuje na všechna vozidla registrovaná v České </w:t>
      </w:r>
      <w:r w:rsidRPr="00317F08">
        <w:rPr>
          <w:rFonts w:asciiTheme="minorHAnsi" w:hAnsiTheme="minorHAnsi" w:cstheme="minorHAnsi"/>
          <w:sz w:val="22"/>
          <w:szCs w:val="22"/>
        </w:rPr>
        <w:lastRenderedPageBreak/>
        <w:t>republice, která jsou provozována nebo se mohou pohybovat na pozemních komunikacích. Výjimku mají pouze vybrané složky státu a integrovaného záchranného systému, stejně jako vozidla s platnou zelenou kartou vydanou v zahraničí.</w:t>
      </w:r>
    </w:p>
    <w:p w14:paraId="7829B440" w14:textId="4AC01DC5" w:rsidR="00317F08" w:rsidRPr="00317F08" w:rsidRDefault="00317F08" w:rsidP="00317F08">
      <w:pPr>
        <w:pStyle w:val="Normlnweb"/>
        <w:jc w:val="both"/>
        <w:rPr>
          <w:rFonts w:asciiTheme="minorHAnsi" w:hAnsiTheme="minorHAnsi" w:cstheme="minorHAnsi"/>
          <w:sz w:val="22"/>
          <w:szCs w:val="22"/>
        </w:rPr>
      </w:pPr>
      <w:r w:rsidRPr="00317F08">
        <w:rPr>
          <w:rFonts w:asciiTheme="minorHAnsi" w:hAnsiTheme="minorHAnsi" w:cstheme="minorHAnsi"/>
          <w:sz w:val="22"/>
          <w:szCs w:val="22"/>
        </w:rPr>
        <w:t>Pokud pojištění zanikne, musí vlastník bezodkladně sjednat novou smlouvu nebo vozidlo vyřadit z provozu. Často zmiňovaná čtrnáctidenní lhůta se nevztahuje na uzavření nového pojištění, ale pouze na povinnost odevzdat registrační značky do depozitu. Každý den, kdy je vozidlo registrované a zároveň nepojištěné, přitom znamená riziko vysoké pokuty a povinnost uhrad</w:t>
      </w:r>
      <w:r w:rsidR="007A4B8E">
        <w:rPr>
          <w:rFonts w:asciiTheme="minorHAnsi" w:hAnsiTheme="minorHAnsi" w:cstheme="minorHAnsi"/>
          <w:sz w:val="22"/>
          <w:szCs w:val="22"/>
        </w:rPr>
        <w:t>it</w:t>
      </w:r>
      <w:r w:rsidR="0037368D">
        <w:rPr>
          <w:rFonts w:asciiTheme="minorHAnsi" w:hAnsiTheme="minorHAnsi" w:cstheme="minorHAnsi"/>
          <w:sz w:val="22"/>
          <w:szCs w:val="22"/>
        </w:rPr>
        <w:t xml:space="preserve"> případnou</w:t>
      </w:r>
      <w:bookmarkStart w:id="0" w:name="_GoBack"/>
      <w:bookmarkEnd w:id="0"/>
      <w:r w:rsidR="007A4B8E">
        <w:rPr>
          <w:rFonts w:asciiTheme="minorHAnsi" w:hAnsiTheme="minorHAnsi" w:cstheme="minorHAnsi"/>
          <w:sz w:val="22"/>
          <w:szCs w:val="22"/>
        </w:rPr>
        <w:t xml:space="preserve"> škodu z vlastních prostředků.</w:t>
      </w:r>
    </w:p>
    <w:p w14:paraId="5E716BB1" w14:textId="11BE8930" w:rsidR="00317F08" w:rsidRPr="00317F08" w:rsidRDefault="00317F08" w:rsidP="00317F08">
      <w:pPr>
        <w:pStyle w:val="Normlnweb"/>
        <w:jc w:val="both"/>
        <w:rPr>
          <w:rFonts w:asciiTheme="minorHAnsi" w:hAnsiTheme="minorHAnsi" w:cstheme="minorHAnsi"/>
          <w:sz w:val="22"/>
          <w:szCs w:val="22"/>
        </w:rPr>
      </w:pPr>
      <w:r w:rsidRPr="00317F08">
        <w:rPr>
          <w:rFonts w:asciiTheme="minorHAnsi" w:hAnsiTheme="minorHAnsi" w:cstheme="minorHAnsi"/>
          <w:sz w:val="22"/>
          <w:szCs w:val="22"/>
        </w:rPr>
        <w:t>„</w:t>
      </w:r>
      <w:r w:rsidRPr="007A4B8E">
        <w:rPr>
          <w:rFonts w:asciiTheme="minorHAnsi" w:hAnsiTheme="minorHAnsi" w:cstheme="minorHAnsi"/>
          <w:i/>
          <w:sz w:val="22"/>
          <w:szCs w:val="22"/>
        </w:rPr>
        <w:t xml:space="preserve">Povinné ručení chrání nejen poškozené, ale i samotného řidiče. V případě nehody se náklady mohou vyšplhat do statisíců nebo i milionů korun, které by bez pojištění musel hradit sám. I krátké přerušení pojistné smlouvy se proto může výrazně prodražit,“ </w:t>
      </w:r>
      <w:r w:rsidRPr="00317F08">
        <w:rPr>
          <w:rFonts w:asciiTheme="minorHAnsi" w:hAnsiTheme="minorHAnsi" w:cstheme="minorHAnsi"/>
          <w:sz w:val="22"/>
          <w:szCs w:val="22"/>
        </w:rPr>
        <w:t xml:space="preserve">upozorňuje </w:t>
      </w:r>
      <w:r w:rsidRPr="00317F08">
        <w:rPr>
          <w:rStyle w:val="Siln"/>
          <w:rFonts w:asciiTheme="minorHAnsi" w:hAnsiTheme="minorHAnsi" w:cstheme="minorHAnsi"/>
          <w:sz w:val="22"/>
          <w:szCs w:val="22"/>
        </w:rPr>
        <w:t>Jiří Váchal, analytik neživotního pojištění společnosti Broker Consulting</w:t>
      </w:r>
      <w:r w:rsidRPr="00317F08">
        <w:rPr>
          <w:rFonts w:asciiTheme="minorHAnsi" w:hAnsiTheme="minorHAnsi" w:cstheme="minorHAnsi"/>
          <w:sz w:val="22"/>
          <w:szCs w:val="22"/>
        </w:rPr>
        <w:t>.</w:t>
      </w:r>
    </w:p>
    <w:p w14:paraId="4E7F8CBF" w14:textId="77777777" w:rsidR="00B20F7B" w:rsidRPr="00AD79CC" w:rsidRDefault="00B20F7B" w:rsidP="00342E0B">
      <w:pPr>
        <w:pBdr>
          <w:top w:val="single" w:sz="4" w:space="1" w:color="auto"/>
        </w:pBdr>
        <w:spacing w:before="120"/>
        <w:jc w:val="both"/>
        <w:rPr>
          <w:rFonts w:asciiTheme="minorHAnsi" w:hAnsiTheme="minorHAnsi" w:cstheme="minorHAnsi"/>
          <w:color w:val="000000" w:themeColor="text1"/>
          <w:sz w:val="21"/>
          <w:szCs w:val="21"/>
        </w:rPr>
      </w:pPr>
      <w:r w:rsidRPr="00AD79CC">
        <w:rPr>
          <w:rFonts w:asciiTheme="minorHAnsi" w:hAnsiTheme="minorHAnsi" w:cstheme="minorHAnsi"/>
          <w:color w:val="000000" w:themeColor="text1"/>
          <w:sz w:val="21"/>
          <w:szCs w:val="21"/>
        </w:rPr>
        <w:t>POVIndex byl poprvé spuštěn v srpnu roku 2019. Od svého počátku sleduje vývoj nákladů na povinné ručení pro řidiče bez historie, ať už se jedná o nového řidiče, nebo o řidiče, který donedávna užíval služební vozidlo. Broker Consulting POVIndex je počítán odlišnou metodikou, než jako používá ČKP. Pro vizualizaci je zvolena značka vozu Škoda Octavia 1,6 TDI, 85 kW.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056704B7" w14:textId="10689440" w:rsidR="00B20F7B" w:rsidRDefault="00B20F7B" w:rsidP="00342E0B">
      <w:pPr>
        <w:pStyle w:val="Zkladntext"/>
        <w:spacing w:before="240" w:line="237" w:lineRule="auto"/>
        <w:jc w:val="both"/>
        <w:rPr>
          <w:rFonts w:asciiTheme="minorHAnsi" w:hAnsiTheme="minorHAnsi" w:cstheme="minorHAnsi"/>
          <w:sz w:val="21"/>
          <w:szCs w:val="21"/>
        </w:rPr>
      </w:pPr>
      <w:r w:rsidRPr="00AD79CC">
        <w:rPr>
          <w:rFonts w:asciiTheme="minorHAnsi" w:hAnsiTheme="minorHAnsi" w:cstheme="minorHAnsi"/>
          <w:b/>
          <w:sz w:val="21"/>
          <w:szCs w:val="21"/>
        </w:rPr>
        <w:t>Broker Consulting POVIndex</w:t>
      </w:r>
      <w:r w:rsidRPr="00AD79CC">
        <w:rPr>
          <w:rFonts w:asciiTheme="minorHAnsi" w:hAnsiTheme="minorHAnsi" w:cstheme="minorHAnsi"/>
          <w:sz w:val="21"/>
          <w:szCs w:val="21"/>
        </w:rPr>
        <w:t xml:space="preserve"> je založen na odlišné metodice výpočtu, než jakou používá ČKP. Jeho hodnota nevychází z průměru hodnot celé řady veličin, ale z menšího množství parametrů. POVIndex 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0572A7E3" w14:textId="6C510BF2" w:rsidR="00356FFC" w:rsidRPr="00AD79CC" w:rsidRDefault="00356FFC" w:rsidP="00004F71">
      <w:pPr>
        <w:pStyle w:val="Zkladntext"/>
        <w:pBdr>
          <w:bottom w:val="single" w:sz="4" w:space="1" w:color="auto"/>
        </w:pBdr>
        <w:spacing w:line="237" w:lineRule="auto"/>
        <w:rPr>
          <w:rFonts w:ascii="Arial" w:hAnsi="Arial" w:cs="Arial"/>
          <w:b/>
          <w:sz w:val="21"/>
          <w:szCs w:val="21"/>
        </w:rPr>
      </w:pPr>
    </w:p>
    <w:p w14:paraId="549F0D26" w14:textId="1A70BC59" w:rsidR="000E21D2" w:rsidRPr="00AD79CC" w:rsidRDefault="00763554" w:rsidP="00AD2933">
      <w:pPr>
        <w:rPr>
          <w:rFonts w:asciiTheme="minorHAnsi" w:hAnsiTheme="minorHAnsi" w:cstheme="minorHAnsi"/>
          <w:i/>
          <w:color w:val="1D1D1B"/>
          <w:w w:val="105"/>
          <w:sz w:val="21"/>
          <w:szCs w:val="21"/>
        </w:rPr>
      </w:pPr>
      <w:r w:rsidRPr="00AD79CC">
        <w:rPr>
          <w:rFonts w:asciiTheme="minorHAnsi" w:hAnsiTheme="minorHAnsi" w:cstheme="minorHAnsi"/>
          <w:b/>
          <w:sz w:val="21"/>
          <w:szCs w:val="21"/>
        </w:rPr>
        <w:t>Poznámka pro média:</w:t>
      </w:r>
      <w:r w:rsidRPr="00AD79CC">
        <w:rPr>
          <w:rFonts w:asciiTheme="minorHAnsi" w:hAnsiTheme="minorHAnsi" w:cstheme="minorHAnsi"/>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Indexy</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je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možné</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volně</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spacing w:val="2"/>
          <w:w w:val="105"/>
          <w:sz w:val="21"/>
          <w:szCs w:val="21"/>
        </w:rPr>
        <w:t>publikovat</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pouze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s</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označením</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spacing w:val="-3"/>
          <w:w w:val="105"/>
          <w:sz w:val="21"/>
          <w:szCs w:val="21"/>
        </w:rPr>
        <w:t>(</w:t>
      </w:r>
      <w:r w:rsidRPr="00AD79CC">
        <w:rPr>
          <w:rFonts w:asciiTheme="minorHAnsi" w:hAnsiTheme="minorHAnsi" w:cstheme="minorHAnsi"/>
          <w:i/>
          <w:color w:val="1D1D1B"/>
          <w:spacing w:val="-3"/>
          <w:w w:val="105"/>
          <w:sz w:val="21"/>
          <w:szCs w:val="21"/>
        </w:rPr>
        <w:t>např.</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Broker</w:t>
      </w:r>
      <w:r w:rsidRPr="00AD79CC">
        <w:rPr>
          <w:rFonts w:asciiTheme="minorHAnsi" w:hAnsiTheme="minorHAnsi" w:cstheme="minorHAnsi"/>
          <w:i/>
          <w:color w:val="1D1D1B"/>
          <w:spacing w:val="-9"/>
          <w:w w:val="105"/>
          <w:sz w:val="21"/>
          <w:szCs w:val="21"/>
        </w:rPr>
        <w:t xml:space="preserve"> </w:t>
      </w:r>
      <w:r w:rsidRPr="00AD79CC">
        <w:rPr>
          <w:rFonts w:asciiTheme="minorHAnsi" w:hAnsiTheme="minorHAnsi" w:cstheme="minorHAnsi"/>
          <w:i/>
          <w:color w:val="1D1D1B"/>
          <w:w w:val="105"/>
          <w:sz w:val="21"/>
          <w:szCs w:val="21"/>
        </w:rPr>
        <w:t>Consulting</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 xml:space="preserve">Index hypotečních úvěrů). Více informací najdete též na webu </w:t>
      </w:r>
      <w:r w:rsidRPr="00AD79CC">
        <w:rPr>
          <w:rStyle w:val="Hypertextovodkaz"/>
          <w:rFonts w:asciiTheme="minorHAnsi" w:hAnsiTheme="minorHAnsi" w:cstheme="minorHAnsi"/>
          <w:i/>
          <w:w w:val="105"/>
          <w:sz w:val="21"/>
          <w:szCs w:val="21"/>
        </w:rPr>
        <w:t>https://www.bcas.cz/onas/pro-media/</w:t>
      </w:r>
      <w:r w:rsidRPr="00AD79CC">
        <w:rPr>
          <w:rFonts w:asciiTheme="minorHAnsi" w:hAnsiTheme="minorHAnsi" w:cstheme="minorHAnsi"/>
          <w:i/>
          <w:color w:val="1D1D1B"/>
          <w:w w:val="105"/>
          <w:sz w:val="21"/>
          <w:szCs w:val="21"/>
        </w:rPr>
        <w:t xml:space="preserve">. </w:t>
      </w:r>
    </w:p>
    <w:p w14:paraId="71F65714" w14:textId="2F88C0D2" w:rsidR="00B24DBE" w:rsidRPr="00AD79CC" w:rsidRDefault="00B24DBE" w:rsidP="00AD2933">
      <w:pPr>
        <w:rPr>
          <w:rFonts w:asciiTheme="minorHAnsi" w:hAnsiTheme="minorHAnsi" w:cstheme="minorHAnsi"/>
          <w:i/>
          <w:color w:val="1D1D1B"/>
          <w:w w:val="105"/>
          <w:sz w:val="21"/>
          <w:szCs w:val="21"/>
        </w:rPr>
      </w:pPr>
    </w:p>
    <w:p w14:paraId="10097972" w14:textId="6F8C2698" w:rsidR="00342E0B" w:rsidRDefault="00B24DBE" w:rsidP="00AD2933">
      <w:pPr>
        <w:rPr>
          <w:rFonts w:asciiTheme="minorHAnsi" w:hAnsiTheme="minorHAnsi" w:cstheme="minorHAnsi"/>
          <w:color w:val="1D1D1B"/>
          <w:w w:val="105"/>
          <w:sz w:val="21"/>
          <w:szCs w:val="21"/>
        </w:rPr>
      </w:pPr>
      <w:r w:rsidRPr="00AD79CC">
        <w:rPr>
          <w:rFonts w:asciiTheme="minorHAnsi" w:hAnsiTheme="minorHAnsi" w:cstheme="minorHAnsi"/>
          <w:b/>
          <w:color w:val="FF0000"/>
          <w:w w:val="105"/>
          <w:sz w:val="21"/>
          <w:szCs w:val="21"/>
        </w:rPr>
        <w:t>Broker Consulting Indexy je nyní možné sledovat v interaktivní formě na webu</w:t>
      </w:r>
      <w:r w:rsidRPr="00AD79CC">
        <w:rPr>
          <w:rFonts w:asciiTheme="minorHAnsi" w:hAnsiTheme="minorHAnsi" w:cstheme="minorHAnsi"/>
          <w:color w:val="1D1D1B"/>
          <w:w w:val="105"/>
          <w:sz w:val="21"/>
          <w:szCs w:val="21"/>
        </w:rPr>
        <w:t xml:space="preserve">. Zde lze zároveň exportovat zdrojová data ke grafům. Vice dostupné na odkaze: </w:t>
      </w:r>
      <w:hyperlink r:id="rId14" w:history="1">
        <w:r w:rsidR="00342E0B" w:rsidRPr="00C3366E">
          <w:rPr>
            <w:rStyle w:val="Hypertextovodkaz"/>
            <w:rFonts w:asciiTheme="minorHAnsi" w:hAnsiTheme="minorHAnsi" w:cstheme="minorHAnsi"/>
            <w:w w:val="105"/>
            <w:sz w:val="21"/>
            <w:szCs w:val="21"/>
          </w:rPr>
          <w:t>https://bcas.cz/pro-media/detail-indexu-broker-consulting-povindex</w:t>
        </w:r>
      </w:hyperlink>
    </w:p>
    <w:p w14:paraId="6C52618D" w14:textId="64258FC6" w:rsidR="00B24DBE" w:rsidRPr="00AD79CC" w:rsidRDefault="00BB27FC" w:rsidP="00AD2933">
      <w:pPr>
        <w:rPr>
          <w:rStyle w:val="Hypertextovodkaz"/>
          <w:rFonts w:asciiTheme="minorHAnsi" w:hAnsiTheme="minorHAnsi" w:cstheme="minorHAnsi"/>
          <w:w w:val="105"/>
          <w:sz w:val="21"/>
          <w:szCs w:val="21"/>
        </w:rPr>
      </w:pPr>
      <w:r w:rsidRPr="00AD79CC">
        <w:rPr>
          <w:rFonts w:asciiTheme="minorHAnsi" w:hAnsiTheme="minorHAnsi" w:cstheme="minorHAnsi"/>
          <w:b/>
          <w:i/>
          <w:w w:val="105"/>
          <w:sz w:val="21"/>
          <w:szCs w:val="21"/>
        </w:rPr>
        <w:fldChar w:fldCharType="begin"/>
      </w:r>
      <w:r w:rsidRPr="00AD79CC">
        <w:rPr>
          <w:rFonts w:asciiTheme="minorHAnsi" w:hAnsiTheme="minorHAnsi" w:cstheme="minorHAnsi"/>
          <w:b/>
          <w:i/>
          <w:w w:val="105"/>
          <w:sz w:val="21"/>
          <w:szCs w:val="21"/>
        </w:rPr>
        <w:instrText xml:space="preserve"> HYPERLINK "https://www.bcas.cz/o-nas/broker-consulting-povindex/" </w:instrText>
      </w:r>
      <w:r w:rsidRPr="00AD79CC">
        <w:rPr>
          <w:rFonts w:asciiTheme="minorHAnsi" w:hAnsiTheme="minorHAnsi" w:cstheme="minorHAnsi"/>
          <w:b/>
          <w:i/>
          <w:w w:val="105"/>
          <w:sz w:val="21"/>
          <w:szCs w:val="21"/>
        </w:rPr>
        <w:fldChar w:fldCharType="separate"/>
      </w:r>
    </w:p>
    <w:p w14:paraId="43CFEAAA" w14:textId="552835E9" w:rsidR="000E21D2" w:rsidRPr="00AD79CC" w:rsidRDefault="00BB27FC" w:rsidP="00DE7CE1">
      <w:pPr>
        <w:pStyle w:val="Bezmezer"/>
        <w:rPr>
          <w:rFonts w:eastAsia="F015TEELig" w:cstheme="minorHAnsi"/>
          <w:b/>
          <w:sz w:val="21"/>
          <w:szCs w:val="21"/>
        </w:rPr>
      </w:pPr>
      <w:r w:rsidRPr="00AD79CC">
        <w:rPr>
          <w:rFonts w:eastAsia="F015TEELig" w:cstheme="minorHAnsi"/>
          <w:b/>
          <w:i/>
          <w:w w:val="105"/>
          <w:sz w:val="21"/>
          <w:szCs w:val="21"/>
          <w:lang w:bidi="cs-CZ"/>
        </w:rPr>
        <w:fldChar w:fldCharType="end"/>
      </w:r>
    </w:p>
    <w:p w14:paraId="7966D3DF" w14:textId="74C850C7" w:rsidR="00DE7CE1" w:rsidRPr="00AD79CC" w:rsidRDefault="00866220" w:rsidP="00DE7CE1">
      <w:pPr>
        <w:pStyle w:val="Bezmezer"/>
        <w:rPr>
          <w:rFonts w:eastAsia="F015TEELig" w:cstheme="minorHAnsi"/>
          <w:b/>
          <w:sz w:val="21"/>
          <w:szCs w:val="21"/>
        </w:rPr>
      </w:pPr>
      <w:r w:rsidRPr="00AD79CC">
        <w:rPr>
          <w:rFonts w:eastAsia="F015TEELig" w:cstheme="minorHAnsi"/>
          <w:b/>
          <w:sz w:val="21"/>
          <w:szCs w:val="21"/>
        </w:rPr>
        <w:t>Kontakt pro média:</w:t>
      </w:r>
    </w:p>
    <w:p w14:paraId="2ACFC1DB" w14:textId="37A10837" w:rsidR="00DE7CE1" w:rsidRPr="00AD79CC" w:rsidRDefault="00AD3D91" w:rsidP="00DE7CE1">
      <w:pPr>
        <w:pStyle w:val="Bezmezer"/>
        <w:rPr>
          <w:rFonts w:eastAsia="F015TEELig" w:cstheme="minorHAnsi"/>
          <w:sz w:val="21"/>
          <w:szCs w:val="21"/>
        </w:rPr>
      </w:pPr>
      <w:r>
        <w:rPr>
          <w:rFonts w:eastAsia="F015TEELig" w:cstheme="minorHAnsi"/>
          <w:sz w:val="21"/>
          <w:szCs w:val="21"/>
        </w:rPr>
        <w:t>Lenka Kuželová</w:t>
      </w:r>
    </w:p>
    <w:p w14:paraId="3373094C" w14:textId="6E64C468" w:rsidR="00866220" w:rsidRPr="00AD79CC" w:rsidRDefault="00866220" w:rsidP="00DE7CE1">
      <w:pPr>
        <w:pStyle w:val="Bezmezer"/>
        <w:rPr>
          <w:rFonts w:eastAsia="F015TEELig" w:cstheme="minorHAnsi"/>
          <w:sz w:val="21"/>
          <w:szCs w:val="21"/>
        </w:rPr>
      </w:pPr>
      <w:r w:rsidRPr="00AD79CC">
        <w:rPr>
          <w:rFonts w:eastAsia="F015TEELig" w:cstheme="minorHAnsi"/>
          <w:sz w:val="21"/>
          <w:szCs w:val="21"/>
        </w:rPr>
        <w:t>Specialistka PR a externí komunikace</w:t>
      </w:r>
    </w:p>
    <w:p w14:paraId="6FC0F9F5" w14:textId="72746B7C" w:rsidR="004C7BB5" w:rsidRPr="00AD79CC" w:rsidRDefault="00AD3D91" w:rsidP="00A1017F">
      <w:pPr>
        <w:pStyle w:val="Bezmezer"/>
        <w:rPr>
          <w:rFonts w:eastAsia="F015TEELig" w:cstheme="minorHAnsi"/>
          <w:sz w:val="21"/>
          <w:szCs w:val="21"/>
        </w:rPr>
      </w:pPr>
      <w:r>
        <w:rPr>
          <w:rFonts w:eastAsia="F015TEELig" w:cstheme="minorHAnsi"/>
          <w:sz w:val="21"/>
          <w:szCs w:val="21"/>
        </w:rPr>
        <w:t>Mobil: +420 731 929 990</w:t>
      </w:r>
      <w:r w:rsidR="005B3E4A" w:rsidRPr="00AD79CC">
        <w:rPr>
          <w:rFonts w:eastAsia="F015TEELig" w:cstheme="minorHAnsi"/>
          <w:sz w:val="21"/>
          <w:szCs w:val="21"/>
        </w:rPr>
        <w:t>, e</w:t>
      </w:r>
      <w:r w:rsidR="00866220" w:rsidRPr="00AD79CC">
        <w:rPr>
          <w:rFonts w:eastAsia="F015TEELig" w:cstheme="minorHAnsi"/>
          <w:sz w:val="21"/>
          <w:szCs w:val="21"/>
        </w:rPr>
        <w:t>-mail:</w:t>
      </w:r>
      <w:r w:rsidR="00866220" w:rsidRPr="00AD79CC">
        <w:rPr>
          <w:rFonts w:eastAsia="Calibri" w:cstheme="minorHAnsi"/>
          <w:noProof/>
          <w:sz w:val="21"/>
          <w:szCs w:val="21"/>
        </w:rPr>
        <w:t xml:space="preserve"> </w:t>
      </w:r>
      <w:hyperlink r:id="rId15"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sectPr w:rsidR="004C7BB5" w:rsidRPr="00AD79CC" w:rsidSect="006B54C7">
      <w:headerReference w:type="default" r:id="rId16"/>
      <w:footerReference w:type="default" r:id="rId17"/>
      <w:headerReference w:type="first" r:id="rId18"/>
      <w:footerReference w:type="first" r:id="rId19"/>
      <w:type w:val="continuous"/>
      <w:pgSz w:w="11910" w:h="16840"/>
      <w:pgMar w:top="1985" w:right="711" w:bottom="2410" w:left="720"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76AEB" w14:textId="77777777" w:rsidR="00F023BF" w:rsidRDefault="00F023BF">
      <w:r>
        <w:separator/>
      </w:r>
    </w:p>
  </w:endnote>
  <w:endnote w:type="continuationSeparator" w:id="0">
    <w:p w14:paraId="7893CA98" w14:textId="77777777" w:rsidR="00F023BF" w:rsidRDefault="00F02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367749"/>
      <w:docPartObj>
        <w:docPartGallery w:val="Page Numbers (Bottom of Page)"/>
        <w:docPartUnique/>
      </w:docPartObj>
    </w:sdtPr>
    <w:sdtEndPr/>
    <w:sdtContent>
      <w:p w14:paraId="3298633F" w14:textId="1F1388B6" w:rsidR="006B54C7" w:rsidRPr="006B54C7" w:rsidRDefault="006B54C7">
        <w:pPr>
          <w:pStyle w:val="Zpat"/>
          <w:jc w:val="center"/>
          <w:rPr>
            <w:rFonts w:asciiTheme="minorHAnsi" w:hAnsiTheme="minorHAnsi" w:cstheme="minorHAnsi"/>
            <w:sz w:val="20"/>
            <w:szCs w:val="20"/>
          </w:rPr>
        </w:pPr>
        <w:r w:rsidRPr="006B54C7">
          <w:rPr>
            <w:rFonts w:asciiTheme="minorHAnsi" w:hAnsiTheme="minorHAnsi" w:cstheme="minorHAnsi"/>
            <w:sz w:val="20"/>
            <w:szCs w:val="20"/>
          </w:rPr>
          <w:fldChar w:fldCharType="begin"/>
        </w:r>
        <w:r w:rsidRPr="006B54C7">
          <w:rPr>
            <w:rFonts w:asciiTheme="minorHAnsi" w:hAnsiTheme="minorHAnsi" w:cstheme="minorHAnsi"/>
            <w:sz w:val="20"/>
            <w:szCs w:val="20"/>
          </w:rPr>
          <w:instrText>PAGE   \* MERGEFORMAT</w:instrText>
        </w:r>
        <w:r w:rsidRPr="006B54C7">
          <w:rPr>
            <w:rFonts w:asciiTheme="minorHAnsi" w:hAnsiTheme="minorHAnsi" w:cstheme="minorHAnsi"/>
            <w:sz w:val="20"/>
            <w:szCs w:val="20"/>
          </w:rPr>
          <w:fldChar w:fldCharType="separate"/>
        </w:r>
        <w:r w:rsidR="0037368D">
          <w:rPr>
            <w:rFonts w:asciiTheme="minorHAnsi" w:hAnsiTheme="minorHAnsi" w:cstheme="minorHAnsi"/>
            <w:noProof/>
            <w:sz w:val="20"/>
            <w:szCs w:val="20"/>
          </w:rPr>
          <w:t>3</w:t>
        </w:r>
        <w:r w:rsidRPr="006B54C7">
          <w:rPr>
            <w:rFonts w:asciiTheme="minorHAnsi" w:hAnsiTheme="minorHAnsi" w:cstheme="minorHAnsi"/>
            <w:sz w:val="20"/>
            <w:szCs w:val="20"/>
          </w:rPr>
          <w:fldChar w:fldCharType="end"/>
        </w:r>
        <w:r w:rsidR="0016561D">
          <w:rPr>
            <w:rFonts w:asciiTheme="minorHAnsi" w:hAnsiTheme="minorHAnsi" w:cstheme="minorHAnsi"/>
            <w:sz w:val="20"/>
            <w:szCs w:val="20"/>
          </w:rPr>
          <w:t>/4</w:t>
        </w:r>
      </w:p>
      <w:p w14:paraId="5AF2E761" w14:textId="77777777" w:rsidR="006B54C7" w:rsidRDefault="006B54C7">
        <w:pPr>
          <w:pStyle w:val="Zpat"/>
          <w:jc w:val="center"/>
        </w:pPr>
      </w:p>
      <w:p w14:paraId="21AECC00" w14:textId="52E0DABD" w:rsidR="006B54C7" w:rsidRDefault="00F023BF">
        <w:pPr>
          <w:pStyle w:val="Zpat"/>
          <w:jc w:val="center"/>
        </w:pPr>
      </w:p>
    </w:sdtContent>
  </w:sdt>
  <w:p w14:paraId="43F5299E" w14:textId="77777777" w:rsidR="00D31127" w:rsidRDefault="00D3112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47466" w14:textId="77777777" w:rsidR="00F023BF" w:rsidRDefault="00F023BF">
      <w:r>
        <w:separator/>
      </w:r>
    </w:p>
  </w:footnote>
  <w:footnote w:type="continuationSeparator" w:id="0">
    <w:p w14:paraId="082E0E1D" w14:textId="77777777" w:rsidR="00F023BF" w:rsidRDefault="00F02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C8584A" w:rsidRDefault="00B65A3B" w:rsidP="00B65A3B">
    <w:pPr>
      <w:pStyle w:val="Nadpis2"/>
      <w:ind w:left="1440" w:firstLine="720"/>
      <w:rPr>
        <w:rFonts w:asciiTheme="minorHAnsi" w:hAnsiTheme="minorHAnsi" w:cstheme="minorHAnsi"/>
      </w:rPr>
    </w:pPr>
    <w:r w:rsidRPr="00C8584A">
      <w:rPr>
        <w:rFonts w:asciiTheme="minorHAnsi" w:hAnsiTheme="minorHAnsi" w:cstheme="minorHAnsi"/>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C8584A">
      <w:rPr>
        <w:rFonts w:asciiTheme="minorHAnsi" w:hAnsiTheme="minorHAnsi" w:cstheme="minorHAnsi"/>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C8584A">
      <w:rPr>
        <w:rFonts w:asciiTheme="minorHAnsi" w:hAnsiTheme="minorHAnsi" w:cstheme="minorHAnsi"/>
        <w:color w:val="1D1D1B"/>
      </w:rPr>
      <w:t>BROKER CONSULTING</w:t>
    </w:r>
  </w:p>
  <w:p w14:paraId="5006E230" w14:textId="00520F85" w:rsidR="00C8584A" w:rsidRPr="00AD79CC" w:rsidRDefault="00AF0BE0" w:rsidP="00AD79CC">
    <w:pPr>
      <w:spacing w:before="85"/>
      <w:ind w:left="1440" w:firstLine="720"/>
      <w:rPr>
        <w:rFonts w:asciiTheme="minorHAnsi" w:hAnsiTheme="minorHAnsi" w:cstheme="minorHAnsi"/>
        <w:sz w:val="28"/>
        <w:szCs w:val="28"/>
      </w:rPr>
    </w:pPr>
    <w:r w:rsidRPr="00C8584A">
      <w:rPr>
        <w:rFonts w:asciiTheme="minorHAnsi" w:hAnsiTheme="minorHAnsi" w:cstheme="minorHAnsi"/>
        <w:color w:val="E52713"/>
        <w:sz w:val="28"/>
        <w:szCs w:val="28"/>
      </w:rPr>
      <w:t>POV</w:t>
    </w:r>
    <w:r w:rsidR="00B65A3B" w:rsidRPr="00C8584A">
      <w:rPr>
        <w:rFonts w:asciiTheme="minorHAnsi" w:hAnsiTheme="minorHAnsi" w:cstheme="minorHAnsi"/>
        <w:color w:val="E52713"/>
        <w:sz w:val="28"/>
        <w:szCs w:val="28"/>
      </w:rPr>
      <w:t xml:space="preserve">INDEX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DAF"/>
    <w:multiLevelType w:val="hybridMultilevel"/>
    <w:tmpl w:val="0DA01C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4" w15:restartNumberingAfterBreak="0">
    <w:nsid w:val="0A754CF1"/>
    <w:multiLevelType w:val="hybridMultilevel"/>
    <w:tmpl w:val="F09E62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B1DC4"/>
    <w:multiLevelType w:val="hybridMultilevel"/>
    <w:tmpl w:val="1A1055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70C3309"/>
    <w:multiLevelType w:val="multilevel"/>
    <w:tmpl w:val="22489C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7"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8" w15:restartNumberingAfterBreak="0">
    <w:nsid w:val="3D662D9D"/>
    <w:multiLevelType w:val="multilevel"/>
    <w:tmpl w:val="2A4E4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4D5F26"/>
    <w:multiLevelType w:val="hybridMultilevel"/>
    <w:tmpl w:val="4874EE9E"/>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FCD5F30"/>
    <w:multiLevelType w:val="hybridMultilevel"/>
    <w:tmpl w:val="DA08E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3335BB"/>
    <w:multiLevelType w:val="hybridMultilevel"/>
    <w:tmpl w:val="2D84B016"/>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C1F18A9"/>
    <w:multiLevelType w:val="hybridMultilevel"/>
    <w:tmpl w:val="7C4A94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EE273E1"/>
    <w:multiLevelType w:val="multilevel"/>
    <w:tmpl w:val="939A0AD0"/>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7A1A42"/>
    <w:multiLevelType w:val="hybridMultilevel"/>
    <w:tmpl w:val="1CF8DB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F6AE4"/>
    <w:multiLevelType w:val="multilevel"/>
    <w:tmpl w:val="55C25D2C"/>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440" w:hanging="720"/>
      </w:p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483161"/>
    <w:multiLevelType w:val="hybridMultilevel"/>
    <w:tmpl w:val="003EA9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33A4CC9"/>
    <w:multiLevelType w:val="hybridMultilevel"/>
    <w:tmpl w:val="E83CD1B2"/>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4716B7F"/>
    <w:multiLevelType w:val="hybridMultilevel"/>
    <w:tmpl w:val="80BC2D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C22BAC"/>
    <w:multiLevelType w:val="hybridMultilevel"/>
    <w:tmpl w:val="4CE0AA9A"/>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6"/>
  </w:num>
  <w:num w:numId="4">
    <w:abstractNumId w:val="7"/>
  </w:num>
  <w:num w:numId="5">
    <w:abstractNumId w:val="1"/>
  </w:num>
  <w:num w:numId="6">
    <w:abstractNumId w:val="28"/>
  </w:num>
  <w:num w:numId="7">
    <w:abstractNumId w:val="15"/>
  </w:num>
  <w:num w:numId="8">
    <w:abstractNumId w:val="14"/>
  </w:num>
  <w:num w:numId="9">
    <w:abstractNumId w:val="11"/>
  </w:num>
  <w:num w:numId="10">
    <w:abstractNumId w:val="13"/>
  </w:num>
  <w:num w:numId="11">
    <w:abstractNumId w:val="8"/>
  </w:num>
  <w:num w:numId="12">
    <w:abstractNumId w:val="5"/>
  </w:num>
  <w:num w:numId="13">
    <w:abstractNumId w:val="21"/>
  </w:num>
  <w:num w:numId="14">
    <w:abstractNumId w:val="34"/>
  </w:num>
  <w:num w:numId="15">
    <w:abstractNumId w:val="2"/>
  </w:num>
  <w:num w:numId="16">
    <w:abstractNumId w:val="17"/>
  </w:num>
  <w:num w:numId="17">
    <w:abstractNumId w:val="6"/>
  </w:num>
  <w:num w:numId="18">
    <w:abstractNumId w:val="12"/>
  </w:num>
  <w:num w:numId="19">
    <w:abstractNumId w:val="25"/>
  </w:num>
  <w:num w:numId="20">
    <w:abstractNumId w:val="30"/>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3"/>
      <w:lvl w:ilvl="0">
        <w:start w:val="3"/>
        <w:numFmt w:val="decimal"/>
        <w:lvlText w:val="%1."/>
        <w:lvlJc w:val="left"/>
        <w:pPr>
          <w:ind w:left="0" w:firstLine="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9"/>
    <w:lvlOverride w:ilvl="0"/>
    <w:lvlOverride w:ilvl="1">
      <w:startOverride w:val="4"/>
    </w:lvlOverride>
    <w:lvlOverride w:ilvl="2"/>
    <w:lvlOverride w:ilvl="3"/>
    <w:lvlOverride w:ilvl="4"/>
    <w:lvlOverride w:ilvl="5"/>
    <w:lvlOverride w:ilvl="6"/>
    <w:lvlOverride w:ilvl="7"/>
    <w:lvlOverride w:ilvl="8"/>
  </w:num>
  <w:num w:numId="24">
    <w:abstractNumId w:val="27"/>
  </w:num>
  <w:num w:numId="25">
    <w:abstractNumId w:val="20"/>
  </w:num>
  <w:num w:numId="26">
    <w:abstractNumId w:val="23"/>
  </w:num>
  <w:num w:numId="27">
    <w:abstractNumId w:val="0"/>
  </w:num>
  <w:num w:numId="28">
    <w:abstractNumId w:val="31"/>
  </w:num>
  <w:num w:numId="29">
    <w:abstractNumId w:val="27"/>
  </w:num>
  <w:num w:numId="30">
    <w:abstractNumId w:val="33"/>
  </w:num>
  <w:num w:numId="31">
    <w:abstractNumId w:val="4"/>
  </w:num>
  <w:num w:numId="32">
    <w:abstractNumId w:val="19"/>
  </w:num>
  <w:num w:numId="33">
    <w:abstractNumId w:val="32"/>
  </w:num>
  <w:num w:numId="34">
    <w:abstractNumId w:val="35"/>
  </w:num>
  <w:num w:numId="35">
    <w:abstractNumId w:val="22"/>
  </w:num>
  <w:num w:numId="36">
    <w:abstractNumId w:val="9"/>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4F71"/>
    <w:rsid w:val="000050D4"/>
    <w:rsid w:val="000052D9"/>
    <w:rsid w:val="00005EF0"/>
    <w:rsid w:val="00005FCB"/>
    <w:rsid w:val="00010812"/>
    <w:rsid w:val="000118E9"/>
    <w:rsid w:val="00011BB8"/>
    <w:rsid w:val="00011E95"/>
    <w:rsid w:val="00012E2F"/>
    <w:rsid w:val="00014A3B"/>
    <w:rsid w:val="000153FB"/>
    <w:rsid w:val="00015694"/>
    <w:rsid w:val="00016100"/>
    <w:rsid w:val="0002531C"/>
    <w:rsid w:val="00025983"/>
    <w:rsid w:val="000262FD"/>
    <w:rsid w:val="00026F23"/>
    <w:rsid w:val="00030BBF"/>
    <w:rsid w:val="00031C6E"/>
    <w:rsid w:val="00032AD6"/>
    <w:rsid w:val="00032D94"/>
    <w:rsid w:val="000374D7"/>
    <w:rsid w:val="0004010D"/>
    <w:rsid w:val="00041008"/>
    <w:rsid w:val="0004359F"/>
    <w:rsid w:val="0004360D"/>
    <w:rsid w:val="000504BA"/>
    <w:rsid w:val="00053099"/>
    <w:rsid w:val="0005423A"/>
    <w:rsid w:val="00055470"/>
    <w:rsid w:val="0005574A"/>
    <w:rsid w:val="0005628C"/>
    <w:rsid w:val="00056BB7"/>
    <w:rsid w:val="00056ECA"/>
    <w:rsid w:val="000607B6"/>
    <w:rsid w:val="00062E18"/>
    <w:rsid w:val="00066A72"/>
    <w:rsid w:val="00067BA6"/>
    <w:rsid w:val="000705A5"/>
    <w:rsid w:val="00070D3C"/>
    <w:rsid w:val="00071274"/>
    <w:rsid w:val="0007198D"/>
    <w:rsid w:val="0007340D"/>
    <w:rsid w:val="00073462"/>
    <w:rsid w:val="00076845"/>
    <w:rsid w:val="00076C44"/>
    <w:rsid w:val="00077CC7"/>
    <w:rsid w:val="00082C13"/>
    <w:rsid w:val="0008347F"/>
    <w:rsid w:val="00083E38"/>
    <w:rsid w:val="00085EEC"/>
    <w:rsid w:val="0008656E"/>
    <w:rsid w:val="000866C0"/>
    <w:rsid w:val="00086F8F"/>
    <w:rsid w:val="00087124"/>
    <w:rsid w:val="00087ACF"/>
    <w:rsid w:val="00087D87"/>
    <w:rsid w:val="00090C9C"/>
    <w:rsid w:val="00090F2A"/>
    <w:rsid w:val="00091509"/>
    <w:rsid w:val="00094F77"/>
    <w:rsid w:val="00096AE4"/>
    <w:rsid w:val="000A06EA"/>
    <w:rsid w:val="000A170E"/>
    <w:rsid w:val="000A3637"/>
    <w:rsid w:val="000A51D0"/>
    <w:rsid w:val="000A6FB0"/>
    <w:rsid w:val="000A7437"/>
    <w:rsid w:val="000A74DD"/>
    <w:rsid w:val="000A77CE"/>
    <w:rsid w:val="000B6053"/>
    <w:rsid w:val="000C1AB4"/>
    <w:rsid w:val="000C1BE2"/>
    <w:rsid w:val="000C32B0"/>
    <w:rsid w:val="000C351D"/>
    <w:rsid w:val="000C38CB"/>
    <w:rsid w:val="000C3C4C"/>
    <w:rsid w:val="000C4DDE"/>
    <w:rsid w:val="000C53D6"/>
    <w:rsid w:val="000C5490"/>
    <w:rsid w:val="000C5B38"/>
    <w:rsid w:val="000C7119"/>
    <w:rsid w:val="000C74BD"/>
    <w:rsid w:val="000C7FAE"/>
    <w:rsid w:val="000D11FB"/>
    <w:rsid w:val="000D133F"/>
    <w:rsid w:val="000D1503"/>
    <w:rsid w:val="000D2044"/>
    <w:rsid w:val="000D2DDE"/>
    <w:rsid w:val="000D333C"/>
    <w:rsid w:val="000D6870"/>
    <w:rsid w:val="000E21D2"/>
    <w:rsid w:val="000E286C"/>
    <w:rsid w:val="000E36C6"/>
    <w:rsid w:val="000E4DDD"/>
    <w:rsid w:val="000E7086"/>
    <w:rsid w:val="000F040D"/>
    <w:rsid w:val="000F1935"/>
    <w:rsid w:val="000F47AE"/>
    <w:rsid w:val="000F56EF"/>
    <w:rsid w:val="000F6249"/>
    <w:rsid w:val="000F7DEE"/>
    <w:rsid w:val="00100869"/>
    <w:rsid w:val="00100CE7"/>
    <w:rsid w:val="00103ED8"/>
    <w:rsid w:val="0010426A"/>
    <w:rsid w:val="00104FCB"/>
    <w:rsid w:val="00106651"/>
    <w:rsid w:val="00107E00"/>
    <w:rsid w:val="00107E36"/>
    <w:rsid w:val="00112F65"/>
    <w:rsid w:val="00114392"/>
    <w:rsid w:val="00114D2B"/>
    <w:rsid w:val="00114D66"/>
    <w:rsid w:val="00114E09"/>
    <w:rsid w:val="00115CF8"/>
    <w:rsid w:val="00116173"/>
    <w:rsid w:val="00116A29"/>
    <w:rsid w:val="00117806"/>
    <w:rsid w:val="00117988"/>
    <w:rsid w:val="0012132F"/>
    <w:rsid w:val="0012539C"/>
    <w:rsid w:val="0012713E"/>
    <w:rsid w:val="0013044E"/>
    <w:rsid w:val="00131F7B"/>
    <w:rsid w:val="001338F6"/>
    <w:rsid w:val="00133BFD"/>
    <w:rsid w:val="0013512D"/>
    <w:rsid w:val="00136D21"/>
    <w:rsid w:val="00137003"/>
    <w:rsid w:val="001377A4"/>
    <w:rsid w:val="00137E3C"/>
    <w:rsid w:val="00140DA4"/>
    <w:rsid w:val="00141303"/>
    <w:rsid w:val="001434CE"/>
    <w:rsid w:val="0014388A"/>
    <w:rsid w:val="001449CB"/>
    <w:rsid w:val="00146956"/>
    <w:rsid w:val="00147427"/>
    <w:rsid w:val="00147995"/>
    <w:rsid w:val="00150500"/>
    <w:rsid w:val="00151FD6"/>
    <w:rsid w:val="00152185"/>
    <w:rsid w:val="00152EDC"/>
    <w:rsid w:val="00153161"/>
    <w:rsid w:val="00155667"/>
    <w:rsid w:val="00160060"/>
    <w:rsid w:val="001603AF"/>
    <w:rsid w:val="00164219"/>
    <w:rsid w:val="00165614"/>
    <w:rsid w:val="0016561D"/>
    <w:rsid w:val="001665AA"/>
    <w:rsid w:val="0017117C"/>
    <w:rsid w:val="001722EA"/>
    <w:rsid w:val="001727F8"/>
    <w:rsid w:val="00173C9F"/>
    <w:rsid w:val="00174065"/>
    <w:rsid w:val="00174394"/>
    <w:rsid w:val="00176EF9"/>
    <w:rsid w:val="0017797E"/>
    <w:rsid w:val="00177E6B"/>
    <w:rsid w:val="0018139F"/>
    <w:rsid w:val="00181E9B"/>
    <w:rsid w:val="00182AED"/>
    <w:rsid w:val="00183213"/>
    <w:rsid w:val="001844F8"/>
    <w:rsid w:val="0018541B"/>
    <w:rsid w:val="00186E95"/>
    <w:rsid w:val="00190C04"/>
    <w:rsid w:val="00190E10"/>
    <w:rsid w:val="00193B5D"/>
    <w:rsid w:val="001944E9"/>
    <w:rsid w:val="001945FC"/>
    <w:rsid w:val="00194628"/>
    <w:rsid w:val="00194A47"/>
    <w:rsid w:val="00197408"/>
    <w:rsid w:val="00197411"/>
    <w:rsid w:val="00197AF4"/>
    <w:rsid w:val="00197DE5"/>
    <w:rsid w:val="001A04EE"/>
    <w:rsid w:val="001A210B"/>
    <w:rsid w:val="001A269A"/>
    <w:rsid w:val="001A4DDB"/>
    <w:rsid w:val="001A54DD"/>
    <w:rsid w:val="001A6282"/>
    <w:rsid w:val="001B195D"/>
    <w:rsid w:val="001B1C05"/>
    <w:rsid w:val="001B444A"/>
    <w:rsid w:val="001B4EE4"/>
    <w:rsid w:val="001B5A35"/>
    <w:rsid w:val="001B5D34"/>
    <w:rsid w:val="001B79AC"/>
    <w:rsid w:val="001B7B44"/>
    <w:rsid w:val="001C0941"/>
    <w:rsid w:val="001C4A67"/>
    <w:rsid w:val="001C4C44"/>
    <w:rsid w:val="001D2EF2"/>
    <w:rsid w:val="001D3C90"/>
    <w:rsid w:val="001E1593"/>
    <w:rsid w:val="001E265F"/>
    <w:rsid w:val="001E2B55"/>
    <w:rsid w:val="001E2DCC"/>
    <w:rsid w:val="001E3E63"/>
    <w:rsid w:val="001E4C14"/>
    <w:rsid w:val="001E4D1C"/>
    <w:rsid w:val="001E68DE"/>
    <w:rsid w:val="001F108C"/>
    <w:rsid w:val="001F27AC"/>
    <w:rsid w:val="001F4AE1"/>
    <w:rsid w:val="001F7F2E"/>
    <w:rsid w:val="00200F89"/>
    <w:rsid w:val="002018E9"/>
    <w:rsid w:val="0020191F"/>
    <w:rsid w:val="00202BE8"/>
    <w:rsid w:val="002108A4"/>
    <w:rsid w:val="00211C5C"/>
    <w:rsid w:val="002137BD"/>
    <w:rsid w:val="00214949"/>
    <w:rsid w:val="00214E98"/>
    <w:rsid w:val="00215EF1"/>
    <w:rsid w:val="00215FFE"/>
    <w:rsid w:val="00216985"/>
    <w:rsid w:val="002174D5"/>
    <w:rsid w:val="002234A8"/>
    <w:rsid w:val="0022642E"/>
    <w:rsid w:val="00233262"/>
    <w:rsid w:val="002333DA"/>
    <w:rsid w:val="0023472C"/>
    <w:rsid w:val="00235828"/>
    <w:rsid w:val="002365F3"/>
    <w:rsid w:val="00236B96"/>
    <w:rsid w:val="00236DF8"/>
    <w:rsid w:val="00237068"/>
    <w:rsid w:val="00237B09"/>
    <w:rsid w:val="00237D4E"/>
    <w:rsid w:val="00240ABC"/>
    <w:rsid w:val="00240BAE"/>
    <w:rsid w:val="00240BD7"/>
    <w:rsid w:val="00240F71"/>
    <w:rsid w:val="00241313"/>
    <w:rsid w:val="002414C7"/>
    <w:rsid w:val="0024150C"/>
    <w:rsid w:val="00242251"/>
    <w:rsid w:val="00243E38"/>
    <w:rsid w:val="00246661"/>
    <w:rsid w:val="002506AD"/>
    <w:rsid w:val="00251CC1"/>
    <w:rsid w:val="0025264B"/>
    <w:rsid w:val="00253417"/>
    <w:rsid w:val="0025408A"/>
    <w:rsid w:val="00254F1F"/>
    <w:rsid w:val="002555B1"/>
    <w:rsid w:val="00255D9F"/>
    <w:rsid w:val="00255E96"/>
    <w:rsid w:val="00255FAB"/>
    <w:rsid w:val="00256498"/>
    <w:rsid w:val="0026064A"/>
    <w:rsid w:val="002609B2"/>
    <w:rsid w:val="00261C33"/>
    <w:rsid w:val="00261EE7"/>
    <w:rsid w:val="002620DC"/>
    <w:rsid w:val="002636B1"/>
    <w:rsid w:val="00266249"/>
    <w:rsid w:val="002665EC"/>
    <w:rsid w:val="00267A14"/>
    <w:rsid w:val="00267AB1"/>
    <w:rsid w:val="00267F28"/>
    <w:rsid w:val="00270DB3"/>
    <w:rsid w:val="00275325"/>
    <w:rsid w:val="00277E70"/>
    <w:rsid w:val="002805D4"/>
    <w:rsid w:val="0028080D"/>
    <w:rsid w:val="002812A1"/>
    <w:rsid w:val="00281378"/>
    <w:rsid w:val="0028211A"/>
    <w:rsid w:val="002912BF"/>
    <w:rsid w:val="002928FF"/>
    <w:rsid w:val="00293046"/>
    <w:rsid w:val="0029552F"/>
    <w:rsid w:val="00295CB7"/>
    <w:rsid w:val="00295DB6"/>
    <w:rsid w:val="0029614B"/>
    <w:rsid w:val="00296C74"/>
    <w:rsid w:val="002A0C59"/>
    <w:rsid w:val="002A2FB9"/>
    <w:rsid w:val="002A4AC0"/>
    <w:rsid w:val="002A7348"/>
    <w:rsid w:val="002A7AE9"/>
    <w:rsid w:val="002A7D3D"/>
    <w:rsid w:val="002A7DB8"/>
    <w:rsid w:val="002B053B"/>
    <w:rsid w:val="002B3EE0"/>
    <w:rsid w:val="002B5B4B"/>
    <w:rsid w:val="002B6A48"/>
    <w:rsid w:val="002C0392"/>
    <w:rsid w:val="002C201F"/>
    <w:rsid w:val="002C2283"/>
    <w:rsid w:val="002C635D"/>
    <w:rsid w:val="002D4E88"/>
    <w:rsid w:val="002D5492"/>
    <w:rsid w:val="002E2785"/>
    <w:rsid w:val="002E27C5"/>
    <w:rsid w:val="002E2F8E"/>
    <w:rsid w:val="002F0335"/>
    <w:rsid w:val="002F0C79"/>
    <w:rsid w:val="002F2D65"/>
    <w:rsid w:val="002F5A42"/>
    <w:rsid w:val="002F5A56"/>
    <w:rsid w:val="002F6814"/>
    <w:rsid w:val="002F68D1"/>
    <w:rsid w:val="002F7D09"/>
    <w:rsid w:val="003009FF"/>
    <w:rsid w:val="00301660"/>
    <w:rsid w:val="00302322"/>
    <w:rsid w:val="00302AE6"/>
    <w:rsid w:val="00303223"/>
    <w:rsid w:val="00303BCE"/>
    <w:rsid w:val="00303C85"/>
    <w:rsid w:val="0030477F"/>
    <w:rsid w:val="003059C9"/>
    <w:rsid w:val="00305EA9"/>
    <w:rsid w:val="00307CEB"/>
    <w:rsid w:val="00307D0F"/>
    <w:rsid w:val="00312311"/>
    <w:rsid w:val="003128F8"/>
    <w:rsid w:val="00317F08"/>
    <w:rsid w:val="003203FF"/>
    <w:rsid w:val="00321026"/>
    <w:rsid w:val="0032274C"/>
    <w:rsid w:val="00322757"/>
    <w:rsid w:val="00322BE1"/>
    <w:rsid w:val="00325CD8"/>
    <w:rsid w:val="00326268"/>
    <w:rsid w:val="00330918"/>
    <w:rsid w:val="0033104C"/>
    <w:rsid w:val="00334CD1"/>
    <w:rsid w:val="003404F4"/>
    <w:rsid w:val="00341A59"/>
    <w:rsid w:val="003428A4"/>
    <w:rsid w:val="00342E0B"/>
    <w:rsid w:val="003434AD"/>
    <w:rsid w:val="003450E1"/>
    <w:rsid w:val="00345D3E"/>
    <w:rsid w:val="003466B5"/>
    <w:rsid w:val="003473B3"/>
    <w:rsid w:val="00347557"/>
    <w:rsid w:val="003504FD"/>
    <w:rsid w:val="00352433"/>
    <w:rsid w:val="0035286E"/>
    <w:rsid w:val="00352D61"/>
    <w:rsid w:val="00354DBF"/>
    <w:rsid w:val="00356FFC"/>
    <w:rsid w:val="00357D66"/>
    <w:rsid w:val="00361C2E"/>
    <w:rsid w:val="00362251"/>
    <w:rsid w:val="00362A5B"/>
    <w:rsid w:val="00363124"/>
    <w:rsid w:val="0037368D"/>
    <w:rsid w:val="00374B71"/>
    <w:rsid w:val="00375451"/>
    <w:rsid w:val="00375CF7"/>
    <w:rsid w:val="00381F5F"/>
    <w:rsid w:val="003830B5"/>
    <w:rsid w:val="00384B32"/>
    <w:rsid w:val="003863F0"/>
    <w:rsid w:val="00390304"/>
    <w:rsid w:val="0039102F"/>
    <w:rsid w:val="0039395A"/>
    <w:rsid w:val="00395524"/>
    <w:rsid w:val="00397D4B"/>
    <w:rsid w:val="003A4180"/>
    <w:rsid w:val="003A55CE"/>
    <w:rsid w:val="003A5CF9"/>
    <w:rsid w:val="003A76E8"/>
    <w:rsid w:val="003A7C59"/>
    <w:rsid w:val="003A7C9A"/>
    <w:rsid w:val="003B08AC"/>
    <w:rsid w:val="003B2C75"/>
    <w:rsid w:val="003B4B9E"/>
    <w:rsid w:val="003B54D9"/>
    <w:rsid w:val="003B612F"/>
    <w:rsid w:val="003B7BFE"/>
    <w:rsid w:val="003C0030"/>
    <w:rsid w:val="003C1497"/>
    <w:rsid w:val="003C42F9"/>
    <w:rsid w:val="003C4D4B"/>
    <w:rsid w:val="003C7C52"/>
    <w:rsid w:val="003D03A6"/>
    <w:rsid w:val="003D07A2"/>
    <w:rsid w:val="003D1AFF"/>
    <w:rsid w:val="003D2590"/>
    <w:rsid w:val="003D2711"/>
    <w:rsid w:val="003D2CAC"/>
    <w:rsid w:val="003D2EF0"/>
    <w:rsid w:val="003D386F"/>
    <w:rsid w:val="003D405C"/>
    <w:rsid w:val="003D43DB"/>
    <w:rsid w:val="003D4C73"/>
    <w:rsid w:val="003D556B"/>
    <w:rsid w:val="003D5718"/>
    <w:rsid w:val="003D653E"/>
    <w:rsid w:val="003E2280"/>
    <w:rsid w:val="003E2ADC"/>
    <w:rsid w:val="003E5948"/>
    <w:rsid w:val="003E5F6E"/>
    <w:rsid w:val="003E601E"/>
    <w:rsid w:val="003F0EA3"/>
    <w:rsid w:val="003F1184"/>
    <w:rsid w:val="003F38E5"/>
    <w:rsid w:val="003F5DCD"/>
    <w:rsid w:val="003F73C3"/>
    <w:rsid w:val="00400126"/>
    <w:rsid w:val="00400F75"/>
    <w:rsid w:val="00401210"/>
    <w:rsid w:val="00402AC6"/>
    <w:rsid w:val="00404CDA"/>
    <w:rsid w:val="00406B06"/>
    <w:rsid w:val="00410BF5"/>
    <w:rsid w:val="0041222E"/>
    <w:rsid w:val="0041224F"/>
    <w:rsid w:val="00412C89"/>
    <w:rsid w:val="004130A2"/>
    <w:rsid w:val="00413446"/>
    <w:rsid w:val="0041452A"/>
    <w:rsid w:val="004151E6"/>
    <w:rsid w:val="00415290"/>
    <w:rsid w:val="00415BA7"/>
    <w:rsid w:val="00416F40"/>
    <w:rsid w:val="00417A8F"/>
    <w:rsid w:val="00417E36"/>
    <w:rsid w:val="00421722"/>
    <w:rsid w:val="0042260E"/>
    <w:rsid w:val="00422B4E"/>
    <w:rsid w:val="0042312B"/>
    <w:rsid w:val="004237DE"/>
    <w:rsid w:val="00423B16"/>
    <w:rsid w:val="00423F48"/>
    <w:rsid w:val="00425824"/>
    <w:rsid w:val="00425C72"/>
    <w:rsid w:val="0042625B"/>
    <w:rsid w:val="0043207C"/>
    <w:rsid w:val="0043263D"/>
    <w:rsid w:val="004336FA"/>
    <w:rsid w:val="004349B6"/>
    <w:rsid w:val="00436FD5"/>
    <w:rsid w:val="0043740B"/>
    <w:rsid w:val="00437639"/>
    <w:rsid w:val="004407C2"/>
    <w:rsid w:val="004413A6"/>
    <w:rsid w:val="004418DE"/>
    <w:rsid w:val="00441D22"/>
    <w:rsid w:val="00444BB9"/>
    <w:rsid w:val="00445D0A"/>
    <w:rsid w:val="00447E56"/>
    <w:rsid w:val="00447F18"/>
    <w:rsid w:val="004504BC"/>
    <w:rsid w:val="00453482"/>
    <w:rsid w:val="00453762"/>
    <w:rsid w:val="00453CFE"/>
    <w:rsid w:val="004560F3"/>
    <w:rsid w:val="004571D6"/>
    <w:rsid w:val="00457E45"/>
    <w:rsid w:val="0046325B"/>
    <w:rsid w:val="00463570"/>
    <w:rsid w:val="00465961"/>
    <w:rsid w:val="00467207"/>
    <w:rsid w:val="0047109D"/>
    <w:rsid w:val="00472B53"/>
    <w:rsid w:val="00474E92"/>
    <w:rsid w:val="0047564E"/>
    <w:rsid w:val="00476C23"/>
    <w:rsid w:val="004776FD"/>
    <w:rsid w:val="004809C7"/>
    <w:rsid w:val="00483A48"/>
    <w:rsid w:val="00487579"/>
    <w:rsid w:val="0048779A"/>
    <w:rsid w:val="00493430"/>
    <w:rsid w:val="004951BF"/>
    <w:rsid w:val="00495519"/>
    <w:rsid w:val="00495C15"/>
    <w:rsid w:val="00496EFA"/>
    <w:rsid w:val="004978E9"/>
    <w:rsid w:val="004A0C72"/>
    <w:rsid w:val="004A1F27"/>
    <w:rsid w:val="004A245D"/>
    <w:rsid w:val="004A2D42"/>
    <w:rsid w:val="004A2E7A"/>
    <w:rsid w:val="004A3A91"/>
    <w:rsid w:val="004A557B"/>
    <w:rsid w:val="004A6125"/>
    <w:rsid w:val="004A6343"/>
    <w:rsid w:val="004A7461"/>
    <w:rsid w:val="004A7F47"/>
    <w:rsid w:val="004B2B01"/>
    <w:rsid w:val="004B352A"/>
    <w:rsid w:val="004B4992"/>
    <w:rsid w:val="004B4B34"/>
    <w:rsid w:val="004B6687"/>
    <w:rsid w:val="004B73DC"/>
    <w:rsid w:val="004C3C0D"/>
    <w:rsid w:val="004C4033"/>
    <w:rsid w:val="004C5298"/>
    <w:rsid w:val="004C5C61"/>
    <w:rsid w:val="004C6594"/>
    <w:rsid w:val="004C7507"/>
    <w:rsid w:val="004C798D"/>
    <w:rsid w:val="004C7BB5"/>
    <w:rsid w:val="004D2ED3"/>
    <w:rsid w:val="004D4111"/>
    <w:rsid w:val="004D52BD"/>
    <w:rsid w:val="004D69FB"/>
    <w:rsid w:val="004E1108"/>
    <w:rsid w:val="004E16C3"/>
    <w:rsid w:val="004E207F"/>
    <w:rsid w:val="004E3877"/>
    <w:rsid w:val="004E4203"/>
    <w:rsid w:val="004E42A8"/>
    <w:rsid w:val="004E44A2"/>
    <w:rsid w:val="004E6864"/>
    <w:rsid w:val="004E7863"/>
    <w:rsid w:val="004F07BC"/>
    <w:rsid w:val="004F0D7B"/>
    <w:rsid w:val="004F0DC0"/>
    <w:rsid w:val="004F1CA3"/>
    <w:rsid w:val="004F2548"/>
    <w:rsid w:val="004F43C7"/>
    <w:rsid w:val="004F5BEC"/>
    <w:rsid w:val="004F5CC5"/>
    <w:rsid w:val="004F6067"/>
    <w:rsid w:val="004F63FD"/>
    <w:rsid w:val="00500534"/>
    <w:rsid w:val="0050130C"/>
    <w:rsid w:val="005039B0"/>
    <w:rsid w:val="00504953"/>
    <w:rsid w:val="005058FE"/>
    <w:rsid w:val="00507696"/>
    <w:rsid w:val="005154F9"/>
    <w:rsid w:val="00515C68"/>
    <w:rsid w:val="00517EF2"/>
    <w:rsid w:val="00520EA0"/>
    <w:rsid w:val="00522E25"/>
    <w:rsid w:val="00523BD9"/>
    <w:rsid w:val="00524E33"/>
    <w:rsid w:val="005253B2"/>
    <w:rsid w:val="0052644E"/>
    <w:rsid w:val="0052748B"/>
    <w:rsid w:val="005336E7"/>
    <w:rsid w:val="005337B6"/>
    <w:rsid w:val="00534F82"/>
    <w:rsid w:val="00540002"/>
    <w:rsid w:val="00540A5E"/>
    <w:rsid w:val="00543BFB"/>
    <w:rsid w:val="00543F98"/>
    <w:rsid w:val="00544A6F"/>
    <w:rsid w:val="00544F68"/>
    <w:rsid w:val="00545CF4"/>
    <w:rsid w:val="00547816"/>
    <w:rsid w:val="00552CC5"/>
    <w:rsid w:val="005541A6"/>
    <w:rsid w:val="005546DD"/>
    <w:rsid w:val="00555E73"/>
    <w:rsid w:val="005613E9"/>
    <w:rsid w:val="00561757"/>
    <w:rsid w:val="00561997"/>
    <w:rsid w:val="00562CA8"/>
    <w:rsid w:val="00562DBA"/>
    <w:rsid w:val="00563088"/>
    <w:rsid w:val="00564B35"/>
    <w:rsid w:val="00567402"/>
    <w:rsid w:val="00570D87"/>
    <w:rsid w:val="005733BD"/>
    <w:rsid w:val="0057359A"/>
    <w:rsid w:val="00576552"/>
    <w:rsid w:val="005773EE"/>
    <w:rsid w:val="00580B4C"/>
    <w:rsid w:val="00580D50"/>
    <w:rsid w:val="00582562"/>
    <w:rsid w:val="00582565"/>
    <w:rsid w:val="005837F8"/>
    <w:rsid w:val="005853C3"/>
    <w:rsid w:val="0058601E"/>
    <w:rsid w:val="0058659C"/>
    <w:rsid w:val="00587549"/>
    <w:rsid w:val="00587B4C"/>
    <w:rsid w:val="0059081F"/>
    <w:rsid w:val="00592002"/>
    <w:rsid w:val="00592071"/>
    <w:rsid w:val="00595E44"/>
    <w:rsid w:val="00596E22"/>
    <w:rsid w:val="005973B7"/>
    <w:rsid w:val="00597E85"/>
    <w:rsid w:val="005A08D2"/>
    <w:rsid w:val="005A1EE0"/>
    <w:rsid w:val="005A22B2"/>
    <w:rsid w:val="005A46D5"/>
    <w:rsid w:val="005A5F89"/>
    <w:rsid w:val="005A61D5"/>
    <w:rsid w:val="005A6E1C"/>
    <w:rsid w:val="005A75AE"/>
    <w:rsid w:val="005B015E"/>
    <w:rsid w:val="005B13F7"/>
    <w:rsid w:val="005B32C5"/>
    <w:rsid w:val="005B34C0"/>
    <w:rsid w:val="005B35D6"/>
    <w:rsid w:val="005B360B"/>
    <w:rsid w:val="005B3DDD"/>
    <w:rsid w:val="005B3E4A"/>
    <w:rsid w:val="005C3043"/>
    <w:rsid w:val="005C42D9"/>
    <w:rsid w:val="005C5A6E"/>
    <w:rsid w:val="005C6C1D"/>
    <w:rsid w:val="005D11F0"/>
    <w:rsid w:val="005D3281"/>
    <w:rsid w:val="005D3BDE"/>
    <w:rsid w:val="005D41E6"/>
    <w:rsid w:val="005D4C94"/>
    <w:rsid w:val="005D5B42"/>
    <w:rsid w:val="005D6F9F"/>
    <w:rsid w:val="005D74FB"/>
    <w:rsid w:val="005D7DFF"/>
    <w:rsid w:val="005E1F28"/>
    <w:rsid w:val="005E443E"/>
    <w:rsid w:val="005E4600"/>
    <w:rsid w:val="005E4C96"/>
    <w:rsid w:val="005E60F6"/>
    <w:rsid w:val="005F102C"/>
    <w:rsid w:val="005F2232"/>
    <w:rsid w:val="005F2CF3"/>
    <w:rsid w:val="005F31C1"/>
    <w:rsid w:val="005F3678"/>
    <w:rsid w:val="00601F8F"/>
    <w:rsid w:val="006033BD"/>
    <w:rsid w:val="006056A4"/>
    <w:rsid w:val="00605C99"/>
    <w:rsid w:val="00605FAF"/>
    <w:rsid w:val="00606B19"/>
    <w:rsid w:val="00606FBC"/>
    <w:rsid w:val="006070F0"/>
    <w:rsid w:val="00612B3B"/>
    <w:rsid w:val="006156DC"/>
    <w:rsid w:val="00623B26"/>
    <w:rsid w:val="00624C21"/>
    <w:rsid w:val="00625503"/>
    <w:rsid w:val="00627876"/>
    <w:rsid w:val="00630C55"/>
    <w:rsid w:val="0063340F"/>
    <w:rsid w:val="00633924"/>
    <w:rsid w:val="00633DC6"/>
    <w:rsid w:val="00633FA8"/>
    <w:rsid w:val="006340BB"/>
    <w:rsid w:val="00636B42"/>
    <w:rsid w:val="00637399"/>
    <w:rsid w:val="00640494"/>
    <w:rsid w:val="00646D74"/>
    <w:rsid w:val="00650902"/>
    <w:rsid w:val="0065153C"/>
    <w:rsid w:val="00651D03"/>
    <w:rsid w:val="006534D3"/>
    <w:rsid w:val="0065506F"/>
    <w:rsid w:val="006618CF"/>
    <w:rsid w:val="00661F01"/>
    <w:rsid w:val="006620C8"/>
    <w:rsid w:val="006652BA"/>
    <w:rsid w:val="00667000"/>
    <w:rsid w:val="006676D9"/>
    <w:rsid w:val="00672555"/>
    <w:rsid w:val="00673898"/>
    <w:rsid w:val="00674094"/>
    <w:rsid w:val="0067482F"/>
    <w:rsid w:val="00675503"/>
    <w:rsid w:val="00681690"/>
    <w:rsid w:val="00681C83"/>
    <w:rsid w:val="00682B2C"/>
    <w:rsid w:val="006849F6"/>
    <w:rsid w:val="00684B75"/>
    <w:rsid w:val="00684BC2"/>
    <w:rsid w:val="00684D30"/>
    <w:rsid w:val="006856FF"/>
    <w:rsid w:val="006863D8"/>
    <w:rsid w:val="00686B26"/>
    <w:rsid w:val="0068796B"/>
    <w:rsid w:val="006900AC"/>
    <w:rsid w:val="00690AD8"/>
    <w:rsid w:val="00695734"/>
    <w:rsid w:val="00695EEC"/>
    <w:rsid w:val="006972BF"/>
    <w:rsid w:val="006A20B3"/>
    <w:rsid w:val="006A32FE"/>
    <w:rsid w:val="006A4A86"/>
    <w:rsid w:val="006A52E2"/>
    <w:rsid w:val="006B0FE8"/>
    <w:rsid w:val="006B1609"/>
    <w:rsid w:val="006B2ABD"/>
    <w:rsid w:val="006B3946"/>
    <w:rsid w:val="006B54C7"/>
    <w:rsid w:val="006B7033"/>
    <w:rsid w:val="006B7FBE"/>
    <w:rsid w:val="006C0B7C"/>
    <w:rsid w:val="006C2E50"/>
    <w:rsid w:val="006C48DE"/>
    <w:rsid w:val="006C53A7"/>
    <w:rsid w:val="006C6246"/>
    <w:rsid w:val="006C6B6B"/>
    <w:rsid w:val="006C7AE7"/>
    <w:rsid w:val="006D1469"/>
    <w:rsid w:val="006D5A9A"/>
    <w:rsid w:val="006D5FD8"/>
    <w:rsid w:val="006E01C2"/>
    <w:rsid w:val="006E15E4"/>
    <w:rsid w:val="006E1F02"/>
    <w:rsid w:val="006E28C1"/>
    <w:rsid w:val="006E3397"/>
    <w:rsid w:val="006F11BD"/>
    <w:rsid w:val="006F3882"/>
    <w:rsid w:val="006F4BEB"/>
    <w:rsid w:val="006F5AEF"/>
    <w:rsid w:val="006F6676"/>
    <w:rsid w:val="007001E0"/>
    <w:rsid w:val="00702C82"/>
    <w:rsid w:val="00704089"/>
    <w:rsid w:val="007123C2"/>
    <w:rsid w:val="0071316F"/>
    <w:rsid w:val="007136E6"/>
    <w:rsid w:val="00717444"/>
    <w:rsid w:val="00717FE9"/>
    <w:rsid w:val="0072021D"/>
    <w:rsid w:val="00720E37"/>
    <w:rsid w:val="00720F68"/>
    <w:rsid w:val="00720FC0"/>
    <w:rsid w:val="0072349E"/>
    <w:rsid w:val="007238DB"/>
    <w:rsid w:val="00724536"/>
    <w:rsid w:val="007253E3"/>
    <w:rsid w:val="007255CD"/>
    <w:rsid w:val="007315C3"/>
    <w:rsid w:val="007318BA"/>
    <w:rsid w:val="007334EA"/>
    <w:rsid w:val="00733DB0"/>
    <w:rsid w:val="00735F36"/>
    <w:rsid w:val="00736701"/>
    <w:rsid w:val="00736B2F"/>
    <w:rsid w:val="00737025"/>
    <w:rsid w:val="00737A54"/>
    <w:rsid w:val="00737FB2"/>
    <w:rsid w:val="00741E4A"/>
    <w:rsid w:val="007435FE"/>
    <w:rsid w:val="007437EE"/>
    <w:rsid w:val="00744F5A"/>
    <w:rsid w:val="007455AD"/>
    <w:rsid w:val="00746D7A"/>
    <w:rsid w:val="00746E66"/>
    <w:rsid w:val="00747F40"/>
    <w:rsid w:val="0075063F"/>
    <w:rsid w:val="007605C8"/>
    <w:rsid w:val="00763554"/>
    <w:rsid w:val="00764614"/>
    <w:rsid w:val="0076526B"/>
    <w:rsid w:val="007652AE"/>
    <w:rsid w:val="007677BE"/>
    <w:rsid w:val="00767FF2"/>
    <w:rsid w:val="007707AA"/>
    <w:rsid w:val="0077224E"/>
    <w:rsid w:val="00773CE7"/>
    <w:rsid w:val="00781039"/>
    <w:rsid w:val="007825E8"/>
    <w:rsid w:val="00790246"/>
    <w:rsid w:val="00791031"/>
    <w:rsid w:val="0079157C"/>
    <w:rsid w:val="00792A34"/>
    <w:rsid w:val="00793C25"/>
    <w:rsid w:val="007A1136"/>
    <w:rsid w:val="007A4B8E"/>
    <w:rsid w:val="007A5C4C"/>
    <w:rsid w:val="007B0579"/>
    <w:rsid w:val="007B3A99"/>
    <w:rsid w:val="007B41A6"/>
    <w:rsid w:val="007B6AD8"/>
    <w:rsid w:val="007B6D97"/>
    <w:rsid w:val="007B7906"/>
    <w:rsid w:val="007C4432"/>
    <w:rsid w:val="007C680E"/>
    <w:rsid w:val="007D14DF"/>
    <w:rsid w:val="007D22BA"/>
    <w:rsid w:val="007D3AB9"/>
    <w:rsid w:val="007D3C35"/>
    <w:rsid w:val="007D42A1"/>
    <w:rsid w:val="007D441F"/>
    <w:rsid w:val="007D4868"/>
    <w:rsid w:val="007D4A60"/>
    <w:rsid w:val="007D53BF"/>
    <w:rsid w:val="007D7BA6"/>
    <w:rsid w:val="007E0AC1"/>
    <w:rsid w:val="007E30B0"/>
    <w:rsid w:val="007E37C0"/>
    <w:rsid w:val="007E5598"/>
    <w:rsid w:val="007E6279"/>
    <w:rsid w:val="007E6E94"/>
    <w:rsid w:val="007F2249"/>
    <w:rsid w:val="007F28B9"/>
    <w:rsid w:val="007F5778"/>
    <w:rsid w:val="007F6C2A"/>
    <w:rsid w:val="008001D1"/>
    <w:rsid w:val="008008D4"/>
    <w:rsid w:val="00801262"/>
    <w:rsid w:val="00801E4C"/>
    <w:rsid w:val="008020D3"/>
    <w:rsid w:val="00802C52"/>
    <w:rsid w:val="008043AE"/>
    <w:rsid w:val="00804869"/>
    <w:rsid w:val="00804908"/>
    <w:rsid w:val="0080704C"/>
    <w:rsid w:val="00807BBD"/>
    <w:rsid w:val="00811289"/>
    <w:rsid w:val="00811A5D"/>
    <w:rsid w:val="008120DB"/>
    <w:rsid w:val="00813665"/>
    <w:rsid w:val="00814698"/>
    <w:rsid w:val="0081479B"/>
    <w:rsid w:val="00815ECC"/>
    <w:rsid w:val="00823D56"/>
    <w:rsid w:val="008247C3"/>
    <w:rsid w:val="00825B44"/>
    <w:rsid w:val="00825DEB"/>
    <w:rsid w:val="0083062A"/>
    <w:rsid w:val="00831D49"/>
    <w:rsid w:val="0083210B"/>
    <w:rsid w:val="008325D0"/>
    <w:rsid w:val="0083386C"/>
    <w:rsid w:val="0083450E"/>
    <w:rsid w:val="008355CE"/>
    <w:rsid w:val="00835736"/>
    <w:rsid w:val="00836DF0"/>
    <w:rsid w:val="00837AF9"/>
    <w:rsid w:val="0084046D"/>
    <w:rsid w:val="008464E5"/>
    <w:rsid w:val="00850F9B"/>
    <w:rsid w:val="008511B1"/>
    <w:rsid w:val="00853260"/>
    <w:rsid w:val="00854470"/>
    <w:rsid w:val="00857D72"/>
    <w:rsid w:val="00861492"/>
    <w:rsid w:val="00861B39"/>
    <w:rsid w:val="00864D3B"/>
    <w:rsid w:val="00866220"/>
    <w:rsid w:val="008672D5"/>
    <w:rsid w:val="00870A8D"/>
    <w:rsid w:val="00871D8A"/>
    <w:rsid w:val="00873067"/>
    <w:rsid w:val="0087448C"/>
    <w:rsid w:val="00874C32"/>
    <w:rsid w:val="00874E79"/>
    <w:rsid w:val="0087547E"/>
    <w:rsid w:val="00876BBB"/>
    <w:rsid w:val="00876E01"/>
    <w:rsid w:val="00880D87"/>
    <w:rsid w:val="00881B29"/>
    <w:rsid w:val="00882EAC"/>
    <w:rsid w:val="008838E4"/>
    <w:rsid w:val="008838E8"/>
    <w:rsid w:val="0088428C"/>
    <w:rsid w:val="00884340"/>
    <w:rsid w:val="00886394"/>
    <w:rsid w:val="00886981"/>
    <w:rsid w:val="00887004"/>
    <w:rsid w:val="00891305"/>
    <w:rsid w:val="00892BA9"/>
    <w:rsid w:val="008968E9"/>
    <w:rsid w:val="008A04D3"/>
    <w:rsid w:val="008A3D7F"/>
    <w:rsid w:val="008A3E3B"/>
    <w:rsid w:val="008A4334"/>
    <w:rsid w:val="008A4374"/>
    <w:rsid w:val="008A5443"/>
    <w:rsid w:val="008B0E70"/>
    <w:rsid w:val="008B3C30"/>
    <w:rsid w:val="008B4E4B"/>
    <w:rsid w:val="008B5577"/>
    <w:rsid w:val="008C2161"/>
    <w:rsid w:val="008C3AC7"/>
    <w:rsid w:val="008C47FA"/>
    <w:rsid w:val="008C5342"/>
    <w:rsid w:val="008C55F1"/>
    <w:rsid w:val="008C692E"/>
    <w:rsid w:val="008C7230"/>
    <w:rsid w:val="008C7A52"/>
    <w:rsid w:val="008D0D1C"/>
    <w:rsid w:val="008D26B6"/>
    <w:rsid w:val="008D26CF"/>
    <w:rsid w:val="008D34A9"/>
    <w:rsid w:val="008D368D"/>
    <w:rsid w:val="008D4344"/>
    <w:rsid w:val="008D4839"/>
    <w:rsid w:val="008D5A5C"/>
    <w:rsid w:val="008E0C1C"/>
    <w:rsid w:val="008E45B5"/>
    <w:rsid w:val="008E4A71"/>
    <w:rsid w:val="008E5FF5"/>
    <w:rsid w:val="008F0075"/>
    <w:rsid w:val="008F00F6"/>
    <w:rsid w:val="008F2D3E"/>
    <w:rsid w:val="008F30F4"/>
    <w:rsid w:val="008F5738"/>
    <w:rsid w:val="008F5F43"/>
    <w:rsid w:val="008F7F4E"/>
    <w:rsid w:val="009036A0"/>
    <w:rsid w:val="00903F62"/>
    <w:rsid w:val="00904B90"/>
    <w:rsid w:val="00906147"/>
    <w:rsid w:val="00907B68"/>
    <w:rsid w:val="009111C1"/>
    <w:rsid w:val="0091193E"/>
    <w:rsid w:val="009130AC"/>
    <w:rsid w:val="0091561E"/>
    <w:rsid w:val="00915ADA"/>
    <w:rsid w:val="00917467"/>
    <w:rsid w:val="00922831"/>
    <w:rsid w:val="00922872"/>
    <w:rsid w:val="00924030"/>
    <w:rsid w:val="00926ED6"/>
    <w:rsid w:val="0092700A"/>
    <w:rsid w:val="0093538A"/>
    <w:rsid w:val="009362DC"/>
    <w:rsid w:val="009365EB"/>
    <w:rsid w:val="00936E2B"/>
    <w:rsid w:val="00936F1B"/>
    <w:rsid w:val="00937D6D"/>
    <w:rsid w:val="00937EF5"/>
    <w:rsid w:val="00940EA3"/>
    <w:rsid w:val="00942785"/>
    <w:rsid w:val="00943C72"/>
    <w:rsid w:val="00947A3E"/>
    <w:rsid w:val="00947E0F"/>
    <w:rsid w:val="00950337"/>
    <w:rsid w:val="009509CC"/>
    <w:rsid w:val="00951DB8"/>
    <w:rsid w:val="0095216F"/>
    <w:rsid w:val="009565EF"/>
    <w:rsid w:val="0095680F"/>
    <w:rsid w:val="00956932"/>
    <w:rsid w:val="00956A25"/>
    <w:rsid w:val="009573FF"/>
    <w:rsid w:val="00957E00"/>
    <w:rsid w:val="00960235"/>
    <w:rsid w:val="009607E3"/>
    <w:rsid w:val="00960C2D"/>
    <w:rsid w:val="009612EF"/>
    <w:rsid w:val="00961316"/>
    <w:rsid w:val="00962976"/>
    <w:rsid w:val="00962D05"/>
    <w:rsid w:val="00963043"/>
    <w:rsid w:val="009634C8"/>
    <w:rsid w:val="0096488C"/>
    <w:rsid w:val="00964DB6"/>
    <w:rsid w:val="00965007"/>
    <w:rsid w:val="0096518D"/>
    <w:rsid w:val="0096547A"/>
    <w:rsid w:val="00965A46"/>
    <w:rsid w:val="00967EDE"/>
    <w:rsid w:val="009706CE"/>
    <w:rsid w:val="00974A2D"/>
    <w:rsid w:val="009762EA"/>
    <w:rsid w:val="0097633B"/>
    <w:rsid w:val="00976A70"/>
    <w:rsid w:val="00977B31"/>
    <w:rsid w:val="0098018F"/>
    <w:rsid w:val="00982060"/>
    <w:rsid w:val="00982774"/>
    <w:rsid w:val="00982991"/>
    <w:rsid w:val="00983C40"/>
    <w:rsid w:val="00984D4F"/>
    <w:rsid w:val="00986C46"/>
    <w:rsid w:val="009911D2"/>
    <w:rsid w:val="009925A1"/>
    <w:rsid w:val="009932A1"/>
    <w:rsid w:val="00996A46"/>
    <w:rsid w:val="00996ED3"/>
    <w:rsid w:val="009A1543"/>
    <w:rsid w:val="009A315A"/>
    <w:rsid w:val="009A36FD"/>
    <w:rsid w:val="009A3C36"/>
    <w:rsid w:val="009A40CA"/>
    <w:rsid w:val="009A5538"/>
    <w:rsid w:val="009A6BB3"/>
    <w:rsid w:val="009B4FF9"/>
    <w:rsid w:val="009C0793"/>
    <w:rsid w:val="009C0ECA"/>
    <w:rsid w:val="009C138D"/>
    <w:rsid w:val="009C1B84"/>
    <w:rsid w:val="009C365B"/>
    <w:rsid w:val="009C535B"/>
    <w:rsid w:val="009C5891"/>
    <w:rsid w:val="009C5C65"/>
    <w:rsid w:val="009C7478"/>
    <w:rsid w:val="009D23D9"/>
    <w:rsid w:val="009D2988"/>
    <w:rsid w:val="009D3BDF"/>
    <w:rsid w:val="009D4160"/>
    <w:rsid w:val="009D556F"/>
    <w:rsid w:val="009D66DF"/>
    <w:rsid w:val="009D6FFC"/>
    <w:rsid w:val="009E2667"/>
    <w:rsid w:val="009E2B4E"/>
    <w:rsid w:val="009E3060"/>
    <w:rsid w:val="009E317D"/>
    <w:rsid w:val="009E4188"/>
    <w:rsid w:val="009E561A"/>
    <w:rsid w:val="009E6ADA"/>
    <w:rsid w:val="009E6D78"/>
    <w:rsid w:val="009F0FAC"/>
    <w:rsid w:val="009F2CB2"/>
    <w:rsid w:val="009F42D5"/>
    <w:rsid w:val="009F59EE"/>
    <w:rsid w:val="00A0034A"/>
    <w:rsid w:val="00A00614"/>
    <w:rsid w:val="00A03F16"/>
    <w:rsid w:val="00A0626C"/>
    <w:rsid w:val="00A06687"/>
    <w:rsid w:val="00A0680F"/>
    <w:rsid w:val="00A071AB"/>
    <w:rsid w:val="00A07B57"/>
    <w:rsid w:val="00A1017F"/>
    <w:rsid w:val="00A11002"/>
    <w:rsid w:val="00A12D97"/>
    <w:rsid w:val="00A145E2"/>
    <w:rsid w:val="00A15C5F"/>
    <w:rsid w:val="00A1706A"/>
    <w:rsid w:val="00A17595"/>
    <w:rsid w:val="00A2129E"/>
    <w:rsid w:val="00A2161C"/>
    <w:rsid w:val="00A21AB7"/>
    <w:rsid w:val="00A22380"/>
    <w:rsid w:val="00A267CE"/>
    <w:rsid w:val="00A27F10"/>
    <w:rsid w:val="00A3119E"/>
    <w:rsid w:val="00A3163A"/>
    <w:rsid w:val="00A31814"/>
    <w:rsid w:val="00A326E5"/>
    <w:rsid w:val="00A34404"/>
    <w:rsid w:val="00A345F7"/>
    <w:rsid w:val="00A351F4"/>
    <w:rsid w:val="00A35204"/>
    <w:rsid w:val="00A35900"/>
    <w:rsid w:val="00A36D79"/>
    <w:rsid w:val="00A371A8"/>
    <w:rsid w:val="00A401A3"/>
    <w:rsid w:val="00A41322"/>
    <w:rsid w:val="00A4441D"/>
    <w:rsid w:val="00A477F8"/>
    <w:rsid w:val="00A51DB8"/>
    <w:rsid w:val="00A526C9"/>
    <w:rsid w:val="00A52E40"/>
    <w:rsid w:val="00A553F8"/>
    <w:rsid w:val="00A577B7"/>
    <w:rsid w:val="00A644DF"/>
    <w:rsid w:val="00A661EE"/>
    <w:rsid w:val="00A672EA"/>
    <w:rsid w:val="00A67865"/>
    <w:rsid w:val="00A7039D"/>
    <w:rsid w:val="00A706DB"/>
    <w:rsid w:val="00A71413"/>
    <w:rsid w:val="00A729A8"/>
    <w:rsid w:val="00A72FF0"/>
    <w:rsid w:val="00A741C7"/>
    <w:rsid w:val="00A75581"/>
    <w:rsid w:val="00A80A8B"/>
    <w:rsid w:val="00A82D27"/>
    <w:rsid w:val="00A83718"/>
    <w:rsid w:val="00A84D63"/>
    <w:rsid w:val="00A85069"/>
    <w:rsid w:val="00A86EF2"/>
    <w:rsid w:val="00A902B4"/>
    <w:rsid w:val="00A93669"/>
    <w:rsid w:val="00A94298"/>
    <w:rsid w:val="00A969E4"/>
    <w:rsid w:val="00A973F9"/>
    <w:rsid w:val="00AA0C1B"/>
    <w:rsid w:val="00AA104C"/>
    <w:rsid w:val="00AA13C3"/>
    <w:rsid w:val="00AA1D7A"/>
    <w:rsid w:val="00AA1EF9"/>
    <w:rsid w:val="00AA264F"/>
    <w:rsid w:val="00AA3C5C"/>
    <w:rsid w:val="00AA58B4"/>
    <w:rsid w:val="00AB150A"/>
    <w:rsid w:val="00AB3B2A"/>
    <w:rsid w:val="00AB5C28"/>
    <w:rsid w:val="00AC0B97"/>
    <w:rsid w:val="00AC0F4F"/>
    <w:rsid w:val="00AC14FC"/>
    <w:rsid w:val="00AC1B87"/>
    <w:rsid w:val="00AC1E03"/>
    <w:rsid w:val="00AC3155"/>
    <w:rsid w:val="00AC4CEE"/>
    <w:rsid w:val="00AD0B09"/>
    <w:rsid w:val="00AD2933"/>
    <w:rsid w:val="00AD3089"/>
    <w:rsid w:val="00AD3D91"/>
    <w:rsid w:val="00AD79CC"/>
    <w:rsid w:val="00AE0FD1"/>
    <w:rsid w:val="00AE4CC4"/>
    <w:rsid w:val="00AE662F"/>
    <w:rsid w:val="00AE7AFA"/>
    <w:rsid w:val="00AF080F"/>
    <w:rsid w:val="00AF0BE0"/>
    <w:rsid w:val="00AF2B4D"/>
    <w:rsid w:val="00AF2D1B"/>
    <w:rsid w:val="00AF5FA6"/>
    <w:rsid w:val="00B00B35"/>
    <w:rsid w:val="00B012F6"/>
    <w:rsid w:val="00B03608"/>
    <w:rsid w:val="00B04D58"/>
    <w:rsid w:val="00B0598D"/>
    <w:rsid w:val="00B05BB0"/>
    <w:rsid w:val="00B066DB"/>
    <w:rsid w:val="00B07063"/>
    <w:rsid w:val="00B0741A"/>
    <w:rsid w:val="00B106CE"/>
    <w:rsid w:val="00B13DF1"/>
    <w:rsid w:val="00B14797"/>
    <w:rsid w:val="00B1561F"/>
    <w:rsid w:val="00B15FD4"/>
    <w:rsid w:val="00B169AF"/>
    <w:rsid w:val="00B16D05"/>
    <w:rsid w:val="00B177AF"/>
    <w:rsid w:val="00B17AD8"/>
    <w:rsid w:val="00B20F7B"/>
    <w:rsid w:val="00B21A92"/>
    <w:rsid w:val="00B21D7F"/>
    <w:rsid w:val="00B2288F"/>
    <w:rsid w:val="00B23454"/>
    <w:rsid w:val="00B244B9"/>
    <w:rsid w:val="00B24AB2"/>
    <w:rsid w:val="00B24DBE"/>
    <w:rsid w:val="00B26C1E"/>
    <w:rsid w:val="00B270E8"/>
    <w:rsid w:val="00B2738B"/>
    <w:rsid w:val="00B278D2"/>
    <w:rsid w:val="00B30195"/>
    <w:rsid w:val="00B3074F"/>
    <w:rsid w:val="00B3103A"/>
    <w:rsid w:val="00B31509"/>
    <w:rsid w:val="00B327AE"/>
    <w:rsid w:val="00B3354F"/>
    <w:rsid w:val="00B34562"/>
    <w:rsid w:val="00B34675"/>
    <w:rsid w:val="00B41012"/>
    <w:rsid w:val="00B41035"/>
    <w:rsid w:val="00B45ED0"/>
    <w:rsid w:val="00B45F71"/>
    <w:rsid w:val="00B46015"/>
    <w:rsid w:val="00B475E1"/>
    <w:rsid w:val="00B47902"/>
    <w:rsid w:val="00B47AFD"/>
    <w:rsid w:val="00B51F3C"/>
    <w:rsid w:val="00B5230B"/>
    <w:rsid w:val="00B52B36"/>
    <w:rsid w:val="00B537F1"/>
    <w:rsid w:val="00B5592F"/>
    <w:rsid w:val="00B55F72"/>
    <w:rsid w:val="00B564A6"/>
    <w:rsid w:val="00B626AC"/>
    <w:rsid w:val="00B64864"/>
    <w:rsid w:val="00B64945"/>
    <w:rsid w:val="00B6512E"/>
    <w:rsid w:val="00B65A3B"/>
    <w:rsid w:val="00B67429"/>
    <w:rsid w:val="00B676E6"/>
    <w:rsid w:val="00B67D59"/>
    <w:rsid w:val="00B708C9"/>
    <w:rsid w:val="00B70A80"/>
    <w:rsid w:val="00B7116F"/>
    <w:rsid w:val="00B712F8"/>
    <w:rsid w:val="00B714D3"/>
    <w:rsid w:val="00B7285B"/>
    <w:rsid w:val="00B74D65"/>
    <w:rsid w:val="00B76BBE"/>
    <w:rsid w:val="00B76DDA"/>
    <w:rsid w:val="00B777C3"/>
    <w:rsid w:val="00B77830"/>
    <w:rsid w:val="00B80003"/>
    <w:rsid w:val="00B81F38"/>
    <w:rsid w:val="00B82BA4"/>
    <w:rsid w:val="00B84690"/>
    <w:rsid w:val="00B86D21"/>
    <w:rsid w:val="00B87C15"/>
    <w:rsid w:val="00B91B61"/>
    <w:rsid w:val="00B92DE5"/>
    <w:rsid w:val="00B95EBA"/>
    <w:rsid w:val="00BA29AE"/>
    <w:rsid w:val="00BA4EE1"/>
    <w:rsid w:val="00BA6059"/>
    <w:rsid w:val="00BA6DBC"/>
    <w:rsid w:val="00BA6DD7"/>
    <w:rsid w:val="00BA7E4C"/>
    <w:rsid w:val="00BB0801"/>
    <w:rsid w:val="00BB1BAE"/>
    <w:rsid w:val="00BB27FC"/>
    <w:rsid w:val="00BB35B3"/>
    <w:rsid w:val="00BB5F03"/>
    <w:rsid w:val="00BC10FE"/>
    <w:rsid w:val="00BC1BA1"/>
    <w:rsid w:val="00BC30D1"/>
    <w:rsid w:val="00BC3CB6"/>
    <w:rsid w:val="00BC43C3"/>
    <w:rsid w:val="00BC6C6E"/>
    <w:rsid w:val="00BC7898"/>
    <w:rsid w:val="00BD0305"/>
    <w:rsid w:val="00BD18EA"/>
    <w:rsid w:val="00BD25BD"/>
    <w:rsid w:val="00BD26AB"/>
    <w:rsid w:val="00BD4FB4"/>
    <w:rsid w:val="00BD56CC"/>
    <w:rsid w:val="00BD5B45"/>
    <w:rsid w:val="00BD6A7F"/>
    <w:rsid w:val="00BD7095"/>
    <w:rsid w:val="00BE0B0E"/>
    <w:rsid w:val="00BE127F"/>
    <w:rsid w:val="00BE34DD"/>
    <w:rsid w:val="00BE7D75"/>
    <w:rsid w:val="00BF02EE"/>
    <w:rsid w:val="00BF0F80"/>
    <w:rsid w:val="00BF1CB0"/>
    <w:rsid w:val="00BF1D03"/>
    <w:rsid w:val="00BF2980"/>
    <w:rsid w:val="00BF2B2A"/>
    <w:rsid w:val="00BF3B93"/>
    <w:rsid w:val="00BF3C3D"/>
    <w:rsid w:val="00BF4FA6"/>
    <w:rsid w:val="00BF5573"/>
    <w:rsid w:val="00BF5DE1"/>
    <w:rsid w:val="00BF69D4"/>
    <w:rsid w:val="00C00860"/>
    <w:rsid w:val="00C01736"/>
    <w:rsid w:val="00C0488B"/>
    <w:rsid w:val="00C05509"/>
    <w:rsid w:val="00C1291C"/>
    <w:rsid w:val="00C129F0"/>
    <w:rsid w:val="00C12B80"/>
    <w:rsid w:val="00C1553C"/>
    <w:rsid w:val="00C16738"/>
    <w:rsid w:val="00C16A07"/>
    <w:rsid w:val="00C171EA"/>
    <w:rsid w:val="00C213F3"/>
    <w:rsid w:val="00C2196C"/>
    <w:rsid w:val="00C25196"/>
    <w:rsid w:val="00C25A49"/>
    <w:rsid w:val="00C30103"/>
    <w:rsid w:val="00C30556"/>
    <w:rsid w:val="00C306CA"/>
    <w:rsid w:val="00C30F7A"/>
    <w:rsid w:val="00C322B6"/>
    <w:rsid w:val="00C32C7C"/>
    <w:rsid w:val="00C35BFC"/>
    <w:rsid w:val="00C36244"/>
    <w:rsid w:val="00C362AF"/>
    <w:rsid w:val="00C36818"/>
    <w:rsid w:val="00C36AC8"/>
    <w:rsid w:val="00C36C63"/>
    <w:rsid w:val="00C36E73"/>
    <w:rsid w:val="00C40157"/>
    <w:rsid w:val="00C41064"/>
    <w:rsid w:val="00C411A0"/>
    <w:rsid w:val="00C42096"/>
    <w:rsid w:val="00C43FC3"/>
    <w:rsid w:val="00C44D59"/>
    <w:rsid w:val="00C45232"/>
    <w:rsid w:val="00C4735A"/>
    <w:rsid w:val="00C47882"/>
    <w:rsid w:val="00C503A0"/>
    <w:rsid w:val="00C505D4"/>
    <w:rsid w:val="00C50A39"/>
    <w:rsid w:val="00C51E90"/>
    <w:rsid w:val="00C53ECE"/>
    <w:rsid w:val="00C55E4E"/>
    <w:rsid w:val="00C5726E"/>
    <w:rsid w:val="00C6048F"/>
    <w:rsid w:val="00C607F2"/>
    <w:rsid w:val="00C61777"/>
    <w:rsid w:val="00C620A0"/>
    <w:rsid w:val="00C63428"/>
    <w:rsid w:val="00C639A8"/>
    <w:rsid w:val="00C63AF6"/>
    <w:rsid w:val="00C63DF0"/>
    <w:rsid w:val="00C63E32"/>
    <w:rsid w:val="00C641D2"/>
    <w:rsid w:val="00C64B40"/>
    <w:rsid w:val="00C650DB"/>
    <w:rsid w:val="00C653C3"/>
    <w:rsid w:val="00C7180F"/>
    <w:rsid w:val="00C72C9B"/>
    <w:rsid w:val="00C73FC6"/>
    <w:rsid w:val="00C741D3"/>
    <w:rsid w:val="00C7462C"/>
    <w:rsid w:val="00C74B21"/>
    <w:rsid w:val="00C805AC"/>
    <w:rsid w:val="00C85300"/>
    <w:rsid w:val="00C8584A"/>
    <w:rsid w:val="00C85AB7"/>
    <w:rsid w:val="00C86CE3"/>
    <w:rsid w:val="00C86EBC"/>
    <w:rsid w:val="00C87E22"/>
    <w:rsid w:val="00C91F7F"/>
    <w:rsid w:val="00C96C4F"/>
    <w:rsid w:val="00CA3F3D"/>
    <w:rsid w:val="00CA3FE4"/>
    <w:rsid w:val="00CA5323"/>
    <w:rsid w:val="00CA5FC8"/>
    <w:rsid w:val="00CA6A04"/>
    <w:rsid w:val="00CB057E"/>
    <w:rsid w:val="00CB1985"/>
    <w:rsid w:val="00CB40F4"/>
    <w:rsid w:val="00CB50DD"/>
    <w:rsid w:val="00CB7416"/>
    <w:rsid w:val="00CC04E3"/>
    <w:rsid w:val="00CC32D9"/>
    <w:rsid w:val="00CC453F"/>
    <w:rsid w:val="00CC45E5"/>
    <w:rsid w:val="00CC5BEB"/>
    <w:rsid w:val="00CC60A9"/>
    <w:rsid w:val="00CC7C89"/>
    <w:rsid w:val="00CD1C31"/>
    <w:rsid w:val="00CD2522"/>
    <w:rsid w:val="00CD31F0"/>
    <w:rsid w:val="00CD3324"/>
    <w:rsid w:val="00CD3C1E"/>
    <w:rsid w:val="00CD4B4B"/>
    <w:rsid w:val="00CD6EEC"/>
    <w:rsid w:val="00CE0AC1"/>
    <w:rsid w:val="00CE220A"/>
    <w:rsid w:val="00CE2578"/>
    <w:rsid w:val="00CE3577"/>
    <w:rsid w:val="00CF10DA"/>
    <w:rsid w:val="00CF2718"/>
    <w:rsid w:val="00CF3762"/>
    <w:rsid w:val="00CF7691"/>
    <w:rsid w:val="00D01461"/>
    <w:rsid w:val="00D01832"/>
    <w:rsid w:val="00D04122"/>
    <w:rsid w:val="00D047B7"/>
    <w:rsid w:val="00D06C9F"/>
    <w:rsid w:val="00D11870"/>
    <w:rsid w:val="00D132FF"/>
    <w:rsid w:val="00D15557"/>
    <w:rsid w:val="00D15686"/>
    <w:rsid w:val="00D16F9E"/>
    <w:rsid w:val="00D21B27"/>
    <w:rsid w:val="00D21E06"/>
    <w:rsid w:val="00D223BF"/>
    <w:rsid w:val="00D223FC"/>
    <w:rsid w:val="00D2253B"/>
    <w:rsid w:val="00D22A67"/>
    <w:rsid w:val="00D245D2"/>
    <w:rsid w:val="00D25B0B"/>
    <w:rsid w:val="00D2745A"/>
    <w:rsid w:val="00D31127"/>
    <w:rsid w:val="00D31386"/>
    <w:rsid w:val="00D31FA8"/>
    <w:rsid w:val="00D3396D"/>
    <w:rsid w:val="00D3397B"/>
    <w:rsid w:val="00D3569B"/>
    <w:rsid w:val="00D35A90"/>
    <w:rsid w:val="00D36065"/>
    <w:rsid w:val="00D36130"/>
    <w:rsid w:val="00D40D11"/>
    <w:rsid w:val="00D423AD"/>
    <w:rsid w:val="00D44899"/>
    <w:rsid w:val="00D46528"/>
    <w:rsid w:val="00D46587"/>
    <w:rsid w:val="00D46E13"/>
    <w:rsid w:val="00D4733D"/>
    <w:rsid w:val="00D53085"/>
    <w:rsid w:val="00D532C1"/>
    <w:rsid w:val="00D57146"/>
    <w:rsid w:val="00D618AD"/>
    <w:rsid w:val="00D63DD3"/>
    <w:rsid w:val="00D6464D"/>
    <w:rsid w:val="00D65088"/>
    <w:rsid w:val="00D72895"/>
    <w:rsid w:val="00D73D3F"/>
    <w:rsid w:val="00D76F6E"/>
    <w:rsid w:val="00D777C9"/>
    <w:rsid w:val="00D77E6E"/>
    <w:rsid w:val="00D80B6D"/>
    <w:rsid w:val="00D82E2D"/>
    <w:rsid w:val="00D8513A"/>
    <w:rsid w:val="00D87CCE"/>
    <w:rsid w:val="00D9306C"/>
    <w:rsid w:val="00DA087D"/>
    <w:rsid w:val="00DA10BE"/>
    <w:rsid w:val="00DA1662"/>
    <w:rsid w:val="00DA327C"/>
    <w:rsid w:val="00DA576C"/>
    <w:rsid w:val="00DA68D5"/>
    <w:rsid w:val="00DA6D6A"/>
    <w:rsid w:val="00DA7689"/>
    <w:rsid w:val="00DA78FC"/>
    <w:rsid w:val="00DB270B"/>
    <w:rsid w:val="00DB365A"/>
    <w:rsid w:val="00DB4335"/>
    <w:rsid w:val="00DB7664"/>
    <w:rsid w:val="00DB7E2F"/>
    <w:rsid w:val="00DC1FA8"/>
    <w:rsid w:val="00DC2A4B"/>
    <w:rsid w:val="00DC4212"/>
    <w:rsid w:val="00DC6476"/>
    <w:rsid w:val="00DC6AB6"/>
    <w:rsid w:val="00DD1EC1"/>
    <w:rsid w:val="00DD5E05"/>
    <w:rsid w:val="00DE17B0"/>
    <w:rsid w:val="00DE36DE"/>
    <w:rsid w:val="00DE448F"/>
    <w:rsid w:val="00DE4919"/>
    <w:rsid w:val="00DE75F4"/>
    <w:rsid w:val="00DE7686"/>
    <w:rsid w:val="00DE7CE1"/>
    <w:rsid w:val="00DF006F"/>
    <w:rsid w:val="00DF1F56"/>
    <w:rsid w:val="00DF2428"/>
    <w:rsid w:val="00DF296C"/>
    <w:rsid w:val="00DF2A53"/>
    <w:rsid w:val="00DF388B"/>
    <w:rsid w:val="00DF5CAA"/>
    <w:rsid w:val="00DF5E95"/>
    <w:rsid w:val="00DF606A"/>
    <w:rsid w:val="00E02125"/>
    <w:rsid w:val="00E0358E"/>
    <w:rsid w:val="00E04F24"/>
    <w:rsid w:val="00E04F7B"/>
    <w:rsid w:val="00E05E82"/>
    <w:rsid w:val="00E06CEA"/>
    <w:rsid w:val="00E11435"/>
    <w:rsid w:val="00E121F2"/>
    <w:rsid w:val="00E166F1"/>
    <w:rsid w:val="00E16928"/>
    <w:rsid w:val="00E16FE8"/>
    <w:rsid w:val="00E17539"/>
    <w:rsid w:val="00E211E6"/>
    <w:rsid w:val="00E23F1D"/>
    <w:rsid w:val="00E24FED"/>
    <w:rsid w:val="00E25085"/>
    <w:rsid w:val="00E2543E"/>
    <w:rsid w:val="00E2591F"/>
    <w:rsid w:val="00E30148"/>
    <w:rsid w:val="00E31ED3"/>
    <w:rsid w:val="00E343B0"/>
    <w:rsid w:val="00E35A9F"/>
    <w:rsid w:val="00E364A9"/>
    <w:rsid w:val="00E36E36"/>
    <w:rsid w:val="00E400AA"/>
    <w:rsid w:val="00E40BF0"/>
    <w:rsid w:val="00E41EE8"/>
    <w:rsid w:val="00E42149"/>
    <w:rsid w:val="00E4768E"/>
    <w:rsid w:val="00E47BA7"/>
    <w:rsid w:val="00E50121"/>
    <w:rsid w:val="00E515C8"/>
    <w:rsid w:val="00E53945"/>
    <w:rsid w:val="00E54C6F"/>
    <w:rsid w:val="00E55682"/>
    <w:rsid w:val="00E5639B"/>
    <w:rsid w:val="00E57D1A"/>
    <w:rsid w:val="00E608E3"/>
    <w:rsid w:val="00E60E78"/>
    <w:rsid w:val="00E63C9B"/>
    <w:rsid w:val="00E669EF"/>
    <w:rsid w:val="00E67800"/>
    <w:rsid w:val="00E70E9A"/>
    <w:rsid w:val="00E71B7C"/>
    <w:rsid w:val="00E71C1E"/>
    <w:rsid w:val="00E71D31"/>
    <w:rsid w:val="00E72BA8"/>
    <w:rsid w:val="00E74BB2"/>
    <w:rsid w:val="00E804FF"/>
    <w:rsid w:val="00E81785"/>
    <w:rsid w:val="00E83CCD"/>
    <w:rsid w:val="00E847E6"/>
    <w:rsid w:val="00E84909"/>
    <w:rsid w:val="00E856C2"/>
    <w:rsid w:val="00E90FB8"/>
    <w:rsid w:val="00E938B3"/>
    <w:rsid w:val="00E945C4"/>
    <w:rsid w:val="00E9495C"/>
    <w:rsid w:val="00E94B01"/>
    <w:rsid w:val="00EA29EC"/>
    <w:rsid w:val="00EA3186"/>
    <w:rsid w:val="00EA3C99"/>
    <w:rsid w:val="00EA47AD"/>
    <w:rsid w:val="00EA5B80"/>
    <w:rsid w:val="00EA64D4"/>
    <w:rsid w:val="00EB06C5"/>
    <w:rsid w:val="00EB1535"/>
    <w:rsid w:val="00EB26B3"/>
    <w:rsid w:val="00EB4375"/>
    <w:rsid w:val="00EB4A89"/>
    <w:rsid w:val="00EB5B94"/>
    <w:rsid w:val="00EB657F"/>
    <w:rsid w:val="00EC046B"/>
    <w:rsid w:val="00EC75DD"/>
    <w:rsid w:val="00EC7691"/>
    <w:rsid w:val="00ED0FE5"/>
    <w:rsid w:val="00ED2A49"/>
    <w:rsid w:val="00ED4C36"/>
    <w:rsid w:val="00EE318A"/>
    <w:rsid w:val="00EE4761"/>
    <w:rsid w:val="00EE520F"/>
    <w:rsid w:val="00EE591F"/>
    <w:rsid w:val="00EE6C6D"/>
    <w:rsid w:val="00EE7BDD"/>
    <w:rsid w:val="00EE7E52"/>
    <w:rsid w:val="00EF1568"/>
    <w:rsid w:val="00EF2498"/>
    <w:rsid w:val="00EF56AC"/>
    <w:rsid w:val="00EF5B02"/>
    <w:rsid w:val="00EF5EE0"/>
    <w:rsid w:val="00EF62F8"/>
    <w:rsid w:val="00F023BF"/>
    <w:rsid w:val="00F0275F"/>
    <w:rsid w:val="00F02779"/>
    <w:rsid w:val="00F040CA"/>
    <w:rsid w:val="00F04FF5"/>
    <w:rsid w:val="00F06420"/>
    <w:rsid w:val="00F06513"/>
    <w:rsid w:val="00F06844"/>
    <w:rsid w:val="00F0734C"/>
    <w:rsid w:val="00F10CFA"/>
    <w:rsid w:val="00F1214E"/>
    <w:rsid w:val="00F12CDD"/>
    <w:rsid w:val="00F16128"/>
    <w:rsid w:val="00F161D2"/>
    <w:rsid w:val="00F20841"/>
    <w:rsid w:val="00F20896"/>
    <w:rsid w:val="00F2446D"/>
    <w:rsid w:val="00F245FA"/>
    <w:rsid w:val="00F257ED"/>
    <w:rsid w:val="00F27366"/>
    <w:rsid w:val="00F30542"/>
    <w:rsid w:val="00F30BB8"/>
    <w:rsid w:val="00F33E63"/>
    <w:rsid w:val="00F366A6"/>
    <w:rsid w:val="00F37E08"/>
    <w:rsid w:val="00F41968"/>
    <w:rsid w:val="00F428EF"/>
    <w:rsid w:val="00F44539"/>
    <w:rsid w:val="00F44AEB"/>
    <w:rsid w:val="00F45620"/>
    <w:rsid w:val="00F45E5F"/>
    <w:rsid w:val="00F4632A"/>
    <w:rsid w:val="00F47081"/>
    <w:rsid w:val="00F47F87"/>
    <w:rsid w:val="00F52462"/>
    <w:rsid w:val="00F53850"/>
    <w:rsid w:val="00F542F8"/>
    <w:rsid w:val="00F61061"/>
    <w:rsid w:val="00F63179"/>
    <w:rsid w:val="00F63E7A"/>
    <w:rsid w:val="00F64A9E"/>
    <w:rsid w:val="00F6505F"/>
    <w:rsid w:val="00F655E3"/>
    <w:rsid w:val="00F65A7D"/>
    <w:rsid w:val="00F65D72"/>
    <w:rsid w:val="00F739AD"/>
    <w:rsid w:val="00F76B0E"/>
    <w:rsid w:val="00F7782E"/>
    <w:rsid w:val="00F77BD8"/>
    <w:rsid w:val="00F801C0"/>
    <w:rsid w:val="00F80559"/>
    <w:rsid w:val="00F8482C"/>
    <w:rsid w:val="00F84DCA"/>
    <w:rsid w:val="00F87F11"/>
    <w:rsid w:val="00F93799"/>
    <w:rsid w:val="00F94B22"/>
    <w:rsid w:val="00F95B39"/>
    <w:rsid w:val="00F968E3"/>
    <w:rsid w:val="00F97A8C"/>
    <w:rsid w:val="00FA0F28"/>
    <w:rsid w:val="00FA1AF3"/>
    <w:rsid w:val="00FA255B"/>
    <w:rsid w:val="00FA4A11"/>
    <w:rsid w:val="00FA6757"/>
    <w:rsid w:val="00FA6E14"/>
    <w:rsid w:val="00FB22D4"/>
    <w:rsid w:val="00FB3609"/>
    <w:rsid w:val="00FB551F"/>
    <w:rsid w:val="00FB6C4F"/>
    <w:rsid w:val="00FB7593"/>
    <w:rsid w:val="00FC1254"/>
    <w:rsid w:val="00FC33AA"/>
    <w:rsid w:val="00FC5217"/>
    <w:rsid w:val="00FC5EE8"/>
    <w:rsid w:val="00FD08A6"/>
    <w:rsid w:val="00FD20D1"/>
    <w:rsid w:val="00FD37BD"/>
    <w:rsid w:val="00FD5578"/>
    <w:rsid w:val="00FD783F"/>
    <w:rsid w:val="00FE189D"/>
    <w:rsid w:val="00FE28BC"/>
    <w:rsid w:val="00FE3A27"/>
    <w:rsid w:val="00FE6591"/>
    <w:rsid w:val="00FE6DB7"/>
    <w:rsid w:val="00FE7E9A"/>
    <w:rsid w:val="00FF07DB"/>
    <w:rsid w:val="00FF29F0"/>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Mkatabulky">
    <w:name w:val="Table Grid"/>
    <w:basedOn w:val="Normlntabulka"/>
    <w:uiPriority w:val="39"/>
    <w:rsid w:val="00B20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52974130">
      <w:bodyDiv w:val="1"/>
      <w:marLeft w:val="0"/>
      <w:marRight w:val="0"/>
      <w:marTop w:val="0"/>
      <w:marBottom w:val="0"/>
      <w:divBdr>
        <w:top w:val="none" w:sz="0" w:space="0" w:color="auto"/>
        <w:left w:val="none" w:sz="0" w:space="0" w:color="auto"/>
        <w:bottom w:val="none" w:sz="0" w:space="0" w:color="auto"/>
        <w:right w:val="none" w:sz="0" w:space="0" w:color="auto"/>
      </w:divBdr>
    </w:div>
    <w:div w:id="129826944">
      <w:bodyDiv w:val="1"/>
      <w:marLeft w:val="0"/>
      <w:marRight w:val="0"/>
      <w:marTop w:val="0"/>
      <w:marBottom w:val="0"/>
      <w:divBdr>
        <w:top w:val="none" w:sz="0" w:space="0" w:color="auto"/>
        <w:left w:val="none" w:sz="0" w:space="0" w:color="auto"/>
        <w:bottom w:val="none" w:sz="0" w:space="0" w:color="auto"/>
        <w:right w:val="none" w:sz="0" w:space="0" w:color="auto"/>
      </w:divBdr>
      <w:divsChild>
        <w:div w:id="354383267">
          <w:marLeft w:val="0"/>
          <w:marRight w:val="0"/>
          <w:marTop w:val="0"/>
          <w:marBottom w:val="0"/>
          <w:divBdr>
            <w:top w:val="none" w:sz="0" w:space="0" w:color="auto"/>
            <w:left w:val="none" w:sz="0" w:space="0" w:color="auto"/>
            <w:bottom w:val="none" w:sz="0" w:space="0" w:color="auto"/>
            <w:right w:val="none" w:sz="0" w:space="0" w:color="auto"/>
          </w:divBdr>
          <w:divsChild>
            <w:div w:id="335231588">
              <w:marLeft w:val="0"/>
              <w:marRight w:val="0"/>
              <w:marTop w:val="0"/>
              <w:marBottom w:val="0"/>
              <w:divBdr>
                <w:top w:val="none" w:sz="0" w:space="0" w:color="auto"/>
                <w:left w:val="none" w:sz="0" w:space="0" w:color="auto"/>
                <w:bottom w:val="none" w:sz="0" w:space="0" w:color="auto"/>
                <w:right w:val="none" w:sz="0" w:space="0" w:color="auto"/>
              </w:divBdr>
              <w:divsChild>
                <w:div w:id="1272592030">
                  <w:marLeft w:val="0"/>
                  <w:marRight w:val="0"/>
                  <w:marTop w:val="0"/>
                  <w:marBottom w:val="0"/>
                  <w:divBdr>
                    <w:top w:val="none" w:sz="0" w:space="0" w:color="auto"/>
                    <w:left w:val="none" w:sz="0" w:space="0" w:color="auto"/>
                    <w:bottom w:val="none" w:sz="0" w:space="0" w:color="auto"/>
                    <w:right w:val="none" w:sz="0" w:space="0" w:color="auto"/>
                  </w:divBdr>
                  <w:divsChild>
                    <w:div w:id="1057626299">
                      <w:marLeft w:val="0"/>
                      <w:marRight w:val="0"/>
                      <w:marTop w:val="0"/>
                      <w:marBottom w:val="0"/>
                      <w:divBdr>
                        <w:top w:val="none" w:sz="0" w:space="0" w:color="auto"/>
                        <w:left w:val="none" w:sz="0" w:space="0" w:color="auto"/>
                        <w:bottom w:val="none" w:sz="0" w:space="0" w:color="auto"/>
                        <w:right w:val="none" w:sz="0" w:space="0" w:color="auto"/>
                      </w:divBdr>
                      <w:divsChild>
                        <w:div w:id="817649838">
                          <w:marLeft w:val="0"/>
                          <w:marRight w:val="0"/>
                          <w:marTop w:val="0"/>
                          <w:marBottom w:val="0"/>
                          <w:divBdr>
                            <w:top w:val="none" w:sz="0" w:space="0" w:color="auto"/>
                            <w:left w:val="none" w:sz="0" w:space="0" w:color="auto"/>
                            <w:bottom w:val="none" w:sz="0" w:space="0" w:color="auto"/>
                            <w:right w:val="none" w:sz="0" w:space="0" w:color="auto"/>
                          </w:divBdr>
                          <w:divsChild>
                            <w:div w:id="699859903">
                              <w:marLeft w:val="0"/>
                              <w:marRight w:val="0"/>
                              <w:marTop w:val="0"/>
                              <w:marBottom w:val="0"/>
                              <w:divBdr>
                                <w:top w:val="none" w:sz="0" w:space="0" w:color="auto"/>
                                <w:left w:val="none" w:sz="0" w:space="0" w:color="auto"/>
                                <w:bottom w:val="none" w:sz="0" w:space="0" w:color="auto"/>
                                <w:right w:val="none" w:sz="0" w:space="0" w:color="auto"/>
                              </w:divBdr>
                              <w:divsChild>
                                <w:div w:id="814101609">
                                  <w:marLeft w:val="0"/>
                                  <w:marRight w:val="0"/>
                                  <w:marTop w:val="0"/>
                                  <w:marBottom w:val="0"/>
                                  <w:divBdr>
                                    <w:top w:val="none" w:sz="0" w:space="0" w:color="auto"/>
                                    <w:left w:val="none" w:sz="0" w:space="0" w:color="auto"/>
                                    <w:bottom w:val="none" w:sz="0" w:space="0" w:color="auto"/>
                                    <w:right w:val="none" w:sz="0" w:space="0" w:color="auto"/>
                                  </w:divBdr>
                                  <w:divsChild>
                                    <w:div w:id="1296762244">
                                      <w:marLeft w:val="0"/>
                                      <w:marRight w:val="0"/>
                                      <w:marTop w:val="0"/>
                                      <w:marBottom w:val="0"/>
                                      <w:divBdr>
                                        <w:top w:val="none" w:sz="0" w:space="0" w:color="auto"/>
                                        <w:left w:val="none" w:sz="0" w:space="0" w:color="auto"/>
                                        <w:bottom w:val="none" w:sz="0" w:space="0" w:color="auto"/>
                                        <w:right w:val="none" w:sz="0" w:space="0" w:color="auto"/>
                                      </w:divBdr>
                                      <w:divsChild>
                                        <w:div w:id="950822681">
                                          <w:marLeft w:val="0"/>
                                          <w:marRight w:val="0"/>
                                          <w:marTop w:val="0"/>
                                          <w:marBottom w:val="0"/>
                                          <w:divBdr>
                                            <w:top w:val="none" w:sz="0" w:space="0" w:color="auto"/>
                                            <w:left w:val="none" w:sz="0" w:space="0" w:color="auto"/>
                                            <w:bottom w:val="none" w:sz="0" w:space="0" w:color="auto"/>
                                            <w:right w:val="none" w:sz="0" w:space="0" w:color="auto"/>
                                          </w:divBdr>
                                          <w:divsChild>
                                            <w:div w:id="65977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6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5115">
      <w:bodyDiv w:val="1"/>
      <w:marLeft w:val="0"/>
      <w:marRight w:val="0"/>
      <w:marTop w:val="0"/>
      <w:marBottom w:val="0"/>
      <w:divBdr>
        <w:top w:val="none" w:sz="0" w:space="0" w:color="auto"/>
        <w:left w:val="none" w:sz="0" w:space="0" w:color="auto"/>
        <w:bottom w:val="none" w:sz="0" w:space="0" w:color="auto"/>
        <w:right w:val="none" w:sz="0" w:space="0" w:color="auto"/>
      </w:divBdr>
    </w:div>
    <w:div w:id="154535961">
      <w:bodyDiv w:val="1"/>
      <w:marLeft w:val="0"/>
      <w:marRight w:val="0"/>
      <w:marTop w:val="0"/>
      <w:marBottom w:val="0"/>
      <w:divBdr>
        <w:top w:val="none" w:sz="0" w:space="0" w:color="auto"/>
        <w:left w:val="none" w:sz="0" w:space="0" w:color="auto"/>
        <w:bottom w:val="none" w:sz="0" w:space="0" w:color="auto"/>
        <w:right w:val="none" w:sz="0" w:space="0" w:color="auto"/>
      </w:divBdr>
    </w:div>
    <w:div w:id="165484436">
      <w:bodyDiv w:val="1"/>
      <w:marLeft w:val="0"/>
      <w:marRight w:val="0"/>
      <w:marTop w:val="0"/>
      <w:marBottom w:val="0"/>
      <w:divBdr>
        <w:top w:val="none" w:sz="0" w:space="0" w:color="auto"/>
        <w:left w:val="none" w:sz="0" w:space="0" w:color="auto"/>
        <w:bottom w:val="none" w:sz="0" w:space="0" w:color="auto"/>
        <w:right w:val="none" w:sz="0" w:space="0" w:color="auto"/>
      </w:divBdr>
    </w:div>
    <w:div w:id="209344331">
      <w:bodyDiv w:val="1"/>
      <w:marLeft w:val="0"/>
      <w:marRight w:val="0"/>
      <w:marTop w:val="0"/>
      <w:marBottom w:val="0"/>
      <w:divBdr>
        <w:top w:val="none" w:sz="0" w:space="0" w:color="auto"/>
        <w:left w:val="none" w:sz="0" w:space="0" w:color="auto"/>
        <w:bottom w:val="none" w:sz="0" w:space="0" w:color="auto"/>
        <w:right w:val="none" w:sz="0" w:space="0" w:color="auto"/>
      </w:divBdr>
    </w:div>
    <w:div w:id="211112149">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61032890">
      <w:bodyDiv w:val="1"/>
      <w:marLeft w:val="0"/>
      <w:marRight w:val="0"/>
      <w:marTop w:val="0"/>
      <w:marBottom w:val="0"/>
      <w:divBdr>
        <w:top w:val="none" w:sz="0" w:space="0" w:color="auto"/>
        <w:left w:val="none" w:sz="0" w:space="0" w:color="auto"/>
        <w:bottom w:val="none" w:sz="0" w:space="0" w:color="auto"/>
        <w:right w:val="none" w:sz="0" w:space="0" w:color="auto"/>
      </w:divBdr>
    </w:div>
    <w:div w:id="280915848">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326908074">
      <w:bodyDiv w:val="1"/>
      <w:marLeft w:val="0"/>
      <w:marRight w:val="0"/>
      <w:marTop w:val="0"/>
      <w:marBottom w:val="0"/>
      <w:divBdr>
        <w:top w:val="none" w:sz="0" w:space="0" w:color="auto"/>
        <w:left w:val="none" w:sz="0" w:space="0" w:color="auto"/>
        <w:bottom w:val="none" w:sz="0" w:space="0" w:color="auto"/>
        <w:right w:val="none" w:sz="0" w:space="0" w:color="auto"/>
      </w:divBdr>
    </w:div>
    <w:div w:id="371659038">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55357261">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58339459">
      <w:bodyDiv w:val="1"/>
      <w:marLeft w:val="0"/>
      <w:marRight w:val="0"/>
      <w:marTop w:val="0"/>
      <w:marBottom w:val="0"/>
      <w:divBdr>
        <w:top w:val="none" w:sz="0" w:space="0" w:color="auto"/>
        <w:left w:val="none" w:sz="0" w:space="0" w:color="auto"/>
        <w:bottom w:val="none" w:sz="0" w:space="0" w:color="auto"/>
        <w:right w:val="none" w:sz="0" w:space="0" w:color="auto"/>
      </w:divBdr>
    </w:div>
    <w:div w:id="670832458">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782841264">
      <w:bodyDiv w:val="1"/>
      <w:marLeft w:val="0"/>
      <w:marRight w:val="0"/>
      <w:marTop w:val="0"/>
      <w:marBottom w:val="0"/>
      <w:divBdr>
        <w:top w:val="none" w:sz="0" w:space="0" w:color="auto"/>
        <w:left w:val="none" w:sz="0" w:space="0" w:color="auto"/>
        <w:bottom w:val="none" w:sz="0" w:space="0" w:color="auto"/>
        <w:right w:val="none" w:sz="0" w:space="0" w:color="auto"/>
      </w:divBdr>
    </w:div>
    <w:div w:id="812987891">
      <w:bodyDiv w:val="1"/>
      <w:marLeft w:val="0"/>
      <w:marRight w:val="0"/>
      <w:marTop w:val="0"/>
      <w:marBottom w:val="0"/>
      <w:divBdr>
        <w:top w:val="none" w:sz="0" w:space="0" w:color="auto"/>
        <w:left w:val="none" w:sz="0" w:space="0" w:color="auto"/>
        <w:bottom w:val="none" w:sz="0" w:space="0" w:color="auto"/>
        <w:right w:val="none" w:sz="0" w:space="0" w:color="auto"/>
      </w:divBdr>
    </w:div>
    <w:div w:id="852458738">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965039135">
      <w:bodyDiv w:val="1"/>
      <w:marLeft w:val="0"/>
      <w:marRight w:val="0"/>
      <w:marTop w:val="0"/>
      <w:marBottom w:val="0"/>
      <w:divBdr>
        <w:top w:val="none" w:sz="0" w:space="0" w:color="auto"/>
        <w:left w:val="none" w:sz="0" w:space="0" w:color="auto"/>
        <w:bottom w:val="none" w:sz="0" w:space="0" w:color="auto"/>
        <w:right w:val="none" w:sz="0" w:space="0" w:color="auto"/>
      </w:divBdr>
    </w:div>
    <w:div w:id="995377969">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06002660">
      <w:bodyDiv w:val="1"/>
      <w:marLeft w:val="0"/>
      <w:marRight w:val="0"/>
      <w:marTop w:val="0"/>
      <w:marBottom w:val="0"/>
      <w:divBdr>
        <w:top w:val="none" w:sz="0" w:space="0" w:color="auto"/>
        <w:left w:val="none" w:sz="0" w:space="0" w:color="auto"/>
        <w:bottom w:val="none" w:sz="0" w:space="0" w:color="auto"/>
        <w:right w:val="none" w:sz="0" w:space="0" w:color="auto"/>
      </w:divBdr>
    </w:div>
    <w:div w:id="1107889667">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10137983">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36415316">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365181098">
      <w:bodyDiv w:val="1"/>
      <w:marLeft w:val="0"/>
      <w:marRight w:val="0"/>
      <w:marTop w:val="0"/>
      <w:marBottom w:val="0"/>
      <w:divBdr>
        <w:top w:val="none" w:sz="0" w:space="0" w:color="auto"/>
        <w:left w:val="none" w:sz="0" w:space="0" w:color="auto"/>
        <w:bottom w:val="none" w:sz="0" w:space="0" w:color="auto"/>
        <w:right w:val="none" w:sz="0" w:space="0" w:color="auto"/>
      </w:divBdr>
    </w:div>
    <w:div w:id="1495489361">
      <w:bodyDiv w:val="1"/>
      <w:marLeft w:val="0"/>
      <w:marRight w:val="0"/>
      <w:marTop w:val="0"/>
      <w:marBottom w:val="0"/>
      <w:divBdr>
        <w:top w:val="none" w:sz="0" w:space="0" w:color="auto"/>
        <w:left w:val="none" w:sz="0" w:space="0" w:color="auto"/>
        <w:bottom w:val="none" w:sz="0" w:space="0" w:color="auto"/>
        <w:right w:val="none" w:sz="0" w:space="0" w:color="auto"/>
      </w:divBdr>
    </w:div>
    <w:div w:id="1500998809">
      <w:bodyDiv w:val="1"/>
      <w:marLeft w:val="0"/>
      <w:marRight w:val="0"/>
      <w:marTop w:val="0"/>
      <w:marBottom w:val="0"/>
      <w:divBdr>
        <w:top w:val="none" w:sz="0" w:space="0" w:color="auto"/>
        <w:left w:val="none" w:sz="0" w:space="0" w:color="auto"/>
        <w:bottom w:val="none" w:sz="0" w:space="0" w:color="auto"/>
        <w:right w:val="none" w:sz="0" w:space="0" w:color="auto"/>
      </w:divBdr>
    </w:div>
    <w:div w:id="1593927371">
      <w:bodyDiv w:val="1"/>
      <w:marLeft w:val="0"/>
      <w:marRight w:val="0"/>
      <w:marTop w:val="0"/>
      <w:marBottom w:val="0"/>
      <w:divBdr>
        <w:top w:val="none" w:sz="0" w:space="0" w:color="auto"/>
        <w:left w:val="none" w:sz="0" w:space="0" w:color="auto"/>
        <w:bottom w:val="none" w:sz="0" w:space="0" w:color="auto"/>
        <w:right w:val="none" w:sz="0" w:space="0" w:color="auto"/>
      </w:divBdr>
    </w:div>
    <w:div w:id="1598050925">
      <w:bodyDiv w:val="1"/>
      <w:marLeft w:val="0"/>
      <w:marRight w:val="0"/>
      <w:marTop w:val="0"/>
      <w:marBottom w:val="0"/>
      <w:divBdr>
        <w:top w:val="none" w:sz="0" w:space="0" w:color="auto"/>
        <w:left w:val="none" w:sz="0" w:space="0" w:color="auto"/>
        <w:bottom w:val="none" w:sz="0" w:space="0" w:color="auto"/>
        <w:right w:val="none" w:sz="0" w:space="0" w:color="auto"/>
      </w:divBdr>
    </w:div>
    <w:div w:id="1602373042">
      <w:bodyDiv w:val="1"/>
      <w:marLeft w:val="0"/>
      <w:marRight w:val="0"/>
      <w:marTop w:val="0"/>
      <w:marBottom w:val="0"/>
      <w:divBdr>
        <w:top w:val="none" w:sz="0" w:space="0" w:color="auto"/>
        <w:left w:val="none" w:sz="0" w:space="0" w:color="auto"/>
        <w:bottom w:val="none" w:sz="0" w:space="0" w:color="auto"/>
        <w:right w:val="none" w:sz="0" w:space="0" w:color="auto"/>
      </w:divBdr>
    </w:div>
    <w:div w:id="1643000407">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231828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46095237">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886138050">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799945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005624805">
      <w:bodyDiv w:val="1"/>
      <w:marLeft w:val="0"/>
      <w:marRight w:val="0"/>
      <w:marTop w:val="0"/>
      <w:marBottom w:val="0"/>
      <w:divBdr>
        <w:top w:val="none" w:sz="0" w:space="0" w:color="auto"/>
        <w:left w:val="none" w:sz="0" w:space="0" w:color="auto"/>
        <w:bottom w:val="none" w:sz="0" w:space="0" w:color="auto"/>
        <w:right w:val="none" w:sz="0" w:space="0" w:color="auto"/>
      </w:divBdr>
    </w:div>
    <w:div w:id="205699962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inkedin.com/company/1066815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okpointy/" TargetMode="External"/><Relationship Id="rId5" Type="http://schemas.openxmlformats.org/officeDocument/2006/relationships/webSettings" Target="webSettings.xml"/><Relationship Id="rId15" Type="http://schemas.openxmlformats.org/officeDocument/2006/relationships/hyperlink" Target="mailto:lenka.kuzelova@bcas.cz" TargetMode="External"/><Relationship Id="rId10" Type="http://schemas.openxmlformats.org/officeDocument/2006/relationships/hyperlink" Target="https://www.linkedin.com/company/786541/"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acebook.com/Broker.Consulting/" TargetMode="External"/><Relationship Id="rId14" Type="http://schemas.openxmlformats.org/officeDocument/2006/relationships/hyperlink" Target="https://bcas.cz/pro-media/detail-indexu-broker-consulting-povinde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E4C8E-6AB7-4873-AECF-766C9CE60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936</Words>
  <Characters>5524</Characters>
  <Application>Microsoft Office Word</Application>
  <DocSecurity>0</DocSecurity>
  <Lines>46</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7</cp:revision>
  <dcterms:created xsi:type="dcterms:W3CDTF">2025-10-22T12:48:00Z</dcterms:created>
  <dcterms:modified xsi:type="dcterms:W3CDTF">2025-10-23T06:59:00Z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