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038E" w14:textId="77777777" w:rsidR="00F5535B" w:rsidRDefault="00000000">
      <w:pPr>
        <w:jc w:val="both"/>
        <w:rPr>
          <w:i/>
          <w:iCs/>
          <w:sz w:val="24"/>
          <w:szCs w:val="24"/>
        </w:rPr>
      </w:pPr>
      <w:r>
        <w:rPr>
          <w:i/>
          <w:iCs/>
          <w:sz w:val="24"/>
          <w:szCs w:val="24"/>
        </w:rPr>
        <w:t>Tisková zpráva</w:t>
      </w:r>
    </w:p>
    <w:p w14:paraId="727D4622" w14:textId="624EFDED" w:rsidR="00F5535B" w:rsidRDefault="009D60E4">
      <w:pPr>
        <w:pStyle w:val="Nzev"/>
      </w:pPr>
      <w:bookmarkStart w:id="0" w:name="_heading=h.xaqcin3fx0nj" w:colFirst="0" w:colLast="0"/>
      <w:bookmarkEnd w:id="0"/>
      <w:r>
        <w:t>Průměrné sazby hypoték se blíží 5 %. Mnoha domácnostem končí fixace úvěrů</w:t>
      </w:r>
    </w:p>
    <w:p w14:paraId="211A3EE7" w14:textId="77777777" w:rsidR="00952906" w:rsidRPr="00952906" w:rsidRDefault="00952906" w:rsidP="00952906"/>
    <w:p w14:paraId="4AF887C1" w14:textId="5FF69D13" w:rsidR="00F5535B" w:rsidRPr="00952906" w:rsidRDefault="00000000" w:rsidP="00BE061A">
      <w:pPr>
        <w:jc w:val="both"/>
        <w:rPr>
          <w:b/>
          <w:bCs/>
          <w:sz w:val="20"/>
          <w:szCs w:val="20"/>
        </w:rPr>
      </w:pPr>
      <w:r w:rsidRPr="00952906">
        <w:rPr>
          <w:b/>
          <w:bCs/>
          <w:sz w:val="20"/>
          <w:szCs w:val="20"/>
        </w:rPr>
        <w:t xml:space="preserve">Praha, </w:t>
      </w:r>
      <w:r w:rsidR="00BF09C9">
        <w:rPr>
          <w:b/>
          <w:bCs/>
          <w:sz w:val="20"/>
          <w:szCs w:val="20"/>
        </w:rPr>
        <w:t>30</w:t>
      </w:r>
      <w:r w:rsidRPr="00952906">
        <w:rPr>
          <w:b/>
          <w:bCs/>
          <w:sz w:val="20"/>
          <w:szCs w:val="20"/>
        </w:rPr>
        <w:t xml:space="preserve">. července </w:t>
      </w:r>
      <w:r w:rsidR="000C5AD7">
        <w:rPr>
          <w:b/>
          <w:bCs/>
          <w:sz w:val="20"/>
          <w:szCs w:val="20"/>
        </w:rPr>
        <w:t xml:space="preserve">2026 </w:t>
      </w:r>
      <w:r w:rsidRPr="00952906">
        <w:rPr>
          <w:b/>
          <w:bCs/>
          <w:sz w:val="20"/>
          <w:szCs w:val="20"/>
        </w:rPr>
        <w:t xml:space="preserve">- </w:t>
      </w:r>
      <w:r w:rsidR="00952906" w:rsidRPr="00952906">
        <w:rPr>
          <w:b/>
          <w:bCs/>
          <w:sz w:val="20"/>
          <w:szCs w:val="20"/>
        </w:rPr>
        <w:t xml:space="preserve">Broker </w:t>
      </w:r>
      <w:proofErr w:type="spellStart"/>
      <w:r w:rsidR="00952906" w:rsidRPr="00952906">
        <w:rPr>
          <w:b/>
          <w:bCs/>
          <w:sz w:val="20"/>
          <w:szCs w:val="20"/>
        </w:rPr>
        <w:t>Consulting</w:t>
      </w:r>
      <w:proofErr w:type="spellEnd"/>
      <w:r w:rsidR="00952906" w:rsidRPr="00952906">
        <w:rPr>
          <w:b/>
          <w:bCs/>
          <w:sz w:val="20"/>
          <w:szCs w:val="20"/>
        </w:rPr>
        <w:t xml:space="preserve"> Index hypotečních úvěrů v červenci vzrostl na 4,94 %, což představuje meziměsíční nárůst o </w:t>
      </w:r>
      <w:proofErr w:type="gramStart"/>
      <w:r w:rsidR="00952906" w:rsidRPr="00952906">
        <w:rPr>
          <w:b/>
          <w:bCs/>
          <w:sz w:val="20"/>
          <w:szCs w:val="20"/>
        </w:rPr>
        <w:t>0,13 procentního</w:t>
      </w:r>
      <w:proofErr w:type="gramEnd"/>
      <w:r w:rsidR="00952906" w:rsidRPr="00952906">
        <w:rPr>
          <w:b/>
          <w:bCs/>
          <w:sz w:val="20"/>
          <w:szCs w:val="20"/>
        </w:rPr>
        <w:t xml:space="preserve"> bodu. Od začátku letošního roku se</w:t>
      </w:r>
      <w:r w:rsidR="00BE061A">
        <w:rPr>
          <w:b/>
          <w:bCs/>
          <w:sz w:val="20"/>
          <w:szCs w:val="20"/>
        </w:rPr>
        <w:t> </w:t>
      </w:r>
      <w:r w:rsidR="00952906" w:rsidRPr="00952906">
        <w:rPr>
          <w:b/>
          <w:bCs/>
          <w:sz w:val="20"/>
          <w:szCs w:val="20"/>
        </w:rPr>
        <w:t>průměrné hypoteční sazby zvýšily již téměř o čtyři desetiny procentního bodu.</w:t>
      </w:r>
      <w:r w:rsidR="000C5AD7">
        <w:rPr>
          <w:b/>
          <w:bCs/>
          <w:sz w:val="20"/>
          <w:szCs w:val="20"/>
        </w:rPr>
        <w:t xml:space="preserve"> </w:t>
      </w:r>
      <w:r w:rsidR="000C5AD7" w:rsidRPr="000C5AD7">
        <w:rPr>
          <w:b/>
          <w:bCs/>
          <w:sz w:val="20"/>
          <w:szCs w:val="20"/>
        </w:rPr>
        <w:t>Experti radí být aktivní a hledat společně se specialisty na financování hypoték možná řešení</w:t>
      </w:r>
      <w:r w:rsidR="00952906" w:rsidRPr="00952906">
        <w:rPr>
          <w:b/>
          <w:bCs/>
          <w:sz w:val="20"/>
          <w:szCs w:val="20"/>
        </w:rPr>
        <w:t>.</w:t>
      </w:r>
    </w:p>
    <w:p w14:paraId="5A0F92AC" w14:textId="77777777" w:rsidR="00952906" w:rsidRPr="00952906" w:rsidRDefault="00952906" w:rsidP="00BE061A">
      <w:pPr>
        <w:jc w:val="both"/>
        <w:rPr>
          <w:b/>
          <w:bCs/>
          <w:sz w:val="20"/>
          <w:szCs w:val="20"/>
        </w:rPr>
      </w:pPr>
    </w:p>
    <w:p w14:paraId="71F7A3F9" w14:textId="75792DB3" w:rsidR="00952906" w:rsidRPr="00952906" w:rsidRDefault="00952906" w:rsidP="00BE061A">
      <w:pPr>
        <w:spacing w:after="160" w:line="278" w:lineRule="auto"/>
        <w:jc w:val="both"/>
        <w:rPr>
          <w:b/>
          <w:bCs/>
          <w:sz w:val="20"/>
          <w:szCs w:val="20"/>
        </w:rPr>
      </w:pPr>
      <w:bookmarkStart w:id="1" w:name="_heading=h.7njln5zc5vra" w:colFirst="0" w:colLast="0"/>
      <w:bookmarkStart w:id="2" w:name="_heading=h.pukb4gt8ject" w:colFirst="0" w:colLast="0"/>
      <w:bookmarkEnd w:id="1"/>
      <w:bookmarkEnd w:id="2"/>
      <w:r w:rsidRPr="00952906">
        <w:rPr>
          <w:sz w:val="20"/>
          <w:szCs w:val="20"/>
        </w:rPr>
        <w:t xml:space="preserve">V průběhu července přistoupily některé banky k dalšímu zvýšení hypotečních sazeb, a to </w:t>
      </w:r>
      <w:r w:rsidR="000C5AD7">
        <w:rPr>
          <w:sz w:val="20"/>
          <w:szCs w:val="20"/>
        </w:rPr>
        <w:t>zvlášť</w:t>
      </w:r>
      <w:r w:rsidRPr="00952906">
        <w:rPr>
          <w:sz w:val="20"/>
          <w:szCs w:val="20"/>
        </w:rPr>
        <w:t xml:space="preserve"> u</w:t>
      </w:r>
      <w:r w:rsidR="00BE061A">
        <w:rPr>
          <w:sz w:val="20"/>
          <w:szCs w:val="20"/>
        </w:rPr>
        <w:t> </w:t>
      </w:r>
      <w:r w:rsidRPr="00952906">
        <w:rPr>
          <w:sz w:val="20"/>
          <w:szCs w:val="20"/>
        </w:rPr>
        <w:t>kratších fixací a fixací do pěti let. Podle odborníků přitom v nejbližších měsících nelze očekávat výraznější pokles úrokových sazeb, pokud nedojde k zásadním změnám v ekonomickém prostředí.</w:t>
      </w:r>
    </w:p>
    <w:p w14:paraId="445A7EE5" w14:textId="31C99C94" w:rsidR="00952906" w:rsidRPr="00952906" w:rsidRDefault="00952906" w:rsidP="00BE061A">
      <w:pPr>
        <w:spacing w:after="160" w:line="278" w:lineRule="auto"/>
        <w:jc w:val="both"/>
        <w:rPr>
          <w:b/>
          <w:bCs/>
          <w:sz w:val="20"/>
          <w:szCs w:val="20"/>
        </w:rPr>
      </w:pPr>
      <w:r w:rsidRPr="00952906">
        <w:rPr>
          <w:sz w:val="20"/>
          <w:szCs w:val="20"/>
        </w:rPr>
        <w:t>„</w:t>
      </w:r>
      <w:r w:rsidRPr="00952906">
        <w:rPr>
          <w:i/>
          <w:iCs/>
          <w:sz w:val="20"/>
          <w:szCs w:val="20"/>
        </w:rPr>
        <w:t>Letošní vývoj potvrzuje, že období velmi levných hypoték</w:t>
      </w:r>
      <w:r w:rsidR="00A417D3">
        <w:rPr>
          <w:i/>
          <w:iCs/>
          <w:sz w:val="20"/>
          <w:szCs w:val="20"/>
        </w:rPr>
        <w:t xml:space="preserve"> před pěti lety </w:t>
      </w:r>
      <w:r w:rsidRPr="00952906">
        <w:rPr>
          <w:i/>
          <w:iCs/>
          <w:sz w:val="20"/>
          <w:szCs w:val="20"/>
        </w:rPr>
        <w:t>je minulostí. Klienti by měli počítat s tím, že</w:t>
      </w:r>
      <w:r w:rsidR="00BE061A">
        <w:rPr>
          <w:i/>
          <w:iCs/>
          <w:sz w:val="20"/>
          <w:szCs w:val="20"/>
        </w:rPr>
        <w:t> </w:t>
      </w:r>
      <w:r w:rsidRPr="00952906">
        <w:rPr>
          <w:i/>
          <w:iCs/>
          <w:sz w:val="20"/>
          <w:szCs w:val="20"/>
        </w:rPr>
        <w:t>financování bydlení zůstane i nadále dražší než v předchozích letech a že dlouhodobé finanční plánování bude hrát stále důležitější roli</w:t>
      </w:r>
      <w:r w:rsidR="00E92419">
        <w:rPr>
          <w:sz w:val="20"/>
          <w:szCs w:val="20"/>
        </w:rPr>
        <w:t xml:space="preserve">. </w:t>
      </w:r>
      <w:r w:rsidR="00E92419" w:rsidRPr="00E92419">
        <w:rPr>
          <w:i/>
          <w:iCs/>
          <w:sz w:val="20"/>
          <w:szCs w:val="20"/>
        </w:rPr>
        <w:t xml:space="preserve">Přesto se hypotéky stále vyplatí, neboť </w:t>
      </w:r>
      <w:r w:rsidR="00A417D3">
        <w:rPr>
          <w:i/>
          <w:iCs/>
          <w:sz w:val="20"/>
          <w:szCs w:val="20"/>
        </w:rPr>
        <w:t xml:space="preserve">ještě v relativně nedávné </w:t>
      </w:r>
      <w:r w:rsidR="00E92419" w:rsidRPr="00E92419">
        <w:rPr>
          <w:i/>
          <w:iCs/>
          <w:sz w:val="20"/>
          <w:szCs w:val="20"/>
        </w:rPr>
        <w:t>minulosti</w:t>
      </w:r>
      <w:r w:rsidR="00A417D3">
        <w:rPr>
          <w:i/>
          <w:iCs/>
          <w:sz w:val="20"/>
          <w:szCs w:val="20"/>
        </w:rPr>
        <w:t xml:space="preserve">, konkrétně v prosinci 2022, dosáhly dokonce hodnoty </w:t>
      </w:r>
      <w:r w:rsidR="00E92419" w:rsidRPr="00E92419">
        <w:rPr>
          <w:i/>
          <w:iCs/>
          <w:sz w:val="20"/>
          <w:szCs w:val="20"/>
        </w:rPr>
        <w:t>6</w:t>
      </w:r>
      <w:r w:rsidR="00A417D3">
        <w:rPr>
          <w:i/>
          <w:iCs/>
          <w:sz w:val="20"/>
          <w:szCs w:val="20"/>
        </w:rPr>
        <w:t>,17</w:t>
      </w:r>
      <w:r w:rsidR="00E92419" w:rsidRPr="00E92419">
        <w:rPr>
          <w:i/>
          <w:iCs/>
          <w:sz w:val="20"/>
          <w:szCs w:val="20"/>
        </w:rPr>
        <w:t xml:space="preserve"> %</w:t>
      </w:r>
      <w:r w:rsidR="00E92419">
        <w:rPr>
          <w:sz w:val="20"/>
          <w:szCs w:val="20"/>
        </w:rPr>
        <w:t>,</w:t>
      </w:r>
      <w:r w:rsidRPr="00952906">
        <w:rPr>
          <w:sz w:val="20"/>
          <w:szCs w:val="20"/>
        </w:rPr>
        <w:t xml:space="preserve">“ </w:t>
      </w:r>
      <w:r w:rsidR="00E92419">
        <w:rPr>
          <w:sz w:val="20"/>
          <w:szCs w:val="20"/>
        </w:rPr>
        <w:t>vysvětluje</w:t>
      </w:r>
      <w:r w:rsidRPr="00952906">
        <w:rPr>
          <w:sz w:val="20"/>
          <w:szCs w:val="20"/>
        </w:rPr>
        <w:t xml:space="preserve"> </w:t>
      </w:r>
      <w:r w:rsidR="00AE1A83">
        <w:rPr>
          <w:b/>
          <w:bCs/>
          <w:sz w:val="20"/>
          <w:szCs w:val="20"/>
        </w:rPr>
        <w:t>Michaela</w:t>
      </w:r>
      <w:r w:rsidRPr="00952906">
        <w:rPr>
          <w:b/>
          <w:bCs/>
          <w:sz w:val="20"/>
          <w:szCs w:val="20"/>
        </w:rPr>
        <w:t xml:space="preserve"> Pudilová, analytička Broker </w:t>
      </w:r>
      <w:proofErr w:type="spellStart"/>
      <w:r w:rsidRPr="00952906">
        <w:rPr>
          <w:b/>
          <w:bCs/>
          <w:sz w:val="20"/>
          <w:szCs w:val="20"/>
        </w:rPr>
        <w:t>Consulting</w:t>
      </w:r>
      <w:proofErr w:type="spellEnd"/>
      <w:r w:rsidRPr="00952906">
        <w:rPr>
          <w:b/>
          <w:bCs/>
          <w:sz w:val="20"/>
          <w:szCs w:val="20"/>
        </w:rPr>
        <w:t>.</w:t>
      </w:r>
    </w:p>
    <w:p w14:paraId="29BF032F" w14:textId="6E944DA5" w:rsidR="00952906" w:rsidRPr="00952906" w:rsidRDefault="00952906" w:rsidP="00BE061A">
      <w:pPr>
        <w:spacing w:after="160" w:line="278" w:lineRule="auto"/>
        <w:jc w:val="both"/>
        <w:rPr>
          <w:b/>
          <w:bCs/>
          <w:sz w:val="24"/>
          <w:szCs w:val="24"/>
        </w:rPr>
      </w:pPr>
      <w:r w:rsidRPr="00952906">
        <w:rPr>
          <w:b/>
          <w:bCs/>
          <w:sz w:val="24"/>
          <w:szCs w:val="24"/>
        </w:rPr>
        <w:t>Konec fixace může znamenat výrazn</w:t>
      </w:r>
      <w:r w:rsidR="000C5AD7">
        <w:rPr>
          <w:b/>
          <w:bCs/>
          <w:sz w:val="24"/>
          <w:szCs w:val="24"/>
        </w:rPr>
        <w:t>é zvýšení</w:t>
      </w:r>
      <w:r w:rsidRPr="00952906">
        <w:rPr>
          <w:b/>
          <w:bCs/>
          <w:sz w:val="24"/>
          <w:szCs w:val="24"/>
        </w:rPr>
        <w:t xml:space="preserve"> splátky</w:t>
      </w:r>
    </w:p>
    <w:p w14:paraId="1FE9ED28" w14:textId="15A7332B" w:rsidR="00952906" w:rsidRPr="00952906" w:rsidRDefault="00952906" w:rsidP="00BE061A">
      <w:pPr>
        <w:spacing w:after="160" w:line="278" w:lineRule="auto"/>
        <w:jc w:val="both"/>
        <w:rPr>
          <w:sz w:val="20"/>
          <w:szCs w:val="20"/>
        </w:rPr>
      </w:pPr>
      <w:r w:rsidRPr="00952906">
        <w:rPr>
          <w:sz w:val="20"/>
          <w:szCs w:val="20"/>
        </w:rPr>
        <w:t xml:space="preserve">Významný dopad současných sazeb pocítí především lidé, kteří si hypotéku sjednávali na přelomu let 2020 a 2021. Tehdy bylo možné získat úvěr na bydlení s úrokovou sazbou kolem 2 až 2,5 </w:t>
      </w:r>
      <w:r w:rsidR="00CC427B">
        <w:rPr>
          <w:sz w:val="20"/>
          <w:szCs w:val="20"/>
        </w:rPr>
        <w:t>%</w:t>
      </w:r>
      <w:r w:rsidRPr="00952906">
        <w:rPr>
          <w:sz w:val="20"/>
          <w:szCs w:val="20"/>
        </w:rPr>
        <w:t xml:space="preserve"> a řada klientů si ji zafixovala </w:t>
      </w:r>
      <w:r w:rsidR="00CC427B">
        <w:rPr>
          <w:sz w:val="20"/>
          <w:szCs w:val="20"/>
        </w:rPr>
        <w:t xml:space="preserve">právě </w:t>
      </w:r>
      <w:r w:rsidRPr="00952906">
        <w:rPr>
          <w:sz w:val="20"/>
          <w:szCs w:val="20"/>
        </w:rPr>
        <w:t>na pět let.</w:t>
      </w:r>
    </w:p>
    <w:p w14:paraId="6C3BCB28" w14:textId="316195D4" w:rsidR="00952906" w:rsidRPr="00952906" w:rsidRDefault="00952906" w:rsidP="00BE061A">
      <w:pPr>
        <w:spacing w:after="160" w:line="278" w:lineRule="auto"/>
        <w:jc w:val="both"/>
        <w:rPr>
          <w:sz w:val="20"/>
          <w:szCs w:val="20"/>
        </w:rPr>
      </w:pPr>
      <w:r w:rsidRPr="00952906">
        <w:rPr>
          <w:sz w:val="20"/>
          <w:szCs w:val="20"/>
        </w:rPr>
        <w:t xml:space="preserve">Modelový příklad ukazuje, jak výrazná může změna být. U hypotéky ve výši </w:t>
      </w:r>
      <w:r w:rsidRPr="00952906">
        <w:rPr>
          <w:b/>
          <w:bCs/>
          <w:sz w:val="20"/>
          <w:szCs w:val="20"/>
        </w:rPr>
        <w:t>5 milionů korun</w:t>
      </w:r>
      <w:r w:rsidRPr="00952906">
        <w:rPr>
          <w:sz w:val="20"/>
          <w:szCs w:val="20"/>
        </w:rPr>
        <w:t xml:space="preserve"> se</w:t>
      </w:r>
      <w:r w:rsidR="00BE061A">
        <w:rPr>
          <w:sz w:val="20"/>
          <w:szCs w:val="20"/>
        </w:rPr>
        <w:t> </w:t>
      </w:r>
      <w:r w:rsidRPr="00952906">
        <w:rPr>
          <w:sz w:val="20"/>
          <w:szCs w:val="20"/>
        </w:rPr>
        <w:t xml:space="preserve">splatností </w:t>
      </w:r>
      <w:r w:rsidRPr="00952906">
        <w:rPr>
          <w:b/>
          <w:bCs/>
          <w:sz w:val="20"/>
          <w:szCs w:val="20"/>
        </w:rPr>
        <w:t>30 let</w:t>
      </w:r>
      <w:r w:rsidRPr="00952906">
        <w:rPr>
          <w:sz w:val="20"/>
          <w:szCs w:val="20"/>
        </w:rPr>
        <w:t xml:space="preserve"> a úrokovou sazbou </w:t>
      </w:r>
      <w:r w:rsidRPr="00952906">
        <w:rPr>
          <w:b/>
          <w:bCs/>
          <w:sz w:val="20"/>
          <w:szCs w:val="20"/>
        </w:rPr>
        <w:t>2,5 %</w:t>
      </w:r>
      <w:r w:rsidRPr="00952906">
        <w:rPr>
          <w:sz w:val="20"/>
          <w:szCs w:val="20"/>
        </w:rPr>
        <w:t xml:space="preserve"> činila měsíční splátka přibližně </w:t>
      </w:r>
      <w:r w:rsidRPr="00952906">
        <w:rPr>
          <w:b/>
          <w:bCs/>
          <w:sz w:val="20"/>
          <w:szCs w:val="20"/>
        </w:rPr>
        <w:t>19 756 Kč</w:t>
      </w:r>
      <w:r w:rsidRPr="00952906">
        <w:rPr>
          <w:sz w:val="20"/>
          <w:szCs w:val="20"/>
        </w:rPr>
        <w:t xml:space="preserve">. Pokud dnes klientovi končí fixace a nová sazba odpovídá aktuálnímu průměru </w:t>
      </w:r>
      <w:r w:rsidRPr="00952906">
        <w:rPr>
          <w:b/>
          <w:bCs/>
          <w:sz w:val="20"/>
          <w:szCs w:val="20"/>
        </w:rPr>
        <w:t>4,94 %</w:t>
      </w:r>
      <w:r w:rsidRPr="00952906">
        <w:rPr>
          <w:sz w:val="20"/>
          <w:szCs w:val="20"/>
        </w:rPr>
        <w:t xml:space="preserve">, bude i po pěti letech řádného splácení nová měsíční splátka činit přibližně </w:t>
      </w:r>
      <w:r w:rsidRPr="00952906">
        <w:rPr>
          <w:b/>
          <w:bCs/>
          <w:sz w:val="20"/>
          <w:szCs w:val="20"/>
        </w:rPr>
        <w:t>25 634 Kč</w:t>
      </w:r>
      <w:r w:rsidRPr="00952906">
        <w:rPr>
          <w:sz w:val="20"/>
          <w:szCs w:val="20"/>
        </w:rPr>
        <w:t xml:space="preserve">. Rozdíl téměř </w:t>
      </w:r>
      <w:r w:rsidRPr="00952906">
        <w:rPr>
          <w:b/>
          <w:bCs/>
          <w:sz w:val="20"/>
          <w:szCs w:val="20"/>
        </w:rPr>
        <w:t>5 900 Kč měsíčně</w:t>
      </w:r>
      <w:r w:rsidRPr="00952906">
        <w:rPr>
          <w:sz w:val="20"/>
          <w:szCs w:val="20"/>
        </w:rPr>
        <w:t xml:space="preserve"> tak může pro</w:t>
      </w:r>
      <w:r w:rsidR="00BE061A">
        <w:rPr>
          <w:sz w:val="20"/>
          <w:szCs w:val="20"/>
        </w:rPr>
        <w:t> </w:t>
      </w:r>
      <w:r w:rsidRPr="00952906">
        <w:rPr>
          <w:sz w:val="20"/>
          <w:szCs w:val="20"/>
        </w:rPr>
        <w:t>řadu domácností představovat citelný zásah do rodinného rozpočtu.</w:t>
      </w:r>
    </w:p>
    <w:p w14:paraId="4CED9D24" w14:textId="77777777" w:rsidR="00952906" w:rsidRPr="00952906" w:rsidRDefault="00952906" w:rsidP="00BE061A">
      <w:pPr>
        <w:spacing w:after="160" w:line="278" w:lineRule="auto"/>
        <w:jc w:val="both"/>
        <w:rPr>
          <w:b/>
          <w:bCs/>
          <w:sz w:val="24"/>
          <w:szCs w:val="24"/>
        </w:rPr>
      </w:pPr>
      <w:r w:rsidRPr="00952906">
        <w:rPr>
          <w:b/>
          <w:bCs/>
          <w:sz w:val="24"/>
          <w:szCs w:val="24"/>
        </w:rPr>
        <w:t>Odborníci radí: řešte refinancování s předstihem</w:t>
      </w:r>
    </w:p>
    <w:p w14:paraId="2A548812" w14:textId="6FBE99F4" w:rsidR="00952906" w:rsidRPr="00952906" w:rsidRDefault="000C5AD7" w:rsidP="00BE061A">
      <w:pPr>
        <w:spacing w:after="160" w:line="278" w:lineRule="auto"/>
        <w:jc w:val="both"/>
        <w:rPr>
          <w:sz w:val="20"/>
          <w:szCs w:val="20"/>
        </w:rPr>
      </w:pPr>
      <w:r>
        <w:rPr>
          <w:sz w:val="20"/>
          <w:szCs w:val="20"/>
        </w:rPr>
        <w:t>L</w:t>
      </w:r>
      <w:r w:rsidR="00952906" w:rsidRPr="00952906">
        <w:rPr>
          <w:sz w:val="20"/>
          <w:szCs w:val="20"/>
        </w:rPr>
        <w:t xml:space="preserve">idé </w:t>
      </w:r>
      <w:r w:rsidR="005152DC">
        <w:rPr>
          <w:sz w:val="20"/>
          <w:szCs w:val="20"/>
        </w:rPr>
        <w:t xml:space="preserve">by </w:t>
      </w:r>
      <w:r w:rsidR="00952906" w:rsidRPr="00952906">
        <w:rPr>
          <w:sz w:val="20"/>
          <w:szCs w:val="20"/>
        </w:rPr>
        <w:t>neměli čekat až na okamžik, kdy jim banka zašle nabídku nové sazby.</w:t>
      </w:r>
      <w:r w:rsidR="00BE061A">
        <w:rPr>
          <w:sz w:val="20"/>
          <w:szCs w:val="20"/>
        </w:rPr>
        <w:t xml:space="preserve"> </w:t>
      </w:r>
      <w:r w:rsidR="00952906" w:rsidRPr="000C5AD7">
        <w:rPr>
          <w:i/>
          <w:iCs/>
          <w:sz w:val="20"/>
          <w:szCs w:val="20"/>
        </w:rPr>
        <w:t>„</w:t>
      </w:r>
      <w:r w:rsidRPr="000C5AD7">
        <w:rPr>
          <w:i/>
          <w:iCs/>
          <w:sz w:val="20"/>
          <w:szCs w:val="20"/>
        </w:rPr>
        <w:t>Doporučuji začít řešit konec fixace alespoň několik měsíců předem</w:t>
      </w:r>
      <w:r w:rsidR="00952906" w:rsidRPr="000C5AD7">
        <w:rPr>
          <w:i/>
          <w:iCs/>
          <w:sz w:val="20"/>
          <w:szCs w:val="20"/>
        </w:rPr>
        <w:t>. Kli</w:t>
      </w:r>
      <w:r w:rsidR="00952906" w:rsidRPr="00952906">
        <w:rPr>
          <w:i/>
          <w:iCs/>
          <w:sz w:val="20"/>
          <w:szCs w:val="20"/>
        </w:rPr>
        <w:t>enti mají možnost kontaktovat sv</w:t>
      </w:r>
      <w:r>
        <w:rPr>
          <w:i/>
          <w:iCs/>
          <w:sz w:val="20"/>
          <w:szCs w:val="20"/>
        </w:rPr>
        <w:t>ého konzultanta</w:t>
      </w:r>
      <w:r w:rsidR="00952906" w:rsidRPr="00952906">
        <w:rPr>
          <w:i/>
          <w:iCs/>
          <w:sz w:val="20"/>
          <w:szCs w:val="20"/>
        </w:rPr>
        <w:t xml:space="preserve"> a zahájit s n</w:t>
      </w:r>
      <w:r>
        <w:rPr>
          <w:i/>
          <w:iCs/>
          <w:sz w:val="20"/>
          <w:szCs w:val="20"/>
        </w:rPr>
        <w:t>ím</w:t>
      </w:r>
      <w:r w:rsidR="00952906" w:rsidRPr="00952906">
        <w:rPr>
          <w:i/>
          <w:iCs/>
          <w:sz w:val="20"/>
          <w:szCs w:val="20"/>
        </w:rPr>
        <w:t xml:space="preserve"> jednání</w:t>
      </w:r>
      <w:r>
        <w:rPr>
          <w:i/>
          <w:iCs/>
          <w:sz w:val="20"/>
          <w:szCs w:val="20"/>
        </w:rPr>
        <w:t xml:space="preserve"> o podmínkách pro další fixační období</w:t>
      </w:r>
      <w:r w:rsidR="00952906" w:rsidRPr="00952906">
        <w:rPr>
          <w:i/>
          <w:iCs/>
          <w:sz w:val="20"/>
          <w:szCs w:val="20"/>
        </w:rPr>
        <w:t>.</w:t>
      </w:r>
      <w:r w:rsidR="00E92419">
        <w:rPr>
          <w:i/>
          <w:iCs/>
          <w:sz w:val="20"/>
          <w:szCs w:val="20"/>
        </w:rPr>
        <w:t xml:space="preserve"> </w:t>
      </w:r>
      <w:r w:rsidR="00E92419" w:rsidRPr="00E92419">
        <w:rPr>
          <w:i/>
          <w:iCs/>
          <w:sz w:val="20"/>
          <w:szCs w:val="20"/>
        </w:rPr>
        <w:t>Z</w:t>
      </w:r>
      <w:r w:rsidR="00952906" w:rsidRPr="00E92419">
        <w:rPr>
          <w:i/>
          <w:iCs/>
          <w:sz w:val="20"/>
          <w:szCs w:val="20"/>
        </w:rPr>
        <w:t>ároveň doporučuj</w:t>
      </w:r>
      <w:r w:rsidR="00E92419" w:rsidRPr="00E92419">
        <w:rPr>
          <w:i/>
          <w:iCs/>
          <w:sz w:val="20"/>
          <w:szCs w:val="20"/>
        </w:rPr>
        <w:t>i</w:t>
      </w:r>
      <w:r w:rsidR="00952906" w:rsidRPr="00E92419">
        <w:rPr>
          <w:i/>
          <w:iCs/>
          <w:sz w:val="20"/>
          <w:szCs w:val="20"/>
        </w:rPr>
        <w:t xml:space="preserve"> znovu přehodnotit nastavení rodinných financí</w:t>
      </w:r>
      <w:r w:rsidR="00E92419">
        <w:rPr>
          <w:sz w:val="20"/>
          <w:szCs w:val="20"/>
        </w:rPr>
        <w:t>,“ radí</w:t>
      </w:r>
      <w:r w:rsidR="00E92419" w:rsidRPr="00952906">
        <w:rPr>
          <w:sz w:val="20"/>
          <w:szCs w:val="20"/>
        </w:rPr>
        <w:t xml:space="preserve"> </w:t>
      </w:r>
      <w:r w:rsidR="00AE1A83">
        <w:rPr>
          <w:b/>
          <w:bCs/>
          <w:sz w:val="20"/>
          <w:szCs w:val="20"/>
        </w:rPr>
        <w:t>Michaela</w:t>
      </w:r>
      <w:r w:rsidR="00E92419" w:rsidRPr="00952906">
        <w:rPr>
          <w:b/>
          <w:bCs/>
          <w:sz w:val="20"/>
          <w:szCs w:val="20"/>
        </w:rPr>
        <w:t xml:space="preserve"> Pudilová</w:t>
      </w:r>
      <w:r w:rsidR="00E92419" w:rsidRPr="00952906">
        <w:rPr>
          <w:sz w:val="20"/>
          <w:szCs w:val="20"/>
        </w:rPr>
        <w:t>.</w:t>
      </w:r>
    </w:p>
    <w:p w14:paraId="58CEFBC0" w14:textId="78E4C5B4" w:rsidR="00952906" w:rsidRDefault="00952906" w:rsidP="00BE061A">
      <w:pPr>
        <w:jc w:val="both"/>
        <w:rPr>
          <w:sz w:val="20"/>
          <w:szCs w:val="20"/>
        </w:rPr>
      </w:pPr>
      <w:r w:rsidRPr="00952906">
        <w:rPr>
          <w:sz w:val="20"/>
          <w:szCs w:val="20"/>
        </w:rPr>
        <w:t>Současný vývoj podle odborníků ukazuje, že rozhodování o bydlení nelze stavět pouze na aktuální výši sazeb. Klíčové je především dlouhodobé plánování a realistické posouzení budoucích finančních možností domácnosti. Právě změna fixace po několika letech může ukázat, jak důležité je počítat</w:t>
      </w:r>
      <w:r w:rsidR="00BE061A">
        <w:rPr>
          <w:sz w:val="20"/>
          <w:szCs w:val="20"/>
        </w:rPr>
        <w:t> </w:t>
      </w:r>
      <w:r w:rsidRPr="00952906">
        <w:rPr>
          <w:sz w:val="20"/>
          <w:szCs w:val="20"/>
        </w:rPr>
        <w:t>i</w:t>
      </w:r>
      <w:r w:rsidR="00BE061A">
        <w:rPr>
          <w:sz w:val="20"/>
          <w:szCs w:val="20"/>
        </w:rPr>
        <w:t xml:space="preserve"> </w:t>
      </w:r>
      <w:r w:rsidRPr="00952906">
        <w:rPr>
          <w:sz w:val="20"/>
          <w:szCs w:val="20"/>
        </w:rPr>
        <w:t>s</w:t>
      </w:r>
      <w:r w:rsidR="00BE061A">
        <w:rPr>
          <w:sz w:val="20"/>
          <w:szCs w:val="20"/>
        </w:rPr>
        <w:t> </w:t>
      </w:r>
      <w:r w:rsidRPr="00952906">
        <w:rPr>
          <w:sz w:val="20"/>
          <w:szCs w:val="20"/>
        </w:rPr>
        <w:t>méně příznivými scénáři vývoje trhu.</w:t>
      </w:r>
      <w:r w:rsidRPr="00952906">
        <w:rPr>
          <w:vanish/>
          <w:sz w:val="20"/>
          <w:szCs w:val="20"/>
        </w:rPr>
        <w:t>Začátek formuláře</w:t>
      </w:r>
    </w:p>
    <w:p w14:paraId="61F2905A" w14:textId="77777777" w:rsidR="00BE061A" w:rsidRPr="00952906" w:rsidRDefault="00BE061A" w:rsidP="00BE061A">
      <w:pPr>
        <w:jc w:val="both"/>
        <w:rPr>
          <w:sz w:val="20"/>
          <w:szCs w:val="20"/>
        </w:rPr>
      </w:pPr>
    </w:p>
    <w:p w14:paraId="776DADD4" w14:textId="741BF5A0" w:rsidR="00952906" w:rsidRPr="00E92419" w:rsidRDefault="00952906" w:rsidP="00BE061A">
      <w:pPr>
        <w:spacing w:after="160" w:line="278" w:lineRule="auto"/>
        <w:jc w:val="both"/>
        <w:rPr>
          <w:b/>
          <w:bCs/>
          <w:sz w:val="20"/>
          <w:szCs w:val="20"/>
        </w:rPr>
      </w:pPr>
      <w:r w:rsidRPr="00952906">
        <w:rPr>
          <w:sz w:val="20"/>
          <w:szCs w:val="20"/>
        </w:rPr>
        <w:lastRenderedPageBreak/>
        <w:t>„</w:t>
      </w:r>
      <w:r w:rsidRPr="00952906">
        <w:rPr>
          <w:i/>
          <w:iCs/>
          <w:sz w:val="20"/>
          <w:szCs w:val="20"/>
        </w:rPr>
        <w:t>Hypotéka je závazek na desítky let. Při jejím sjednávání je potřeba počítat s tím, že úrokové sazby se</w:t>
      </w:r>
      <w:r w:rsidR="00BE061A">
        <w:rPr>
          <w:i/>
          <w:iCs/>
          <w:sz w:val="20"/>
          <w:szCs w:val="20"/>
        </w:rPr>
        <w:t> </w:t>
      </w:r>
      <w:r w:rsidRPr="00952906">
        <w:rPr>
          <w:i/>
          <w:iCs/>
          <w:sz w:val="20"/>
          <w:szCs w:val="20"/>
        </w:rPr>
        <w:t>během života úvěru budou měnit. Domácnosti by proto měly mít finanční rezervu a nenastavovat splátky na hranici svých možností</w:t>
      </w:r>
      <w:r w:rsidRPr="00952906">
        <w:rPr>
          <w:sz w:val="20"/>
          <w:szCs w:val="20"/>
        </w:rPr>
        <w:t xml:space="preserve">,“ uzavírá </w:t>
      </w:r>
      <w:r w:rsidR="00AE1A83">
        <w:rPr>
          <w:b/>
          <w:bCs/>
          <w:sz w:val="20"/>
          <w:szCs w:val="20"/>
        </w:rPr>
        <w:t>Michaela</w:t>
      </w:r>
      <w:r w:rsidRPr="00952906">
        <w:rPr>
          <w:b/>
          <w:bCs/>
          <w:sz w:val="20"/>
          <w:szCs w:val="20"/>
        </w:rPr>
        <w:t xml:space="preserve"> Pudi</w:t>
      </w:r>
      <w:r>
        <w:rPr>
          <w:b/>
          <w:bCs/>
          <w:sz w:val="20"/>
          <w:szCs w:val="20"/>
        </w:rPr>
        <w:t>l</w:t>
      </w:r>
      <w:r w:rsidRPr="00952906">
        <w:rPr>
          <w:b/>
          <w:bCs/>
          <w:sz w:val="20"/>
          <w:szCs w:val="20"/>
        </w:rPr>
        <w:t>ová.</w:t>
      </w:r>
    </w:p>
    <w:p w14:paraId="1B9060AA" w14:textId="77777777" w:rsidR="00F5535B" w:rsidRDefault="00000000">
      <w:pPr>
        <w:pStyle w:val="Nadpis3"/>
        <w:rPr>
          <w:sz w:val="22"/>
          <w:szCs w:val="22"/>
        </w:rPr>
      </w:pPr>
      <w:bookmarkStart w:id="3" w:name="_heading=h.mxzst0krrrf5" w:colFirst="0" w:colLast="0"/>
      <w:bookmarkStart w:id="4" w:name="_heading=h.my8h16s18roo" w:colFirst="0" w:colLast="0"/>
      <w:bookmarkStart w:id="5" w:name="_heading=h.5g84pqnpp5pw" w:colFirst="0" w:colLast="0"/>
      <w:bookmarkEnd w:id="3"/>
      <w:bookmarkEnd w:id="4"/>
      <w:bookmarkEnd w:id="5"/>
      <w:r>
        <w:rPr>
          <w:sz w:val="22"/>
          <w:szCs w:val="22"/>
        </w:rPr>
        <w:t xml:space="preserve">Broker </w:t>
      </w:r>
      <w:proofErr w:type="spellStart"/>
      <w:r>
        <w:rPr>
          <w:sz w:val="22"/>
          <w:szCs w:val="22"/>
        </w:rPr>
        <w:t>Consulting</w:t>
      </w:r>
      <w:proofErr w:type="spellEnd"/>
      <w:r>
        <w:rPr>
          <w:sz w:val="22"/>
          <w:szCs w:val="22"/>
        </w:rPr>
        <w:t xml:space="preserve"> Index Hypotečních Úvěrů</w:t>
      </w:r>
    </w:p>
    <w:p w14:paraId="0CD928A9" w14:textId="77777777" w:rsidR="00F5535B" w:rsidRDefault="00000000">
      <w:pPr>
        <w:spacing w:before="240" w:after="120"/>
        <w:jc w:val="both"/>
        <w:rPr>
          <w:sz w:val="18"/>
          <w:szCs w:val="18"/>
        </w:rPr>
      </w:pPr>
      <w:r>
        <w:rPr>
          <w:sz w:val="18"/>
          <w:szCs w:val="18"/>
        </w:rPr>
        <w:t xml:space="preserve">Broker Consulting Index hypotečních úvěrů je analytický nástroj znázorňující průměrnou úrokovou sazbu u hypotečních úvěrů, které zprostředkovali konzultanti Broker Consulting a pobočky Broker Point nebo Broker Point Premium u kteréhokoli poskytovatele hypotečních úvěrů. Jedná se o vážený aritmetický průměr, kdy hlavní vahou je objem úvěru. Tedy čím vyšší úvěr, tím jeho sazba vstupuje do indexu větší vahou. Výhodou metody výpočtu indexu je skutečnost, že se do statistiky dostávají pouze skutečně schválené úvěry, a to bez výjimky všechny. Nemůže tak dojít ke zkreslení informací a index není závislý na dodávkách třetích stran. </w:t>
      </w:r>
    </w:p>
    <w:p w14:paraId="01F99924" w14:textId="77777777" w:rsidR="00F5535B" w:rsidRDefault="00000000">
      <w:pPr>
        <w:jc w:val="both"/>
        <w:rPr>
          <w:sz w:val="16"/>
          <w:szCs w:val="16"/>
        </w:rPr>
      </w:pPr>
      <w:r>
        <w:rPr>
          <w:b/>
          <w:bCs/>
          <w:color w:val="FF0000"/>
          <w:sz w:val="16"/>
          <w:szCs w:val="16"/>
        </w:rPr>
        <w:t>Broker Consulting Indexy je nyní možné sledovat v interaktivní formě na webu</w:t>
      </w:r>
      <w:r>
        <w:rPr>
          <w:color w:val="1D1D1B"/>
          <w:sz w:val="16"/>
          <w:szCs w:val="16"/>
        </w:rPr>
        <w:t>. Zde lze zároveň exportovat zdrojová data ke grafům. Vice dostupné na odkaze</w:t>
      </w:r>
      <w:r>
        <w:rPr>
          <w:b/>
          <w:bCs/>
          <w:color w:val="1D1D1B"/>
          <w:sz w:val="16"/>
          <w:szCs w:val="16"/>
        </w:rPr>
        <w:t xml:space="preserve">: </w:t>
      </w:r>
      <w:hyperlink r:id="rId7">
        <w:r w:rsidR="00F5535B">
          <w:rPr>
            <w:b/>
            <w:bCs/>
            <w:color w:val="1155CC"/>
            <w:sz w:val="16"/>
            <w:szCs w:val="16"/>
            <w:u w:val="single"/>
          </w:rPr>
          <w:t>https://bcas.cz/pro-media/detail-indexu-broker-consulting-index-hypotecnich-uveru</w:t>
        </w:r>
      </w:hyperlink>
      <w:r>
        <w:rPr>
          <w:sz w:val="16"/>
          <w:szCs w:val="16"/>
        </w:rPr>
        <w:t xml:space="preserve"> </w:t>
      </w:r>
    </w:p>
    <w:p w14:paraId="5F74A0F7" w14:textId="77777777" w:rsidR="00F5535B" w:rsidRDefault="00000000">
      <w:pPr>
        <w:pStyle w:val="Nadpis3"/>
        <w:rPr>
          <w:sz w:val="22"/>
          <w:szCs w:val="22"/>
        </w:rPr>
      </w:pPr>
      <w:bookmarkStart w:id="6" w:name="_heading=h.vehrqumafm8j" w:colFirst="0" w:colLast="0"/>
      <w:bookmarkEnd w:id="6"/>
      <w:r>
        <w:rPr>
          <w:sz w:val="22"/>
          <w:szCs w:val="22"/>
        </w:rPr>
        <w:t>O společnosti Broker Consulting</w:t>
      </w:r>
    </w:p>
    <w:p w14:paraId="185007FD" w14:textId="77777777" w:rsidR="00F5535B" w:rsidRDefault="00000000">
      <w:pPr>
        <w:widowControl w:val="0"/>
        <w:spacing w:line="240" w:lineRule="auto"/>
        <w:jc w:val="both"/>
        <w:rPr>
          <w:sz w:val="18"/>
          <w:szCs w:val="18"/>
        </w:rPr>
      </w:pPr>
      <w:r>
        <w:rPr>
          <w:sz w:val="18"/>
          <w:szCs w:val="18"/>
        </w:rPr>
        <w:t xml:space="preserve">Broker Consulting je jednou z největších společností na českém a slovenském trhu, která poskytuje služby v oblasti financí a realit. Od roku 1998 získala důvěru více než 700 000 klientů. Poskytuje také služby přes 4 000 firmám. Distribuci služeb zajišťuje přibližně 2 000 konzultantů (profesionální konzultanti, zaměstnanci, konzultanti v zapracování v ČR i SR) ve více než 150 kancelářích a na několika desítkách poboček Broker Point Premium. Společnost uvedla na český a slovenský trh řadu inovací. Jednalo se například o investice do otevřených podílových fondů se zamykáním zisků nebo unikátní produkty životního dopojištění, které umožňují pojistit smrt a invaliditu za zlomek obvyklých cen. Bankovní, finanční a realitní služby společně, to je Broker Point Premium, jehož přináší společnost Broker Consulting, která za vedení franšízy a její podporu získala ocenění </w:t>
      </w:r>
      <w:proofErr w:type="spellStart"/>
      <w:r>
        <w:rPr>
          <w:b/>
          <w:bCs/>
          <w:color w:val="FF0000"/>
          <w:sz w:val="18"/>
          <w:szCs w:val="18"/>
        </w:rPr>
        <w:t>Franchisor</w:t>
      </w:r>
      <w:proofErr w:type="spellEnd"/>
      <w:r>
        <w:rPr>
          <w:b/>
          <w:bCs/>
          <w:color w:val="FF0000"/>
          <w:sz w:val="18"/>
          <w:szCs w:val="18"/>
        </w:rPr>
        <w:t xml:space="preserve"> roku 2022</w:t>
      </w:r>
      <w:r>
        <w:rPr>
          <w:color w:val="FF0000"/>
          <w:sz w:val="18"/>
          <w:szCs w:val="18"/>
        </w:rPr>
        <w:t xml:space="preserve"> </w:t>
      </w:r>
      <w:r>
        <w:rPr>
          <w:sz w:val="18"/>
          <w:szCs w:val="18"/>
        </w:rPr>
        <w:t xml:space="preserve">od České asociace </w:t>
      </w:r>
      <w:proofErr w:type="spellStart"/>
      <w:r>
        <w:rPr>
          <w:sz w:val="18"/>
          <w:szCs w:val="18"/>
        </w:rPr>
        <w:t>franchisingu</w:t>
      </w:r>
      <w:proofErr w:type="spellEnd"/>
      <w:r>
        <w:rPr>
          <w:sz w:val="18"/>
          <w:szCs w:val="18"/>
        </w:rPr>
        <w:t xml:space="preserve">. Více na </w:t>
      </w:r>
      <w:hyperlink r:id="rId8">
        <w:r w:rsidR="00F5535B">
          <w:rPr>
            <w:color w:val="0000FF"/>
            <w:sz w:val="18"/>
            <w:szCs w:val="18"/>
            <w:u w:val="single"/>
          </w:rPr>
          <w:t>bcas.cz</w:t>
        </w:r>
      </w:hyperlink>
      <w:r>
        <w:rPr>
          <w:color w:val="0000FF"/>
          <w:sz w:val="18"/>
          <w:szCs w:val="18"/>
          <w:u w:val="single"/>
        </w:rPr>
        <w:t xml:space="preserve"> </w:t>
      </w:r>
      <w:r>
        <w:rPr>
          <w:sz w:val="18"/>
          <w:szCs w:val="18"/>
        </w:rPr>
        <w:t xml:space="preserve">a na </w:t>
      </w:r>
      <w:hyperlink r:id="rId9">
        <w:r w:rsidR="00F5535B">
          <w:rPr>
            <w:color w:val="0000FF"/>
            <w:sz w:val="18"/>
            <w:szCs w:val="18"/>
            <w:u w:val="single"/>
          </w:rPr>
          <w:t>realityspolu.cz</w:t>
        </w:r>
      </w:hyperlink>
      <w:r>
        <w:rPr>
          <w:color w:val="0000FF"/>
          <w:sz w:val="18"/>
          <w:szCs w:val="18"/>
          <w:u w:val="single"/>
        </w:rPr>
        <w:t xml:space="preserve">. </w:t>
      </w:r>
      <w:r>
        <w:rPr>
          <w:sz w:val="18"/>
          <w:szCs w:val="18"/>
        </w:rPr>
        <w:t xml:space="preserve">Navštivte také náš </w:t>
      </w:r>
      <w:hyperlink r:id="rId10">
        <w:r w:rsidR="00F5535B">
          <w:rPr>
            <w:color w:val="0000FF"/>
            <w:sz w:val="18"/>
            <w:szCs w:val="18"/>
            <w:u w:val="single"/>
          </w:rPr>
          <w:t>Facebook</w:t>
        </w:r>
      </w:hyperlink>
      <w:r>
        <w:rPr>
          <w:sz w:val="18"/>
          <w:szCs w:val="18"/>
        </w:rPr>
        <w:t xml:space="preserve">, </w:t>
      </w:r>
      <w:hyperlink r:id="rId11">
        <w:proofErr w:type="spellStart"/>
        <w:r w:rsidR="00F5535B">
          <w:rPr>
            <w:color w:val="0000FF"/>
            <w:sz w:val="18"/>
            <w:szCs w:val="18"/>
            <w:u w:val="single"/>
          </w:rPr>
          <w:t>LinkedIN</w:t>
        </w:r>
        <w:proofErr w:type="spellEnd"/>
      </w:hyperlink>
      <w:r>
        <w:rPr>
          <w:sz w:val="18"/>
          <w:szCs w:val="18"/>
        </w:rPr>
        <w:t xml:space="preserve"> Broker </w:t>
      </w:r>
      <w:proofErr w:type="spellStart"/>
      <w:r>
        <w:rPr>
          <w:sz w:val="18"/>
          <w:szCs w:val="18"/>
        </w:rPr>
        <w:t>Consulting</w:t>
      </w:r>
      <w:proofErr w:type="spellEnd"/>
      <w:r>
        <w:rPr>
          <w:sz w:val="18"/>
          <w:szCs w:val="18"/>
        </w:rPr>
        <w:t xml:space="preserve">, Twitter </w:t>
      </w:r>
      <w:r>
        <w:rPr>
          <w:sz w:val="18"/>
          <w:szCs w:val="18"/>
          <w:highlight w:val="white"/>
        </w:rPr>
        <w:t xml:space="preserve">@BC_oficialni, </w:t>
      </w:r>
      <w:r>
        <w:rPr>
          <w:sz w:val="18"/>
          <w:szCs w:val="18"/>
        </w:rPr>
        <w:t xml:space="preserve"> </w:t>
      </w:r>
      <w:hyperlink r:id="rId12">
        <w:r w:rsidR="00F5535B">
          <w:rPr>
            <w:color w:val="0000FF"/>
            <w:sz w:val="18"/>
            <w:szCs w:val="18"/>
            <w:u w:val="single"/>
          </w:rPr>
          <w:t>Facebook</w:t>
        </w:r>
      </w:hyperlink>
      <w:r>
        <w:rPr>
          <w:sz w:val="18"/>
          <w:szCs w:val="18"/>
        </w:rPr>
        <w:t xml:space="preserve"> a </w:t>
      </w:r>
      <w:hyperlink r:id="rId13">
        <w:proofErr w:type="spellStart"/>
        <w:r w:rsidR="00F5535B">
          <w:rPr>
            <w:color w:val="0000FF"/>
            <w:sz w:val="18"/>
            <w:szCs w:val="18"/>
            <w:u w:val="single"/>
          </w:rPr>
          <w:t>LinkedI</w:t>
        </w:r>
      </w:hyperlink>
      <w:r>
        <w:rPr>
          <w:color w:val="0000FF"/>
          <w:sz w:val="18"/>
          <w:szCs w:val="18"/>
          <w:u w:val="single"/>
        </w:rPr>
        <w:t>N</w:t>
      </w:r>
      <w:proofErr w:type="spellEnd"/>
      <w:r>
        <w:rPr>
          <w:sz w:val="18"/>
          <w:szCs w:val="18"/>
        </w:rPr>
        <w:t xml:space="preserve"> Broker Point Premium. </w:t>
      </w:r>
    </w:p>
    <w:p w14:paraId="514F40BD" w14:textId="77777777" w:rsidR="00F5535B" w:rsidRDefault="00000000">
      <w:pPr>
        <w:pStyle w:val="Nadpis3"/>
        <w:rPr>
          <w:sz w:val="22"/>
          <w:szCs w:val="22"/>
        </w:rPr>
      </w:pPr>
      <w:bookmarkStart w:id="7" w:name="_heading=h.y5cqlwaobvsv" w:colFirst="0" w:colLast="0"/>
      <w:bookmarkEnd w:id="7"/>
      <w:r>
        <w:rPr>
          <w:sz w:val="22"/>
          <w:szCs w:val="22"/>
        </w:rPr>
        <w:t>Kontakt pro média:</w:t>
      </w:r>
    </w:p>
    <w:p w14:paraId="6873659B" w14:textId="77777777" w:rsidR="00F5535B" w:rsidRDefault="00000000">
      <w:pPr>
        <w:widowControl w:val="0"/>
        <w:spacing w:line="240" w:lineRule="auto"/>
        <w:jc w:val="both"/>
        <w:rPr>
          <w:sz w:val="16"/>
          <w:szCs w:val="16"/>
        </w:rPr>
      </w:pPr>
      <w:r>
        <w:rPr>
          <w:sz w:val="16"/>
          <w:szCs w:val="16"/>
        </w:rPr>
        <w:t>Ondřej Lukáš</w:t>
      </w:r>
    </w:p>
    <w:p w14:paraId="2E0DC812" w14:textId="77777777" w:rsidR="00F5535B" w:rsidRDefault="00000000">
      <w:pPr>
        <w:spacing w:line="240" w:lineRule="auto"/>
        <w:jc w:val="both"/>
        <w:rPr>
          <w:sz w:val="16"/>
          <w:szCs w:val="16"/>
        </w:rPr>
      </w:pPr>
      <w:r>
        <w:rPr>
          <w:sz w:val="16"/>
          <w:szCs w:val="16"/>
        </w:rPr>
        <w:t>Insighters, s. r. o.</w:t>
      </w:r>
    </w:p>
    <w:p w14:paraId="61C12F6E" w14:textId="77777777" w:rsidR="00F5535B" w:rsidRDefault="00000000">
      <w:pPr>
        <w:spacing w:line="240" w:lineRule="auto"/>
        <w:jc w:val="both"/>
        <w:rPr>
          <w:sz w:val="17"/>
          <w:szCs w:val="17"/>
        </w:rPr>
      </w:pPr>
      <w:r>
        <w:rPr>
          <w:sz w:val="17"/>
          <w:szCs w:val="17"/>
        </w:rPr>
        <w:t>Mobil: +420 776 186 529</w:t>
      </w:r>
    </w:p>
    <w:p w14:paraId="4B458772" w14:textId="77777777" w:rsidR="00F5535B" w:rsidRDefault="00000000">
      <w:pPr>
        <w:spacing w:line="240" w:lineRule="auto"/>
        <w:jc w:val="both"/>
        <w:rPr>
          <w:sz w:val="18"/>
          <w:szCs w:val="18"/>
        </w:rPr>
      </w:pPr>
      <w:r>
        <w:rPr>
          <w:sz w:val="17"/>
          <w:szCs w:val="17"/>
        </w:rPr>
        <w:t xml:space="preserve">e-mail: </w:t>
      </w:r>
      <w:hyperlink r:id="rId14">
        <w:r w:rsidR="00F5535B">
          <w:rPr>
            <w:color w:val="0000FF"/>
            <w:sz w:val="17"/>
            <w:szCs w:val="17"/>
            <w:u w:val="single"/>
          </w:rPr>
          <w:t>ondrej.lukas@insighters.cz</w:t>
        </w:r>
      </w:hyperlink>
      <w:r>
        <w:rPr>
          <w:sz w:val="17"/>
          <w:szCs w:val="17"/>
        </w:rPr>
        <w:t xml:space="preserve"> </w:t>
      </w:r>
    </w:p>
    <w:sectPr w:rsidR="00F5535B">
      <w:headerReference w:type="default" r:id="rId15"/>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25D1" w14:textId="77777777" w:rsidR="00B47312" w:rsidRDefault="00B47312">
      <w:pPr>
        <w:spacing w:line="240" w:lineRule="auto"/>
      </w:pPr>
      <w:r>
        <w:separator/>
      </w:r>
    </w:p>
  </w:endnote>
  <w:endnote w:type="continuationSeparator" w:id="0">
    <w:p w14:paraId="0330330D" w14:textId="77777777" w:rsidR="00B47312" w:rsidRDefault="00B47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3B2E835-9356-49CA-9FD6-37EF108FDBE8}"/>
  </w:font>
  <w:font w:name="Cambria">
    <w:panose1 w:val="02040503050406030204"/>
    <w:charset w:val="EE"/>
    <w:family w:val="roman"/>
    <w:pitch w:val="variable"/>
    <w:sig w:usb0="E00006FF" w:usb1="420024FF" w:usb2="02000000" w:usb3="00000000" w:csb0="0000019F" w:csb1="00000000"/>
    <w:embedRegular r:id="rId2" w:fontKey="{C375DEDA-324F-41B1-BFA2-8427F92137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76F5" w14:textId="77777777" w:rsidR="00B47312" w:rsidRDefault="00B47312">
      <w:pPr>
        <w:spacing w:line="240" w:lineRule="auto"/>
      </w:pPr>
      <w:r>
        <w:separator/>
      </w:r>
    </w:p>
  </w:footnote>
  <w:footnote w:type="continuationSeparator" w:id="0">
    <w:p w14:paraId="32302624" w14:textId="77777777" w:rsidR="00B47312" w:rsidRDefault="00B47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B1D7" w14:textId="77777777" w:rsidR="00F5535B" w:rsidRDefault="00000000">
    <w:r>
      <w:rPr>
        <w:noProof/>
      </w:rPr>
      <w:drawing>
        <wp:inline distT="114300" distB="114300" distL="114300" distR="114300" wp14:anchorId="436380F2" wp14:editId="5B568BC5">
          <wp:extent cx="1879038" cy="9667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9038" cy="966788"/>
                  </a:xfrm>
                  <a:prstGeom prst="rect">
                    <a:avLst/>
                  </a:prstGeom>
                  <a:ln/>
                </pic:spPr>
              </pic:pic>
            </a:graphicData>
          </a:graphic>
        </wp:inline>
      </w:drawing>
    </w:r>
  </w:p>
  <w:p w14:paraId="2886397B" w14:textId="77777777" w:rsidR="00F5535B" w:rsidRDefault="00F5535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5B"/>
    <w:rsid w:val="00005A1A"/>
    <w:rsid w:val="000C5AD7"/>
    <w:rsid w:val="001406EE"/>
    <w:rsid w:val="002A2CA2"/>
    <w:rsid w:val="002B75AB"/>
    <w:rsid w:val="002C0AEA"/>
    <w:rsid w:val="002E234C"/>
    <w:rsid w:val="003809D5"/>
    <w:rsid w:val="003A143A"/>
    <w:rsid w:val="00414AFB"/>
    <w:rsid w:val="004E23B2"/>
    <w:rsid w:val="00500E5C"/>
    <w:rsid w:val="00506D22"/>
    <w:rsid w:val="005152DC"/>
    <w:rsid w:val="00516F3B"/>
    <w:rsid w:val="005B64A9"/>
    <w:rsid w:val="005E49CB"/>
    <w:rsid w:val="00660D90"/>
    <w:rsid w:val="00681936"/>
    <w:rsid w:val="006D5D13"/>
    <w:rsid w:val="0072435B"/>
    <w:rsid w:val="0077746A"/>
    <w:rsid w:val="00952906"/>
    <w:rsid w:val="00963D35"/>
    <w:rsid w:val="009D60E4"/>
    <w:rsid w:val="00A10CC4"/>
    <w:rsid w:val="00A40BDC"/>
    <w:rsid w:val="00A417D3"/>
    <w:rsid w:val="00AD42E7"/>
    <w:rsid w:val="00AE1A83"/>
    <w:rsid w:val="00B47312"/>
    <w:rsid w:val="00B839FA"/>
    <w:rsid w:val="00BE061A"/>
    <w:rsid w:val="00BE5BAA"/>
    <w:rsid w:val="00BF09C9"/>
    <w:rsid w:val="00CC427B"/>
    <w:rsid w:val="00DD15E0"/>
    <w:rsid w:val="00DD30D7"/>
    <w:rsid w:val="00E61AD3"/>
    <w:rsid w:val="00E92419"/>
    <w:rsid w:val="00EA4ED6"/>
    <w:rsid w:val="00F4159F"/>
    <w:rsid w:val="00F5535B"/>
    <w:rsid w:val="00FD28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A0A7"/>
  <w15:docId w15:val="{7D887704-98C9-4591-9AEE-F7DCD595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jc w:val="both"/>
      <w:outlineLvl w:val="1"/>
    </w:pPr>
    <w:rPr>
      <w:b/>
      <w:bCs/>
    </w:rPr>
  </w:style>
  <w:style w:type="paragraph" w:styleId="Nadpis3">
    <w:name w:val="heading 3"/>
    <w:basedOn w:val="Normln"/>
    <w:next w:val="Normln"/>
    <w:uiPriority w:val="9"/>
    <w:unhideWhenUsed/>
    <w:qFormat/>
    <w:pPr>
      <w:keepNext/>
      <w:keepLines/>
      <w:spacing w:before="280" w:after="80"/>
      <w:jc w:val="both"/>
      <w:outlineLvl w:val="2"/>
    </w:pPr>
    <w:rPr>
      <w:b/>
      <w:bCs/>
      <w:sz w:val="24"/>
      <w:szCs w:val="24"/>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jc w:val="both"/>
    </w:pPr>
    <w:rPr>
      <w:b/>
      <w:bCs/>
      <w:color w:val="CC0000"/>
      <w:sz w:val="48"/>
      <w:szCs w:val="48"/>
    </w:rPr>
  </w:style>
  <w:style w:type="paragraph" w:styleId="Podnadpis">
    <w:name w:val="Subtitle"/>
    <w:basedOn w:val="Normln"/>
    <w:next w:val="Normln"/>
    <w:uiPriority w:val="11"/>
    <w:qFormat/>
    <w:pPr>
      <w:keepNext/>
      <w:keepLines/>
      <w:spacing w:after="320"/>
    </w:pPr>
    <w:rPr>
      <w:color w:val="666666"/>
      <w:sz w:val="30"/>
      <w:szCs w:val="30"/>
    </w:rPr>
  </w:style>
  <w:style w:type="paragraph" w:styleId="Revize">
    <w:name w:val="Revision"/>
    <w:hidden/>
    <w:uiPriority w:val="99"/>
    <w:semiHidden/>
    <w:rsid w:val="00FD28C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cas.cz" TargetMode="External"/><Relationship Id="rId13" Type="http://schemas.openxmlformats.org/officeDocument/2006/relationships/hyperlink" Target="https://www.linkedin.com/company/10668151/" TargetMode="External"/><Relationship Id="rId3" Type="http://schemas.openxmlformats.org/officeDocument/2006/relationships/settings" Target="settings.xml"/><Relationship Id="rId7" Type="http://schemas.openxmlformats.org/officeDocument/2006/relationships/hyperlink" Target="https://bcas.cz/pro-media/detail-indexu-broker-consulting-index-hypotecnich-uveru" TargetMode="External"/><Relationship Id="rId12" Type="http://schemas.openxmlformats.org/officeDocument/2006/relationships/hyperlink" Target="https://www.facebook.com/okpoin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inkedin.com/company/78654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Broker.Consulting/" TargetMode="External"/><Relationship Id="rId4" Type="http://schemas.openxmlformats.org/officeDocument/2006/relationships/webSettings" Target="webSettings.xml"/><Relationship Id="rId9" Type="http://schemas.openxmlformats.org/officeDocument/2006/relationships/hyperlink" Target="http://www.realityspolu.cz" TargetMode="External"/><Relationship Id="rId14" Type="http://schemas.openxmlformats.org/officeDocument/2006/relationships/hyperlink" Target="mailto:ondrej.lukas@insighters.cz"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hVglABPaRFn/lyFtVc6nvM6pw==">CgMxLjAyDmgueGFxY2luM2Z4MG5qMg5oLjduamxuNXpjNXZyYTIOaC5wdWtiNGd0OGplY3QyDmguZHJ6bjg3cHd3dDF0Mg5oLm14enN0MGtycnJmNTIOaC5teThoMTZzMThyb28yDmguNWc4NHBxbnBwNXB3Mg5oLnZlaHJxdW1hZm04ajIOaC55NWNxbHdhb2J2c3Y4AGoiChRzdWdnZXN0LjM1NTAxcDE0MXl4dRIKSmFuIEtyb3VwYWoiChRzdWdnZXN0LnQ2ZjdsbHFvYmNmdRIKSmFuIEtyb3VwYWoiChRzdWdnZXN0LjRrYmtyczN1YTYzMxIKSmFuIEtyb3VwYXIhMWUwSFEtSUtBbFQ4RlhQUjc4WHc0YUp4VXBzd09BLU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4753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Insighters</dc:creator>
  <cp:lastModifiedBy>PR 3</cp:lastModifiedBy>
  <cp:revision>2</cp:revision>
  <dcterms:created xsi:type="dcterms:W3CDTF">2026-07-30T14:33:00Z</dcterms:created>
  <dcterms:modified xsi:type="dcterms:W3CDTF">2026-07-30T14:33:00Z</dcterms:modified>
</cp:coreProperties>
</file>