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Theme="minorHAnsi" w:hAnsiTheme="minorHAnsi" w:cstheme="minorHAnsi"/>
        </w:rPr>
      </w:sdtEndPr>
      <w:sdtContent>
        <w:p w14:paraId="7ED014A1" w14:textId="55F827D2" w:rsidR="00D80B6D" w:rsidRPr="00B346ED" w:rsidRDefault="00D80B6D" w:rsidP="0075719A">
          <w:pPr>
            <w:jc w:val="center"/>
            <w:rPr>
              <w:highlight w:val="yellow"/>
            </w:rPr>
          </w:pPr>
        </w:p>
        <w:p w14:paraId="0FB45B67" w14:textId="73803255" w:rsidR="00D80B6D" w:rsidRPr="007443AD"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FIXINDEX</w:t>
          </w:r>
        </w:p>
        <w:p w14:paraId="03C4DE47" w14:textId="1817EBF4" w:rsidR="0009776B"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sz w:val="24"/>
            </w:rPr>
            <w:t>INDEX PODÍLOVÝCH FONDŮ</w:t>
          </w:r>
        </w:p>
        <w:p w14:paraId="5F5E486E" w14:textId="2A454C45" w:rsidR="004B5B94" w:rsidRPr="007443AD" w:rsidRDefault="004B5B94" w:rsidP="0075719A">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68C3B9E4" w:rsidR="00D80B6D" w:rsidRPr="007443AD"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INDEX</w:t>
          </w:r>
        </w:p>
        <w:p w14:paraId="5B21B8A6" w14:textId="37BF6042" w:rsidR="00D80B6D" w:rsidRPr="007443AD" w:rsidRDefault="00D80B6D" w:rsidP="0075719A">
          <w:pPr>
            <w:spacing w:before="230"/>
            <w:ind w:left="165"/>
            <w:jc w:val="center"/>
            <w:rPr>
              <w:rFonts w:asciiTheme="minorHAnsi" w:hAnsiTheme="minorHAnsi" w:cstheme="minorHAnsi"/>
              <w:sz w:val="24"/>
            </w:rPr>
          </w:pPr>
          <w:r w:rsidRPr="007443AD">
            <w:rPr>
              <w:rFonts w:asciiTheme="minorHAnsi" w:hAnsiTheme="minorHAnsi" w:cstheme="minorHAnsi"/>
              <w:sz w:val="24"/>
            </w:rPr>
            <w:t>INDEX SPOTŘEBITELSKÝCH ÚVĚRŮ</w:t>
          </w:r>
        </w:p>
        <w:p w14:paraId="720CCDBB" w14:textId="77777777" w:rsidR="00D80B6D" w:rsidRPr="00D84B7D" w:rsidRDefault="00D80B6D" w:rsidP="0075719A">
          <w:pPr>
            <w:pStyle w:val="Zkladntext"/>
            <w:spacing w:before="240"/>
            <w:jc w:val="center"/>
            <w:rPr>
              <w:sz w:val="20"/>
              <w:highlight w:val="yellow"/>
            </w:rPr>
          </w:pPr>
        </w:p>
        <w:p w14:paraId="703D71F2" w14:textId="77777777" w:rsidR="00D80B6D" w:rsidRPr="00D84B7D" w:rsidRDefault="00D80B6D" w:rsidP="0075719A">
          <w:pPr>
            <w:pStyle w:val="Zkladntext"/>
            <w:jc w:val="center"/>
            <w:rPr>
              <w:sz w:val="20"/>
              <w:highlight w:val="yellow"/>
            </w:rPr>
          </w:pPr>
        </w:p>
        <w:p w14:paraId="00494A3A" w14:textId="77777777" w:rsidR="00D80B6D" w:rsidRPr="00D84B7D" w:rsidRDefault="00D80B6D" w:rsidP="0075719A">
          <w:pPr>
            <w:pStyle w:val="Zkladntext"/>
            <w:jc w:val="center"/>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75719A">
          <w:pPr>
            <w:pStyle w:val="Zkladntext"/>
            <w:jc w:val="center"/>
            <w:rPr>
              <w:sz w:val="20"/>
              <w:highlight w:val="yellow"/>
            </w:rPr>
          </w:pPr>
        </w:p>
        <w:p w14:paraId="2A5F355C" w14:textId="77777777" w:rsidR="00D80B6D" w:rsidRPr="00D84B7D" w:rsidRDefault="00D80B6D" w:rsidP="0075719A">
          <w:pPr>
            <w:pStyle w:val="Zkladntext"/>
            <w:jc w:val="center"/>
            <w:rPr>
              <w:sz w:val="20"/>
              <w:highlight w:val="yellow"/>
            </w:rPr>
          </w:pPr>
        </w:p>
        <w:p w14:paraId="218EE6CB" w14:textId="77777777" w:rsidR="00D80B6D" w:rsidRPr="00D84B7D" w:rsidRDefault="00D80B6D" w:rsidP="0075719A">
          <w:pPr>
            <w:pStyle w:val="Zkladntext"/>
            <w:jc w:val="center"/>
            <w:rPr>
              <w:sz w:val="20"/>
              <w:highlight w:val="yellow"/>
            </w:rPr>
          </w:pPr>
        </w:p>
        <w:p w14:paraId="0238B3AB" w14:textId="77777777" w:rsidR="00D80B6D" w:rsidRPr="00D84B7D" w:rsidRDefault="00D80B6D" w:rsidP="0075719A">
          <w:pPr>
            <w:pStyle w:val="Zkladntext"/>
            <w:jc w:val="center"/>
            <w:rPr>
              <w:sz w:val="20"/>
              <w:highlight w:val="yellow"/>
            </w:rPr>
          </w:pPr>
        </w:p>
        <w:p w14:paraId="54516A42" w14:textId="77777777" w:rsidR="00D80B6D" w:rsidRPr="00D84B7D" w:rsidRDefault="00D80B6D" w:rsidP="0075719A">
          <w:pPr>
            <w:pStyle w:val="Zkladntext"/>
            <w:jc w:val="center"/>
            <w:rPr>
              <w:sz w:val="20"/>
              <w:highlight w:val="yellow"/>
            </w:rPr>
          </w:pPr>
        </w:p>
        <w:p w14:paraId="5266363A" w14:textId="77777777" w:rsidR="00D80B6D" w:rsidRPr="00D84B7D" w:rsidRDefault="00D80B6D" w:rsidP="0075719A">
          <w:pPr>
            <w:pStyle w:val="Zkladntext"/>
            <w:jc w:val="center"/>
            <w:rPr>
              <w:sz w:val="20"/>
              <w:highlight w:val="yellow"/>
            </w:rPr>
          </w:pPr>
        </w:p>
        <w:p w14:paraId="363B2E28" w14:textId="77777777" w:rsidR="00D80B6D" w:rsidRPr="00D84B7D" w:rsidRDefault="00D80B6D" w:rsidP="0075719A">
          <w:pPr>
            <w:pStyle w:val="Zkladntext"/>
            <w:jc w:val="center"/>
            <w:rPr>
              <w:sz w:val="20"/>
              <w:highlight w:val="yellow"/>
            </w:rPr>
          </w:pPr>
        </w:p>
        <w:p w14:paraId="17667B44" w14:textId="77777777" w:rsidR="00D80B6D" w:rsidRPr="00D84B7D" w:rsidRDefault="00D80B6D" w:rsidP="0075719A">
          <w:pPr>
            <w:pStyle w:val="Zkladntext"/>
            <w:jc w:val="center"/>
            <w:rPr>
              <w:rFonts w:ascii="Arial" w:hAnsi="Arial" w:cs="Arial"/>
              <w:sz w:val="20"/>
              <w:highlight w:val="yellow"/>
            </w:rPr>
          </w:pPr>
        </w:p>
        <w:p w14:paraId="5193A529" w14:textId="77777777" w:rsidR="00D80B6D" w:rsidRPr="00D84B7D" w:rsidRDefault="00D80B6D" w:rsidP="0075719A">
          <w:pPr>
            <w:pStyle w:val="Zkladntext"/>
            <w:jc w:val="center"/>
            <w:rPr>
              <w:rFonts w:ascii="Arial" w:hAnsi="Arial" w:cs="Arial"/>
              <w:b/>
              <w:sz w:val="20"/>
              <w:highlight w:val="yellow"/>
            </w:rPr>
          </w:pPr>
        </w:p>
        <w:p w14:paraId="2833FE59" w14:textId="77777777" w:rsidR="00D80B6D" w:rsidRPr="00D84B7D" w:rsidRDefault="00D80B6D" w:rsidP="0075719A">
          <w:pPr>
            <w:pStyle w:val="Zkladntext"/>
            <w:jc w:val="center"/>
            <w:rPr>
              <w:rFonts w:ascii="Arial" w:hAnsi="Arial" w:cs="Arial"/>
              <w:b/>
              <w:sz w:val="20"/>
              <w:highlight w:val="yellow"/>
            </w:rPr>
          </w:pPr>
        </w:p>
        <w:p w14:paraId="6DB157BF" w14:textId="77777777" w:rsidR="00D80B6D" w:rsidRPr="00D84B7D" w:rsidRDefault="00D80B6D" w:rsidP="0075719A">
          <w:pPr>
            <w:pStyle w:val="Zkladntext"/>
            <w:jc w:val="center"/>
            <w:rPr>
              <w:rFonts w:ascii="Arial" w:hAnsi="Arial" w:cs="Arial"/>
              <w:b/>
              <w:sz w:val="20"/>
              <w:highlight w:val="yellow"/>
            </w:rPr>
          </w:pPr>
        </w:p>
        <w:p w14:paraId="47803C2A" w14:textId="77777777" w:rsidR="00D80B6D" w:rsidRPr="00D84B7D" w:rsidRDefault="00D80B6D" w:rsidP="0075719A">
          <w:pPr>
            <w:pStyle w:val="Zkladntext"/>
            <w:jc w:val="center"/>
            <w:rPr>
              <w:rFonts w:ascii="Arial" w:hAnsi="Arial" w:cs="Arial"/>
              <w:b/>
              <w:sz w:val="20"/>
              <w:highlight w:val="yellow"/>
            </w:rPr>
          </w:pPr>
        </w:p>
        <w:p w14:paraId="1D90E1D0" w14:textId="77777777" w:rsidR="00D80B6D" w:rsidRPr="00D84B7D" w:rsidRDefault="00D80B6D" w:rsidP="0075719A">
          <w:pPr>
            <w:pStyle w:val="Zkladntext"/>
            <w:jc w:val="center"/>
            <w:rPr>
              <w:rFonts w:ascii="Arial" w:hAnsi="Arial" w:cs="Arial"/>
              <w:b/>
              <w:sz w:val="20"/>
              <w:highlight w:val="yellow"/>
            </w:rPr>
          </w:pPr>
        </w:p>
        <w:p w14:paraId="5A33B823" w14:textId="77777777" w:rsidR="00D80B6D" w:rsidRPr="00D84B7D" w:rsidRDefault="00D80B6D" w:rsidP="0075719A">
          <w:pPr>
            <w:pStyle w:val="Zkladntext"/>
            <w:jc w:val="center"/>
            <w:rPr>
              <w:rFonts w:ascii="Arial" w:hAnsi="Arial" w:cs="Arial"/>
              <w:b/>
              <w:sz w:val="20"/>
              <w:highlight w:val="yellow"/>
            </w:rPr>
          </w:pPr>
        </w:p>
        <w:p w14:paraId="0D2BECD0" w14:textId="77777777" w:rsidR="00D80B6D" w:rsidRPr="00D84B7D" w:rsidRDefault="00D80B6D" w:rsidP="0075719A">
          <w:pPr>
            <w:pStyle w:val="Zkladntext"/>
            <w:jc w:val="center"/>
            <w:rPr>
              <w:rFonts w:ascii="Arial" w:hAnsi="Arial" w:cs="Arial"/>
              <w:b/>
              <w:sz w:val="20"/>
              <w:highlight w:val="yellow"/>
            </w:rPr>
          </w:pPr>
        </w:p>
        <w:p w14:paraId="69288FB9" w14:textId="77777777" w:rsidR="00D80B6D" w:rsidRPr="00D84B7D" w:rsidRDefault="00D80B6D" w:rsidP="0075719A">
          <w:pPr>
            <w:pStyle w:val="Zkladntext"/>
            <w:jc w:val="center"/>
            <w:rPr>
              <w:rFonts w:ascii="Arial" w:hAnsi="Arial" w:cs="Arial"/>
              <w:b/>
              <w:sz w:val="20"/>
              <w:highlight w:val="yellow"/>
            </w:rPr>
          </w:pPr>
        </w:p>
        <w:p w14:paraId="541E93D5" w14:textId="77777777" w:rsidR="00D80B6D" w:rsidRPr="00D84B7D" w:rsidRDefault="00D80B6D" w:rsidP="0075719A">
          <w:pPr>
            <w:pStyle w:val="Zkladntext"/>
            <w:jc w:val="center"/>
            <w:rPr>
              <w:rFonts w:ascii="Arial" w:hAnsi="Arial" w:cs="Arial"/>
              <w:b/>
              <w:sz w:val="20"/>
              <w:highlight w:val="yellow"/>
            </w:rPr>
          </w:pPr>
        </w:p>
        <w:p w14:paraId="341A343C" w14:textId="77777777" w:rsidR="00D80B6D" w:rsidRPr="00D84B7D" w:rsidRDefault="00D80B6D" w:rsidP="0075719A">
          <w:pPr>
            <w:pStyle w:val="Zkladntext"/>
            <w:jc w:val="center"/>
            <w:rPr>
              <w:rFonts w:ascii="Arial" w:hAnsi="Arial" w:cs="Arial"/>
              <w:b/>
              <w:sz w:val="20"/>
              <w:highlight w:val="yellow"/>
            </w:rPr>
          </w:pPr>
        </w:p>
        <w:p w14:paraId="6C52C42D" w14:textId="77777777" w:rsidR="00D80B6D" w:rsidRPr="00D84B7D" w:rsidRDefault="00D80B6D" w:rsidP="0075719A">
          <w:pPr>
            <w:pStyle w:val="Zkladntext"/>
            <w:jc w:val="center"/>
            <w:rPr>
              <w:rFonts w:ascii="Arial" w:hAnsi="Arial" w:cs="Arial"/>
              <w:b/>
              <w:sz w:val="20"/>
              <w:highlight w:val="yellow"/>
            </w:rPr>
          </w:pPr>
        </w:p>
        <w:p w14:paraId="3E3CDF25" w14:textId="77777777" w:rsidR="00D80B6D" w:rsidRPr="00D84B7D" w:rsidRDefault="00D80B6D" w:rsidP="0075719A">
          <w:pPr>
            <w:pStyle w:val="Zkladntext"/>
            <w:jc w:val="center"/>
            <w:rPr>
              <w:rFonts w:ascii="Arial" w:hAnsi="Arial" w:cs="Arial"/>
              <w:b/>
              <w:sz w:val="20"/>
              <w:highlight w:val="yellow"/>
            </w:rPr>
          </w:pPr>
        </w:p>
        <w:p w14:paraId="40495E64" w14:textId="77777777" w:rsidR="00D80B6D" w:rsidRPr="00D84B7D" w:rsidRDefault="00D80B6D" w:rsidP="0075719A">
          <w:pPr>
            <w:pStyle w:val="Zkladntext"/>
            <w:jc w:val="center"/>
            <w:rPr>
              <w:rFonts w:ascii="Arial" w:hAnsi="Arial" w:cs="Arial"/>
              <w:b/>
              <w:sz w:val="20"/>
              <w:highlight w:val="yellow"/>
            </w:rPr>
          </w:pPr>
        </w:p>
        <w:p w14:paraId="59B6F4E6" w14:textId="77777777" w:rsidR="00D80B6D" w:rsidRPr="00D84B7D" w:rsidRDefault="00D80B6D" w:rsidP="0075719A">
          <w:pPr>
            <w:pStyle w:val="Zkladntext"/>
            <w:jc w:val="center"/>
            <w:rPr>
              <w:rFonts w:ascii="Arial" w:hAnsi="Arial" w:cs="Arial"/>
              <w:b/>
              <w:sz w:val="20"/>
              <w:highlight w:val="yellow"/>
            </w:rPr>
          </w:pPr>
        </w:p>
        <w:p w14:paraId="5ADDFBD6" w14:textId="77777777" w:rsidR="00D80B6D" w:rsidRPr="00D84B7D" w:rsidRDefault="00D80B6D" w:rsidP="0075719A">
          <w:pPr>
            <w:pStyle w:val="Zkladntext"/>
            <w:jc w:val="center"/>
            <w:rPr>
              <w:rFonts w:ascii="Arial" w:hAnsi="Arial" w:cs="Arial"/>
              <w:b/>
              <w:sz w:val="20"/>
              <w:highlight w:val="yellow"/>
            </w:rPr>
          </w:pPr>
        </w:p>
        <w:p w14:paraId="1CB27DF8" w14:textId="77777777" w:rsidR="007B358E" w:rsidRPr="00D84B7D" w:rsidRDefault="007B358E" w:rsidP="0075719A">
          <w:pPr>
            <w:pStyle w:val="Zkladntext"/>
            <w:jc w:val="center"/>
            <w:rPr>
              <w:rFonts w:ascii="Arial" w:hAnsi="Arial" w:cs="Arial"/>
              <w:b/>
              <w:sz w:val="20"/>
              <w:highlight w:val="yellow"/>
            </w:rPr>
          </w:pPr>
        </w:p>
        <w:p w14:paraId="3A61C564" w14:textId="77777777" w:rsidR="0068617E" w:rsidRPr="00D84B7D" w:rsidRDefault="0068617E" w:rsidP="0075719A">
          <w:pPr>
            <w:pStyle w:val="Zkladntext"/>
            <w:jc w:val="center"/>
            <w:rPr>
              <w:rFonts w:ascii="Arial" w:hAnsi="Arial" w:cs="Arial"/>
              <w:b/>
              <w:sz w:val="20"/>
              <w:highlight w:val="yellow"/>
            </w:rPr>
          </w:pPr>
        </w:p>
        <w:p w14:paraId="1414E639" w14:textId="77777777" w:rsidR="0068617E" w:rsidRPr="00D84B7D" w:rsidRDefault="0068617E" w:rsidP="0075719A">
          <w:pPr>
            <w:pStyle w:val="Zkladntext"/>
            <w:jc w:val="center"/>
            <w:rPr>
              <w:rFonts w:ascii="Arial" w:hAnsi="Arial" w:cs="Arial"/>
              <w:b/>
              <w:sz w:val="20"/>
              <w:highlight w:val="yellow"/>
            </w:rPr>
          </w:pPr>
        </w:p>
        <w:p w14:paraId="3660AEB6" w14:textId="77777777" w:rsidR="005B7E46" w:rsidRDefault="005B7E46" w:rsidP="0075719A">
          <w:pPr>
            <w:pStyle w:val="Zkladntext"/>
            <w:jc w:val="center"/>
            <w:rPr>
              <w:rFonts w:ascii="Arial" w:hAnsi="Arial" w:cs="Arial"/>
              <w:b/>
              <w:sz w:val="20"/>
            </w:rPr>
          </w:pPr>
        </w:p>
        <w:p w14:paraId="51D468A4" w14:textId="77777777" w:rsidR="005B7E46" w:rsidRDefault="005B7E46" w:rsidP="0075719A">
          <w:pPr>
            <w:pStyle w:val="Zkladntext"/>
            <w:jc w:val="center"/>
            <w:rPr>
              <w:rFonts w:ascii="Arial" w:hAnsi="Arial" w:cs="Arial"/>
              <w:b/>
              <w:sz w:val="20"/>
            </w:rPr>
          </w:pPr>
        </w:p>
        <w:p w14:paraId="2F2ED302" w14:textId="77777777" w:rsidR="005B7E46" w:rsidRDefault="005B7E46" w:rsidP="0075719A">
          <w:pPr>
            <w:pStyle w:val="Zkladntext"/>
            <w:jc w:val="center"/>
            <w:rPr>
              <w:rFonts w:ascii="Arial" w:hAnsi="Arial" w:cs="Arial"/>
              <w:b/>
              <w:sz w:val="20"/>
            </w:rPr>
          </w:pPr>
        </w:p>
        <w:p w14:paraId="6C828C12" w14:textId="77777777" w:rsidR="005B7E46" w:rsidRDefault="005B7E46" w:rsidP="0075719A">
          <w:pPr>
            <w:pStyle w:val="Zkladntext"/>
            <w:jc w:val="center"/>
            <w:rPr>
              <w:rFonts w:ascii="Arial" w:hAnsi="Arial" w:cs="Arial"/>
              <w:b/>
              <w:sz w:val="20"/>
            </w:rPr>
          </w:pPr>
        </w:p>
        <w:p w14:paraId="49B23CF7" w14:textId="77777777" w:rsidR="005B7E46" w:rsidRDefault="005B7E46" w:rsidP="0075719A">
          <w:pPr>
            <w:pStyle w:val="Zkladntext"/>
            <w:jc w:val="center"/>
            <w:rPr>
              <w:rFonts w:ascii="Arial" w:hAnsi="Arial" w:cs="Arial"/>
              <w:b/>
              <w:sz w:val="20"/>
            </w:rPr>
          </w:pPr>
        </w:p>
        <w:p w14:paraId="17EC9300" w14:textId="77777777" w:rsidR="005B7E46" w:rsidRDefault="005B7E46" w:rsidP="0075719A">
          <w:pPr>
            <w:pStyle w:val="Zkladntext"/>
            <w:jc w:val="center"/>
            <w:rPr>
              <w:rFonts w:ascii="Arial" w:hAnsi="Arial" w:cs="Arial"/>
              <w:b/>
              <w:sz w:val="20"/>
            </w:rPr>
          </w:pPr>
        </w:p>
        <w:p w14:paraId="11132A3F" w14:textId="5D367D7A" w:rsidR="00D80B6D" w:rsidRPr="00D84B7D" w:rsidRDefault="00D80B6D" w:rsidP="0075719A">
          <w:pPr>
            <w:pStyle w:val="Zkladntext"/>
            <w:jc w:val="center"/>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75719A">
          <w:pPr>
            <w:jc w:val="center"/>
            <w:rPr>
              <w:rFonts w:asciiTheme="minorHAnsi" w:hAnsiTheme="minorHAnsi" w:cstheme="minorHAnsi"/>
              <w:sz w:val="20"/>
              <w:szCs w:val="20"/>
            </w:rPr>
          </w:pPr>
        </w:p>
        <w:p w14:paraId="08070DCC" w14:textId="43DC8431" w:rsidR="00792EE9" w:rsidRPr="005B7E46" w:rsidRDefault="00792EE9" w:rsidP="0075719A">
          <w:pPr>
            <w:jc w:val="center"/>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1734B4">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sidR="00EE249E">
            <w:rPr>
              <w:rFonts w:asciiTheme="minorHAnsi" w:hAnsiTheme="minorHAnsi" w:cstheme="minorHAnsi"/>
              <w:sz w:val="20"/>
              <w:szCs w:val="20"/>
            </w:rPr>
            <w:t xml:space="preserve">) na více než 110 obchodních místech pod názvy </w:t>
          </w:r>
          <w:r w:rsidR="00B2198E">
            <w:rPr>
              <w:rFonts w:asciiTheme="minorHAnsi" w:hAnsiTheme="minorHAnsi" w:cstheme="minorHAnsi"/>
              <w:sz w:val="20"/>
              <w:szCs w:val="20"/>
            </w:rPr>
            <w:t>Broker Point Premium</w:t>
          </w:r>
          <w:r w:rsidR="00EE249E">
            <w:rPr>
              <w:rFonts w:asciiTheme="minorHAnsi" w:hAnsiTheme="minorHAnsi" w:cstheme="minorHAnsi"/>
              <w:sz w:val="20"/>
              <w:szCs w:val="20"/>
            </w:rPr>
            <w:t xml:space="preserve"> nebo Broker Point</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w:t>
          </w:r>
          <w:r w:rsidR="00EE249E">
            <w:rPr>
              <w:rFonts w:asciiTheme="minorHAnsi" w:hAnsiTheme="minorHAnsi" w:cstheme="minorHAnsi"/>
              <w:sz w:val="20"/>
              <w:szCs w:val="20"/>
            </w:rPr>
            <w:t>aliditu za zlomek obvyklých cen</w:t>
          </w:r>
          <w:r w:rsidR="008D373A"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005B7E46"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w:t>
          </w:r>
        </w:p>
        <w:p w14:paraId="3F0EC976" w14:textId="3496D289" w:rsidR="00D80B6D" w:rsidRPr="006545F8" w:rsidRDefault="00D80B6D" w:rsidP="0075719A">
          <w:pPr>
            <w:pStyle w:val="Zkladntext"/>
            <w:jc w:val="center"/>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35539C65" w14:textId="0F6CA0E6" w:rsidR="00D31127" w:rsidRPr="0042337E" w:rsidRDefault="005A0BC9" w:rsidP="0075719A">
          <w:pPr>
            <w:jc w:val="center"/>
            <w:rPr>
              <w:rFonts w:asciiTheme="minorHAnsi" w:hAnsiTheme="minorHAnsi" w:cstheme="minorHAnsi"/>
              <w:highlight w:val="yellow"/>
            </w:rPr>
            <w:sectPr w:rsidR="00D31127" w:rsidRPr="0042337E"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305A0D43" w14:textId="18C70BCD" w:rsidR="00EC65E8" w:rsidRPr="001C2FDD" w:rsidRDefault="00233DE0" w:rsidP="001C2FDD">
      <w:pPr>
        <w:pStyle w:val="Nadpis1"/>
        <w:jc w:val="center"/>
        <w:rPr>
          <w:rFonts w:asciiTheme="minorHAnsi" w:hAnsiTheme="minorHAnsi" w:cstheme="minorHAnsi"/>
          <w:b/>
          <w:sz w:val="28"/>
          <w:szCs w:val="28"/>
        </w:rPr>
      </w:pPr>
      <w:r w:rsidRPr="001C2FDD">
        <w:rPr>
          <w:rFonts w:asciiTheme="minorHAnsi" w:hAnsiTheme="minorHAnsi" w:cstheme="minorHAnsi"/>
          <w:b/>
          <w:sz w:val="28"/>
          <w:szCs w:val="28"/>
        </w:rPr>
        <w:t>P</w:t>
      </w:r>
      <w:r w:rsidR="00617017">
        <w:rPr>
          <w:rFonts w:asciiTheme="minorHAnsi" w:hAnsiTheme="minorHAnsi" w:cstheme="minorHAnsi"/>
          <w:b/>
          <w:sz w:val="28"/>
          <w:szCs w:val="28"/>
        </w:rPr>
        <w:t>rosinec při</w:t>
      </w:r>
      <w:r w:rsidR="00BC19C9">
        <w:rPr>
          <w:rFonts w:asciiTheme="minorHAnsi" w:hAnsiTheme="minorHAnsi" w:cstheme="minorHAnsi"/>
          <w:b/>
          <w:sz w:val="28"/>
          <w:szCs w:val="28"/>
        </w:rPr>
        <w:t>nesl stagnaci hypotečních sazeb</w:t>
      </w:r>
      <w:bookmarkStart w:id="0" w:name="_GoBack"/>
      <w:bookmarkEnd w:id="0"/>
    </w:p>
    <w:p w14:paraId="3D7C145E" w14:textId="3EA0AF97" w:rsidR="00DF7A2F" w:rsidRPr="001C2FDD" w:rsidRDefault="00233DE0" w:rsidP="001C2FDD">
      <w:pPr>
        <w:pStyle w:val="Normlnweb"/>
        <w:numPr>
          <w:ilvl w:val="0"/>
          <w:numId w:val="14"/>
        </w:numPr>
        <w:jc w:val="both"/>
        <w:rPr>
          <w:rFonts w:asciiTheme="minorHAnsi" w:hAnsiTheme="minorHAnsi" w:cstheme="minorHAnsi"/>
          <w:b/>
          <w:sz w:val="21"/>
          <w:szCs w:val="21"/>
        </w:rPr>
      </w:pPr>
      <w:r w:rsidRPr="001C2FDD">
        <w:rPr>
          <w:rFonts w:asciiTheme="minorHAnsi" w:hAnsiTheme="minorHAnsi" w:cstheme="minorHAnsi"/>
          <w:b/>
          <w:sz w:val="21"/>
          <w:szCs w:val="21"/>
        </w:rPr>
        <w:t>Průměrná sazba hypot</w:t>
      </w:r>
      <w:r w:rsidR="00617017">
        <w:rPr>
          <w:rFonts w:asciiTheme="minorHAnsi" w:hAnsiTheme="minorHAnsi" w:cstheme="minorHAnsi"/>
          <w:b/>
          <w:sz w:val="21"/>
          <w:szCs w:val="21"/>
        </w:rPr>
        <w:t>ečních úvěrů</w:t>
      </w:r>
      <w:r w:rsidR="001C2FDD" w:rsidRPr="001C2FDD">
        <w:rPr>
          <w:rFonts w:asciiTheme="minorHAnsi" w:hAnsiTheme="minorHAnsi" w:cstheme="minorHAnsi"/>
          <w:b/>
          <w:sz w:val="21"/>
          <w:szCs w:val="21"/>
        </w:rPr>
        <w:t xml:space="preserve"> zůstala v prosinci na úrovni 4,52 %.</w:t>
      </w:r>
    </w:p>
    <w:p w14:paraId="6BA269B1" w14:textId="5EDF48A7" w:rsidR="00DF7A2F" w:rsidRPr="001C2FDD" w:rsidRDefault="00233DE0" w:rsidP="001C2FDD">
      <w:pPr>
        <w:pStyle w:val="Normlnweb"/>
        <w:numPr>
          <w:ilvl w:val="0"/>
          <w:numId w:val="14"/>
        </w:numPr>
        <w:jc w:val="both"/>
        <w:rPr>
          <w:rFonts w:asciiTheme="minorHAnsi" w:hAnsiTheme="minorHAnsi" w:cstheme="minorHAnsi"/>
          <w:b/>
          <w:sz w:val="21"/>
          <w:szCs w:val="21"/>
        </w:rPr>
      </w:pPr>
      <w:r w:rsidRPr="001C2FDD">
        <w:rPr>
          <w:rFonts w:asciiTheme="minorHAnsi" w:hAnsiTheme="minorHAnsi" w:cstheme="minorHAnsi"/>
          <w:b/>
          <w:sz w:val="21"/>
          <w:szCs w:val="21"/>
        </w:rPr>
        <w:t>O</w:t>
      </w:r>
      <w:r w:rsidR="00617017">
        <w:rPr>
          <w:rFonts w:asciiTheme="minorHAnsi" w:hAnsiTheme="minorHAnsi" w:cstheme="minorHAnsi"/>
          <w:b/>
          <w:sz w:val="21"/>
          <w:szCs w:val="21"/>
        </w:rPr>
        <w:t>d začátku roku evidoval Index snížení</w:t>
      </w:r>
      <w:r w:rsidRPr="001C2FDD">
        <w:rPr>
          <w:rFonts w:asciiTheme="minorHAnsi" w:hAnsiTheme="minorHAnsi" w:cstheme="minorHAnsi"/>
          <w:b/>
          <w:sz w:val="21"/>
          <w:szCs w:val="21"/>
        </w:rPr>
        <w:t xml:space="preserve"> o čtyři desetiny procentního bodu.</w:t>
      </w:r>
    </w:p>
    <w:p w14:paraId="7E9A2612" w14:textId="73C87667" w:rsidR="00DF7A2F" w:rsidRPr="001C2FDD" w:rsidRDefault="00233DE0" w:rsidP="001C2FDD">
      <w:pPr>
        <w:pStyle w:val="Normlnweb"/>
        <w:numPr>
          <w:ilvl w:val="0"/>
          <w:numId w:val="14"/>
        </w:numPr>
        <w:jc w:val="both"/>
        <w:rPr>
          <w:rFonts w:asciiTheme="minorHAnsi" w:hAnsiTheme="minorHAnsi" w:cstheme="minorHAnsi"/>
          <w:b/>
          <w:sz w:val="21"/>
          <w:szCs w:val="21"/>
        </w:rPr>
      </w:pPr>
      <w:r w:rsidRPr="001C2FDD">
        <w:rPr>
          <w:rFonts w:asciiTheme="minorHAnsi" w:hAnsiTheme="minorHAnsi" w:cstheme="minorHAnsi"/>
          <w:b/>
          <w:sz w:val="21"/>
          <w:szCs w:val="21"/>
        </w:rPr>
        <w:t xml:space="preserve">V nadcházejícím </w:t>
      </w:r>
      <w:r w:rsidR="001C2FDD" w:rsidRPr="001C2FDD">
        <w:rPr>
          <w:rFonts w:asciiTheme="minorHAnsi" w:hAnsiTheme="minorHAnsi" w:cstheme="minorHAnsi"/>
          <w:b/>
          <w:sz w:val="21"/>
          <w:szCs w:val="21"/>
        </w:rPr>
        <w:t>roce nelze očekávat</w:t>
      </w:r>
      <w:r w:rsidRPr="001C2FDD">
        <w:rPr>
          <w:rFonts w:asciiTheme="minorHAnsi" w:hAnsiTheme="minorHAnsi" w:cstheme="minorHAnsi"/>
          <w:b/>
          <w:sz w:val="21"/>
          <w:szCs w:val="21"/>
        </w:rPr>
        <w:t xml:space="preserve"> výrazný pokles. </w:t>
      </w:r>
    </w:p>
    <w:p w14:paraId="58039798" w14:textId="30007BA9" w:rsidR="00465D68" w:rsidRPr="00B5755F" w:rsidRDefault="000A6181" w:rsidP="001C2FDD">
      <w:pPr>
        <w:widowControl/>
        <w:autoSpaceDE/>
        <w:autoSpaceDN/>
        <w:spacing w:before="100" w:beforeAutospacing="1" w:after="100" w:afterAutospacing="1"/>
        <w:jc w:val="both"/>
        <w:rPr>
          <w:rFonts w:asciiTheme="minorHAnsi" w:hAnsiTheme="minorHAnsi" w:cstheme="minorHAnsi"/>
          <w:b/>
        </w:rPr>
      </w:pPr>
      <w:r>
        <w:rPr>
          <w:rFonts w:asciiTheme="minorHAnsi" w:hAnsiTheme="minorHAnsi" w:cstheme="minorHAnsi"/>
          <w:i/>
        </w:rPr>
        <w:t>Praha, 30</w:t>
      </w:r>
      <w:r w:rsidR="001C2FDD" w:rsidRPr="00B5755F">
        <w:rPr>
          <w:rFonts w:asciiTheme="minorHAnsi" w:hAnsiTheme="minorHAnsi" w:cstheme="minorHAnsi"/>
          <w:i/>
        </w:rPr>
        <w:t>. prosince 2025</w:t>
      </w:r>
      <w:r w:rsidR="00E45E88" w:rsidRPr="001C2FDD">
        <w:rPr>
          <w:rFonts w:asciiTheme="minorHAnsi" w:hAnsiTheme="minorHAnsi" w:cstheme="minorHAnsi"/>
        </w:rPr>
        <w:t xml:space="preserve"> – </w:t>
      </w:r>
      <w:r w:rsidR="00E45E88" w:rsidRPr="00B5755F">
        <w:rPr>
          <w:rFonts w:asciiTheme="minorHAnsi" w:hAnsiTheme="minorHAnsi" w:cstheme="minorHAnsi"/>
          <w:b/>
        </w:rPr>
        <w:t xml:space="preserve">Hypoteční trh vstoupil do závěru roku bez dalšího snížení úrokových sazeb. Podle Broker Consulting </w:t>
      </w:r>
      <w:r w:rsidR="00B5755F">
        <w:rPr>
          <w:rFonts w:asciiTheme="minorHAnsi" w:hAnsiTheme="minorHAnsi" w:cstheme="minorHAnsi"/>
          <w:b/>
        </w:rPr>
        <w:t>Indexu hypotečních úvěrů zůstala</w:t>
      </w:r>
      <w:r w:rsidR="00E45E88" w:rsidRPr="00B5755F">
        <w:rPr>
          <w:rFonts w:asciiTheme="minorHAnsi" w:hAnsiTheme="minorHAnsi" w:cstheme="minorHAnsi"/>
          <w:b/>
        </w:rPr>
        <w:t xml:space="preserve"> průměrná nabídková sazba v prosinci </w:t>
      </w:r>
      <w:r w:rsidR="00B5755F" w:rsidRPr="00B5755F">
        <w:rPr>
          <w:rFonts w:asciiTheme="minorHAnsi" w:hAnsiTheme="minorHAnsi" w:cstheme="minorHAnsi"/>
          <w:b/>
        </w:rPr>
        <w:t xml:space="preserve">na úrovni </w:t>
      </w:r>
      <w:r w:rsidR="00E45E88" w:rsidRPr="00B5755F">
        <w:rPr>
          <w:rFonts w:asciiTheme="minorHAnsi" w:hAnsiTheme="minorHAnsi" w:cstheme="minorHAnsi"/>
          <w:b/>
        </w:rPr>
        <w:t>4,52 %</w:t>
      </w:r>
      <w:r w:rsidR="00B5755F">
        <w:rPr>
          <w:rFonts w:asciiTheme="minorHAnsi" w:hAnsiTheme="minorHAnsi" w:cstheme="minorHAnsi"/>
          <w:b/>
        </w:rPr>
        <w:t xml:space="preserve">. </w:t>
      </w:r>
      <w:r w:rsidR="00B5755F" w:rsidRPr="00B5755F">
        <w:rPr>
          <w:rFonts w:asciiTheme="minorHAnsi" w:hAnsiTheme="minorHAnsi" w:cstheme="minorHAnsi"/>
          <w:b/>
        </w:rPr>
        <w:t>Po měsících postupného snižování tak hypoteční trh</w:t>
      </w:r>
      <w:r w:rsidR="00465D68" w:rsidRPr="00B5755F">
        <w:rPr>
          <w:rFonts w:asciiTheme="minorHAnsi" w:hAnsiTheme="minorHAnsi" w:cstheme="minorHAnsi"/>
          <w:b/>
        </w:rPr>
        <w:t xml:space="preserve"> vstoupil do nového roku s úrokovou úrovní, která odpovídá současným ekonomickým podmínkám</w:t>
      </w:r>
      <w:r w:rsidR="00B5755F">
        <w:rPr>
          <w:rFonts w:asciiTheme="minorHAnsi" w:hAnsiTheme="minorHAnsi" w:cstheme="minorHAnsi"/>
          <w:b/>
        </w:rPr>
        <w:t>.</w:t>
      </w:r>
    </w:p>
    <w:p w14:paraId="3E284B30" w14:textId="6B7661F8" w:rsidR="00EB39AA" w:rsidRPr="001C2FDD" w:rsidRDefault="00B5755F" w:rsidP="001C2FDD">
      <w:pPr>
        <w:jc w:val="both"/>
        <w:rPr>
          <w:rFonts w:asciiTheme="minorHAnsi" w:hAnsiTheme="minorHAnsi" w:cstheme="minorHAnsi"/>
          <w:b/>
        </w:rPr>
      </w:pPr>
      <w:r w:rsidRPr="00B5755F">
        <w:rPr>
          <w:rFonts w:asciiTheme="minorHAnsi" w:hAnsiTheme="minorHAnsi" w:cstheme="minorHAnsi"/>
          <w:i/>
        </w:rPr>
        <w:t xml:space="preserve"> </w:t>
      </w:r>
      <w:r w:rsidR="00465D68" w:rsidRPr="00B5755F">
        <w:rPr>
          <w:rFonts w:asciiTheme="minorHAnsi" w:hAnsiTheme="minorHAnsi" w:cstheme="minorHAnsi"/>
          <w:i/>
        </w:rPr>
        <w:t xml:space="preserve">„Od začátku roku se průměrná sazba snížila zhruba o čtyři desetiny procentního bodu a v meziročním srovnání je posun ještě výraznější. Oproti závěru roku 2022, kdy se hypotéky pohybovaly na výrazně vyšších úrovních, jsou dnes podmínky pro financování bydlení znatelně příznivější. Zároveň ale platí, že další rychlé snižování sazeb není na pořadu dne. Potvrzuje to i Česká národní banka, která už více než půl roku ponechává základní úrokovou sazbu beze změny,“ </w:t>
      </w:r>
      <w:r>
        <w:rPr>
          <w:rFonts w:asciiTheme="minorHAnsi" w:hAnsiTheme="minorHAnsi" w:cstheme="minorHAnsi"/>
        </w:rPr>
        <w:t>komentuje</w:t>
      </w:r>
      <w:r w:rsidR="00465D68" w:rsidRPr="001C2FDD">
        <w:rPr>
          <w:rFonts w:asciiTheme="minorHAnsi" w:hAnsiTheme="minorHAnsi" w:cstheme="minorHAnsi"/>
          <w:b/>
        </w:rPr>
        <w:t xml:space="preserve"> Michaela Pudilová, analytička hypotečních úvěrů společnosti Broker Consulting.</w:t>
      </w:r>
    </w:p>
    <w:p w14:paraId="288669C7" w14:textId="4D86AC03" w:rsidR="00253E73" w:rsidRPr="00253E73" w:rsidRDefault="00253E73" w:rsidP="001C2FDD">
      <w:pPr>
        <w:widowControl/>
        <w:autoSpaceDE/>
        <w:autoSpaceDN/>
        <w:spacing w:before="100" w:beforeAutospacing="1" w:after="100" w:afterAutospacing="1"/>
        <w:jc w:val="both"/>
        <w:rPr>
          <w:rFonts w:asciiTheme="minorHAnsi" w:eastAsia="Times New Roman" w:hAnsiTheme="minorHAnsi" w:cstheme="minorHAnsi"/>
          <w:lang w:bidi="ar-SA"/>
        </w:rPr>
      </w:pPr>
      <w:r w:rsidRPr="00253E73">
        <w:rPr>
          <w:rFonts w:asciiTheme="minorHAnsi" w:eastAsia="Times New Roman" w:hAnsiTheme="minorHAnsi" w:cstheme="minorHAnsi"/>
          <w:lang w:bidi="ar-SA"/>
        </w:rPr>
        <w:t xml:space="preserve">Prosincová hodnota 4,52 % navazuje na vývoj z předchozích měsíců, kdy se hypoteční sazby pohybovaly už jen v úzkém rozpětí. Po letním poklesu na 4,60 % přišel v září krátký nárůst na 4,64 %, následně se sazby znovu mírně snížily a v listopadu i prosinci zůstaly shodné. V meziročním srovnání je ale změna výrazná. Zatímco v prosinci 2024 činila průměrná sazba 4,97 %, v roce 2023 dosahovala 5,71 % a v prosinci 2022 byla ještě nad šesti procenty. </w:t>
      </w:r>
      <w:r w:rsidR="00C61D61" w:rsidRPr="00C61D61">
        <w:rPr>
          <w:rStyle w:val="Siln"/>
          <w:rFonts w:asciiTheme="minorHAnsi" w:hAnsiTheme="minorHAnsi" w:cstheme="minorHAnsi"/>
          <w:b w:val="0"/>
        </w:rPr>
        <w:t>Aktuální výše</w:t>
      </w:r>
      <w:r w:rsidR="00C61D61" w:rsidRPr="00C61D61">
        <w:rPr>
          <w:rStyle w:val="Siln"/>
          <w:rFonts w:asciiTheme="minorHAnsi" w:hAnsiTheme="minorHAnsi" w:cstheme="minorHAnsi"/>
        </w:rPr>
        <w:t xml:space="preserve"> </w:t>
      </w:r>
      <w:r w:rsidR="00C61D61" w:rsidRPr="00C61D61">
        <w:rPr>
          <w:rStyle w:val="Siln"/>
          <w:rFonts w:asciiTheme="minorHAnsi" w:hAnsiTheme="minorHAnsi" w:cstheme="minorHAnsi"/>
          <w:b w:val="0"/>
        </w:rPr>
        <w:t>sazeb</w:t>
      </w:r>
      <w:r w:rsidR="00C61D61" w:rsidRPr="00C61D61">
        <w:rPr>
          <w:rFonts w:asciiTheme="minorHAnsi" w:hAnsiTheme="minorHAnsi" w:cstheme="minorHAnsi"/>
        </w:rPr>
        <w:t xml:space="preserve"> je tak oproti předchozím letům znatelně nižší, i když tempo poklesu se v průběhu roku výrazně zpomalilo.</w:t>
      </w:r>
    </w:p>
    <w:p w14:paraId="04A7C156" w14:textId="77777777" w:rsidR="009C063D" w:rsidRPr="001C2FDD" w:rsidRDefault="009C063D" w:rsidP="001C2FDD">
      <w:pPr>
        <w:pStyle w:val="Nadpis3"/>
        <w:ind w:left="0"/>
        <w:jc w:val="both"/>
        <w:rPr>
          <w:rStyle w:val="Siln"/>
          <w:rFonts w:asciiTheme="minorHAnsi" w:hAnsiTheme="minorHAnsi" w:cstheme="minorHAnsi"/>
          <w:sz w:val="22"/>
          <w:szCs w:val="22"/>
        </w:rPr>
      </w:pPr>
    </w:p>
    <w:p w14:paraId="08D248A1" w14:textId="62557CF6" w:rsidR="00601E56" w:rsidRPr="001C2FDD" w:rsidRDefault="00601E56" w:rsidP="001C2FDD">
      <w:pPr>
        <w:pStyle w:val="Nadpis3"/>
        <w:ind w:left="0"/>
        <w:jc w:val="both"/>
        <w:rPr>
          <w:rStyle w:val="Siln"/>
          <w:rFonts w:asciiTheme="minorHAnsi" w:hAnsiTheme="minorHAnsi" w:cstheme="minorHAnsi"/>
          <w:sz w:val="22"/>
          <w:szCs w:val="22"/>
        </w:rPr>
      </w:pPr>
      <w:r w:rsidRPr="001C2FDD">
        <w:rPr>
          <w:rStyle w:val="Siln"/>
          <w:rFonts w:asciiTheme="minorHAnsi" w:hAnsiTheme="minorHAnsi" w:cstheme="minorHAnsi"/>
          <w:sz w:val="22"/>
          <w:szCs w:val="22"/>
        </w:rPr>
        <w:t>Co pokles sazeb znamená v praxi?</w:t>
      </w:r>
    </w:p>
    <w:p w14:paraId="41F65CC4" w14:textId="719DAE50" w:rsidR="00CD104A" w:rsidRPr="001C2FDD" w:rsidRDefault="00CD104A" w:rsidP="001C2FDD">
      <w:pPr>
        <w:widowControl/>
        <w:autoSpaceDE/>
        <w:autoSpaceDN/>
        <w:spacing w:before="100" w:beforeAutospacing="1" w:after="100" w:afterAutospacing="1" w:line="160" w:lineRule="atLeast"/>
        <w:jc w:val="both"/>
        <w:rPr>
          <w:rFonts w:asciiTheme="minorHAnsi" w:hAnsiTheme="minorHAnsi" w:cstheme="minorHAnsi"/>
          <w:b/>
          <w:bCs/>
        </w:rPr>
      </w:pPr>
      <w:r w:rsidRPr="001C2FDD">
        <w:rPr>
          <w:rFonts w:asciiTheme="minorHAnsi" w:hAnsiTheme="minorHAnsi" w:cstheme="minorHAnsi"/>
        </w:rPr>
        <w:t xml:space="preserve">Například u hypotéky ve výši 5 milionů korun se splatností 30 let by při aktuální sazbě 4,52 % splátka činila přibližně 25 394 korun. </w:t>
      </w:r>
      <w:r w:rsidRPr="001C2FDD">
        <w:rPr>
          <w:rStyle w:val="Siln"/>
          <w:rFonts w:asciiTheme="minorHAnsi" w:hAnsiTheme="minorHAnsi" w:cstheme="minorHAnsi"/>
          <w:b w:val="0"/>
        </w:rPr>
        <w:t>Oproti listopadové hodnotě se měsíční splátka nemění.</w:t>
      </w:r>
      <w:r w:rsidRPr="001C2FDD">
        <w:rPr>
          <w:rFonts w:asciiTheme="minorHAnsi" w:hAnsiTheme="minorHAnsi" w:cstheme="minorHAnsi"/>
        </w:rPr>
        <w:t xml:space="preserve"> K výraznějším změnám by došlo až při snížení sazby o celý procentní bod. V takovém případě by měsíční splátka klesla na přibližně 22 508 korun.</w:t>
      </w:r>
    </w:p>
    <w:p w14:paraId="42EC972D" w14:textId="3C9B54DE" w:rsidR="00EC06DB" w:rsidRPr="001C2FDD" w:rsidRDefault="00617017" w:rsidP="001C2FDD">
      <w:pPr>
        <w:widowControl/>
        <w:autoSpaceDE/>
        <w:autoSpaceDN/>
        <w:spacing w:before="100" w:beforeAutospacing="1" w:after="100" w:afterAutospacing="1" w:line="160" w:lineRule="atLeast"/>
        <w:jc w:val="both"/>
        <w:rPr>
          <w:rFonts w:asciiTheme="minorHAnsi" w:eastAsia="Times New Roman" w:hAnsiTheme="minorHAnsi" w:cstheme="minorHAnsi"/>
          <w:bCs/>
          <w:noProof/>
          <w:lang w:bidi="ar-SA"/>
        </w:rPr>
      </w:pPr>
      <w:r>
        <w:rPr>
          <w:rFonts w:asciiTheme="minorHAnsi" w:eastAsia="Times New Roman" w:hAnsiTheme="minorHAnsi" w:cstheme="minorHAnsi"/>
          <w:bCs/>
          <w:noProof/>
          <w:lang w:bidi="ar-SA"/>
        </w:rPr>
        <w:drawing>
          <wp:inline distT="0" distB="0" distL="0" distR="0" wp14:anchorId="2E13AC9B" wp14:editId="69ADD490">
            <wp:extent cx="6635750" cy="2950845"/>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k vývoji sazeb.png"/>
                    <pic:cNvPicPr/>
                  </pic:nvPicPr>
                  <pic:blipFill>
                    <a:blip r:embed="rId29">
                      <a:extLst>
                        <a:ext uri="{28A0092B-C50C-407E-A947-70E740481C1C}">
                          <a14:useLocalDpi xmlns:a14="http://schemas.microsoft.com/office/drawing/2010/main" val="0"/>
                        </a:ext>
                      </a:extLst>
                    </a:blip>
                    <a:stretch>
                      <a:fillRect/>
                    </a:stretch>
                  </pic:blipFill>
                  <pic:spPr>
                    <a:xfrm>
                      <a:off x="0" y="0"/>
                      <a:ext cx="6635750" cy="2950845"/>
                    </a:xfrm>
                    <a:prstGeom prst="rect">
                      <a:avLst/>
                    </a:prstGeom>
                  </pic:spPr>
                </pic:pic>
              </a:graphicData>
            </a:graphic>
          </wp:inline>
        </w:drawing>
      </w:r>
    </w:p>
    <w:p w14:paraId="6449BF5D" w14:textId="77777777" w:rsidR="00C61D61" w:rsidRDefault="00C61D61" w:rsidP="00C61D61">
      <w:pPr>
        <w:pStyle w:val="Nadpis1"/>
        <w:ind w:left="0"/>
        <w:rPr>
          <w:rFonts w:asciiTheme="minorHAnsi" w:hAnsiTheme="minorHAnsi" w:cstheme="minorHAnsi"/>
          <w:b/>
          <w:sz w:val="24"/>
          <w:szCs w:val="24"/>
        </w:rPr>
      </w:pPr>
    </w:p>
    <w:p w14:paraId="03291637" w14:textId="198A28BE" w:rsidR="00E148BB" w:rsidRPr="00C61D61" w:rsidRDefault="00C61D61" w:rsidP="00C61D61">
      <w:pPr>
        <w:pStyle w:val="Nadpis1"/>
        <w:ind w:left="0"/>
        <w:rPr>
          <w:rFonts w:asciiTheme="minorHAnsi" w:eastAsia="Times New Roman" w:hAnsiTheme="minorHAnsi" w:cstheme="minorHAnsi"/>
          <w:b/>
          <w:bCs/>
          <w:noProof/>
          <w:sz w:val="24"/>
          <w:szCs w:val="24"/>
          <w:lang w:bidi="ar-SA"/>
        </w:rPr>
      </w:pPr>
      <w:r w:rsidRPr="00C61D61">
        <w:rPr>
          <w:rFonts w:asciiTheme="minorHAnsi" w:hAnsiTheme="minorHAnsi" w:cstheme="minorHAnsi"/>
          <w:b/>
          <w:sz w:val="24"/>
          <w:szCs w:val="24"/>
        </w:rPr>
        <w:t>Hypotéka a společné jmění manželů: co je dobré vědět</w:t>
      </w:r>
    </w:p>
    <w:p w14:paraId="0D2ED6CA" w14:textId="77777777" w:rsidR="001C2FDD" w:rsidRPr="001C2FDD" w:rsidRDefault="001C2FDD" w:rsidP="001C2FDD">
      <w:pPr>
        <w:widowControl/>
        <w:autoSpaceDE/>
        <w:autoSpaceDN/>
        <w:spacing w:before="100" w:beforeAutospacing="1" w:after="100" w:afterAutospacing="1"/>
        <w:jc w:val="both"/>
        <w:rPr>
          <w:rFonts w:asciiTheme="minorHAnsi" w:eastAsia="Times New Roman" w:hAnsiTheme="minorHAnsi" w:cstheme="minorHAnsi"/>
          <w:lang w:bidi="ar-SA"/>
        </w:rPr>
      </w:pPr>
      <w:r w:rsidRPr="001C2FDD">
        <w:rPr>
          <w:rFonts w:asciiTheme="minorHAnsi" w:eastAsia="Times New Roman" w:hAnsiTheme="minorHAnsi" w:cstheme="minorHAnsi"/>
          <w:lang w:bidi="ar-SA"/>
        </w:rPr>
        <w:t xml:space="preserve">Hypotéka sjednaná v manželství obvykle spadá do společného jmění manželů. Pokud nemají manželé smluvně upravený jiný režim, banka standardně vyžaduje, aby do úvěru vstupovali oba partneři, a to bez ohledu na to, kdo z </w:t>
      </w:r>
      <w:r w:rsidRPr="001C2FDD">
        <w:rPr>
          <w:rFonts w:asciiTheme="minorHAnsi" w:eastAsia="Times New Roman" w:hAnsiTheme="minorHAnsi" w:cstheme="minorHAnsi"/>
          <w:lang w:bidi="ar-SA"/>
        </w:rPr>
        <w:lastRenderedPageBreak/>
        <w:t>nich má vyšší příjem nebo kdo bude nemovitost fakticky užívat. Stejně tak platí, že za splácení úvěru odpovídají oba manželé společně.</w:t>
      </w:r>
    </w:p>
    <w:p w14:paraId="58F2B2BC" w14:textId="40D38015" w:rsidR="001C2FDD" w:rsidRDefault="001C2FDD" w:rsidP="001C2FDD">
      <w:pPr>
        <w:widowControl/>
        <w:autoSpaceDE/>
        <w:autoSpaceDN/>
        <w:spacing w:before="100" w:beforeAutospacing="1" w:after="100" w:afterAutospacing="1"/>
        <w:jc w:val="both"/>
        <w:rPr>
          <w:rFonts w:asciiTheme="minorHAnsi" w:hAnsiTheme="minorHAnsi" w:cstheme="minorHAnsi"/>
          <w:b/>
        </w:rPr>
      </w:pPr>
      <w:r w:rsidRPr="001C2FDD">
        <w:rPr>
          <w:rFonts w:asciiTheme="minorHAnsi" w:eastAsia="Times New Roman" w:hAnsiTheme="minorHAnsi" w:cstheme="minorHAnsi"/>
          <w:lang w:bidi="ar-SA"/>
        </w:rPr>
        <w:t>Odlišná situace může nastat v případě, kdy mají manželé zúžen</w:t>
      </w:r>
      <w:r w:rsidR="00F069D7">
        <w:rPr>
          <w:rFonts w:asciiTheme="minorHAnsi" w:eastAsia="Times New Roman" w:hAnsiTheme="minorHAnsi" w:cstheme="minorHAnsi"/>
          <w:lang w:bidi="ar-SA"/>
        </w:rPr>
        <w:t xml:space="preserve">é společné jmění nebo mají v plánu financovat </w:t>
      </w:r>
      <w:r w:rsidRPr="001C2FDD">
        <w:rPr>
          <w:rFonts w:asciiTheme="minorHAnsi" w:eastAsia="Times New Roman" w:hAnsiTheme="minorHAnsi" w:cstheme="minorHAnsi"/>
          <w:lang w:bidi="ar-SA"/>
        </w:rPr>
        <w:t xml:space="preserve">nemovitost, která má zůstat ve výlučném vlastnictví jednoho z nich. V takových případech banky postupují individuálně </w:t>
      </w:r>
      <w:r w:rsidR="00F069D7">
        <w:rPr>
          <w:rFonts w:asciiTheme="minorHAnsi" w:eastAsia="Times New Roman" w:hAnsiTheme="minorHAnsi" w:cstheme="minorHAnsi"/>
          <w:lang w:bidi="ar-SA"/>
        </w:rPr>
        <w:t xml:space="preserve">a </w:t>
      </w:r>
      <w:r w:rsidR="00F069D7" w:rsidRPr="00F069D7">
        <w:rPr>
          <w:rFonts w:asciiTheme="minorHAnsi" w:hAnsiTheme="minorHAnsi" w:cstheme="minorHAnsi"/>
        </w:rPr>
        <w:t xml:space="preserve">pečlivě prověřují </w:t>
      </w:r>
      <w:r w:rsidR="00F069D7" w:rsidRPr="00F069D7">
        <w:rPr>
          <w:rStyle w:val="Siln"/>
          <w:rFonts w:asciiTheme="minorHAnsi" w:hAnsiTheme="minorHAnsi" w:cstheme="minorHAnsi"/>
          <w:b w:val="0"/>
        </w:rPr>
        <w:t>smluvní a majetkové uspořádání</w:t>
      </w:r>
      <w:r w:rsidR="00F069D7" w:rsidRPr="00F069D7">
        <w:rPr>
          <w:rFonts w:asciiTheme="minorHAnsi" w:hAnsiTheme="minorHAnsi" w:cstheme="minorHAnsi"/>
          <w:b/>
        </w:rPr>
        <w:t>.</w:t>
      </w:r>
    </w:p>
    <w:p w14:paraId="0CE58A69" w14:textId="7E6411C4" w:rsidR="0045177C" w:rsidRPr="001C2FDD" w:rsidRDefault="0045177C" w:rsidP="001C2FDD">
      <w:pPr>
        <w:widowControl/>
        <w:autoSpaceDE/>
        <w:autoSpaceDN/>
        <w:spacing w:before="100" w:beforeAutospacing="1" w:after="100" w:afterAutospacing="1"/>
        <w:jc w:val="both"/>
        <w:rPr>
          <w:rFonts w:asciiTheme="minorHAnsi" w:eastAsia="Times New Roman" w:hAnsiTheme="minorHAnsi" w:cstheme="minorHAnsi"/>
          <w:lang w:bidi="ar-SA"/>
        </w:rPr>
      </w:pPr>
      <w:r w:rsidRPr="0045177C">
        <w:rPr>
          <w:rFonts w:asciiTheme="minorHAnsi" w:hAnsiTheme="minorHAnsi" w:cstheme="minorHAnsi"/>
          <w:i/>
        </w:rPr>
        <w:t>„Častým omylem je představa, že když má příjem jen jeden z manželů, bude splácení hypotéky jeho záležitostí. Pro banku ale závazek zpravidla dopadá na oba partnery. Pokud to má být jinak,</w:t>
      </w:r>
      <w:r w:rsidR="00482B7B">
        <w:rPr>
          <w:rFonts w:asciiTheme="minorHAnsi" w:hAnsiTheme="minorHAnsi" w:cstheme="minorHAnsi"/>
          <w:i/>
        </w:rPr>
        <w:t xml:space="preserve"> je potřeba mít majetkové uspořádání</w:t>
      </w:r>
      <w:r w:rsidRPr="0045177C">
        <w:rPr>
          <w:rFonts w:asciiTheme="minorHAnsi" w:hAnsiTheme="minorHAnsi" w:cstheme="minorHAnsi"/>
          <w:i/>
        </w:rPr>
        <w:t xml:space="preserve"> vyřešené ještě před podáním žádosti,“ </w:t>
      </w:r>
      <w:r w:rsidRPr="0045177C">
        <w:rPr>
          <w:rFonts w:asciiTheme="minorHAnsi" w:hAnsiTheme="minorHAnsi" w:cstheme="minorHAnsi"/>
        </w:rPr>
        <w:t xml:space="preserve">říká </w:t>
      </w:r>
      <w:r w:rsidRPr="00347A8D">
        <w:rPr>
          <w:rFonts w:asciiTheme="minorHAnsi" w:hAnsiTheme="minorHAnsi" w:cstheme="minorHAnsi"/>
          <w:b/>
        </w:rPr>
        <w:t>Michaela Pudilová, analytička hypotečních úvěrů společnosti Broker Consulting.</w:t>
      </w:r>
    </w:p>
    <w:p w14:paraId="06153168" w14:textId="49F64D54" w:rsidR="00236A37" w:rsidRPr="00AB7BAF" w:rsidRDefault="00C42CA5" w:rsidP="005013FE">
      <w:pPr>
        <w:pBdr>
          <w:top w:val="single" w:sz="4" w:space="1" w:color="auto"/>
        </w:pBdr>
        <w:spacing w:before="240" w:after="120"/>
        <w:jc w:val="both"/>
        <w:rPr>
          <w:rFonts w:asciiTheme="minorHAnsi" w:hAnsiTheme="minorHAnsi" w:cstheme="minorHAnsi"/>
          <w:sz w:val="21"/>
          <w:szCs w:val="21"/>
        </w:rPr>
      </w:pPr>
      <w:r w:rsidRPr="0029038B">
        <w:rPr>
          <w:rFonts w:asciiTheme="minorHAnsi" w:hAnsiTheme="minorHAnsi" w:cstheme="minorHAnsi"/>
          <w:sz w:val="21"/>
          <w:szCs w:val="21"/>
        </w:rPr>
        <w:t xml:space="preserve">Broker </w:t>
      </w:r>
      <w:r w:rsidR="00C36E55" w:rsidRPr="0029038B">
        <w:rPr>
          <w:rFonts w:asciiTheme="minorHAnsi" w:hAnsiTheme="minorHAnsi" w:cstheme="minorHAnsi"/>
          <w:sz w:val="21"/>
          <w:szCs w:val="21"/>
        </w:rPr>
        <w:t>Con</w:t>
      </w:r>
      <w:r w:rsidR="007B0955">
        <w:rPr>
          <w:rFonts w:asciiTheme="minorHAnsi" w:hAnsiTheme="minorHAnsi" w:cstheme="minorHAnsi"/>
          <w:sz w:val="21"/>
          <w:szCs w:val="21"/>
        </w:rPr>
        <w:t>sultin</w:t>
      </w:r>
      <w:r w:rsidRPr="0029038B">
        <w:rPr>
          <w:rFonts w:asciiTheme="minorHAnsi" w:hAnsiTheme="minorHAnsi" w:cstheme="minorHAnsi"/>
          <w:sz w:val="21"/>
          <w:szCs w:val="21"/>
        </w:rPr>
        <w:t>g Index hypotečních úvěrů je analytický nástroj</w:t>
      </w:r>
      <w:r w:rsidR="00113603" w:rsidRPr="0029038B">
        <w:rPr>
          <w:rFonts w:asciiTheme="minorHAnsi" w:hAnsiTheme="minorHAnsi" w:cstheme="minorHAnsi"/>
          <w:sz w:val="21"/>
          <w:szCs w:val="21"/>
        </w:rPr>
        <w:t xml:space="preserve"> znázorňující</w:t>
      </w:r>
      <w:r w:rsidRPr="0029038B">
        <w:rPr>
          <w:rFonts w:asciiTheme="minorHAnsi" w:hAnsiTheme="minorHAnsi" w:cstheme="minorHAnsi"/>
          <w:sz w:val="21"/>
          <w:szCs w:val="21"/>
        </w:rPr>
        <w:t xml:space="preserve"> průměrnou úrokovou </w:t>
      </w:r>
      <w:r w:rsidRPr="00AB7BAF">
        <w:rPr>
          <w:rFonts w:asciiTheme="minorHAnsi" w:hAnsiTheme="minorHAnsi" w:cstheme="minorHAnsi"/>
          <w:sz w:val="21"/>
          <w:szCs w:val="21"/>
        </w:rPr>
        <w:t xml:space="preserve">sazbu u hypotečních úvěrů, </w:t>
      </w:r>
      <w:r w:rsidR="00113603" w:rsidRPr="00AB7BAF">
        <w:rPr>
          <w:rFonts w:asciiTheme="minorHAnsi" w:hAnsiTheme="minorHAnsi" w:cstheme="minorHAnsi"/>
          <w:sz w:val="21"/>
          <w:szCs w:val="21"/>
        </w:rPr>
        <w:t>které</w:t>
      </w:r>
      <w:r w:rsidRPr="00AB7BAF">
        <w:rPr>
          <w:rFonts w:asciiTheme="minorHAnsi" w:hAnsiTheme="minorHAnsi" w:cstheme="minorHAnsi"/>
          <w:sz w:val="21"/>
          <w:szCs w:val="21"/>
        </w:rPr>
        <w:t xml:space="preserve"> zprostředkovali konzultanti Brok</w:t>
      </w:r>
      <w:r w:rsidR="00776A31">
        <w:rPr>
          <w:rFonts w:asciiTheme="minorHAnsi" w:hAnsiTheme="minorHAnsi" w:cstheme="minorHAnsi"/>
          <w:sz w:val="21"/>
          <w:szCs w:val="21"/>
        </w:rPr>
        <w:t>er Consulting a pobočky Broker Point nebo Broker Point Premium</w:t>
      </w:r>
      <w:r w:rsidRPr="00AB7BAF">
        <w:rPr>
          <w:rFonts w:asciiTheme="minorHAnsi" w:hAnsiTheme="minorHAnsi" w:cstheme="minorHAnsi"/>
          <w:sz w:val="21"/>
          <w:szCs w:val="21"/>
        </w:rPr>
        <w:t xml:space="preserve"> u kteréhokoli poskytovatele hypotečních úvěrů. Jedná se o vážený aritmetický průměr, kdy hlavní vahou je objem úvěru. Tedy čím vyšší úvěr, tím jeho sazba </w:t>
      </w:r>
      <w:r w:rsidR="00113603" w:rsidRPr="00AB7BAF">
        <w:rPr>
          <w:rFonts w:asciiTheme="minorHAnsi" w:hAnsiTheme="minorHAnsi" w:cstheme="minorHAnsi"/>
          <w:sz w:val="21"/>
          <w:szCs w:val="21"/>
        </w:rPr>
        <w:t xml:space="preserve">vstupuje </w:t>
      </w:r>
      <w:r w:rsidRPr="00AB7BAF">
        <w:rPr>
          <w:rFonts w:asciiTheme="minorHAnsi" w:hAnsiTheme="minorHAnsi" w:cstheme="minorHAnsi"/>
          <w:sz w:val="21"/>
          <w:szCs w:val="21"/>
        </w:rPr>
        <w:t xml:space="preserve">do indexu větší vahou. </w:t>
      </w:r>
      <w:r w:rsidRPr="00AB7BAF">
        <w:rPr>
          <w:rFonts w:asciiTheme="minorHAnsi" w:hAnsiTheme="minorHAnsi" w:cstheme="minorHAnsi"/>
          <w:b/>
          <w:sz w:val="21"/>
          <w:szCs w:val="21"/>
        </w:rPr>
        <w:t xml:space="preserve">Výhodou metody výpočtu </w:t>
      </w:r>
      <w:r w:rsidR="00C7532A" w:rsidRPr="00AB7BAF">
        <w:rPr>
          <w:rFonts w:asciiTheme="minorHAnsi" w:hAnsiTheme="minorHAnsi" w:cstheme="minorHAnsi"/>
          <w:b/>
          <w:sz w:val="21"/>
          <w:szCs w:val="21"/>
        </w:rPr>
        <w:t xml:space="preserve">indexu </w:t>
      </w:r>
      <w:r w:rsidRPr="00AB7BAF">
        <w:rPr>
          <w:rFonts w:asciiTheme="minorHAnsi" w:hAnsiTheme="minorHAnsi" w:cstheme="minorHAnsi"/>
          <w:b/>
          <w:sz w:val="21"/>
          <w:szCs w:val="21"/>
        </w:rPr>
        <w:t>je skutečnost, že se do statistiky dostávají pouze skutečně schválené úvěry, a to bez výjimky všechny.</w:t>
      </w:r>
      <w:r w:rsidRPr="00AB7BAF">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AB7BAF" w:rsidRDefault="00C42CA5" w:rsidP="005013FE">
      <w:pPr>
        <w:spacing w:after="120"/>
        <w:jc w:val="both"/>
        <w:rPr>
          <w:rFonts w:asciiTheme="minorHAnsi" w:hAnsiTheme="minorHAnsi" w:cstheme="minorHAnsi"/>
          <w:sz w:val="21"/>
          <w:szCs w:val="21"/>
        </w:rPr>
      </w:pPr>
      <w:r w:rsidRPr="00AB7BAF">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AB7BAF">
        <w:rPr>
          <w:rFonts w:asciiTheme="minorHAnsi" w:hAnsiTheme="minorHAnsi" w:cstheme="minorHAnsi"/>
          <w:sz w:val="21"/>
          <w:szCs w:val="21"/>
        </w:rPr>
        <w:t>,</w:t>
      </w:r>
      <w:r w:rsidRPr="00AB7BAF">
        <w:rPr>
          <w:rFonts w:asciiTheme="minorHAnsi" w:hAnsiTheme="minorHAnsi" w:cstheme="minorHAnsi"/>
          <w:sz w:val="21"/>
          <w:szCs w:val="21"/>
        </w:rPr>
        <w:t xml:space="preserve"> </w:t>
      </w:r>
      <w:r w:rsidR="00FA2D1E" w:rsidRPr="00AB7BAF">
        <w:rPr>
          <w:rFonts w:asciiTheme="minorHAnsi" w:hAnsiTheme="minorHAnsi" w:cstheme="minorHAnsi"/>
          <w:sz w:val="21"/>
          <w:szCs w:val="21"/>
        </w:rPr>
        <w:t>a</w:t>
      </w:r>
      <w:r w:rsidRPr="00AB7BAF">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0584C559" w14:textId="7CB832AA" w:rsidR="00C21F84" w:rsidRPr="00C21F84" w:rsidRDefault="002E6DB6" w:rsidP="005013FE">
      <w:pPr>
        <w:pBdr>
          <w:bottom w:val="single" w:sz="4" w:space="1" w:color="auto"/>
        </w:pBdr>
        <w:spacing w:after="120"/>
        <w:jc w:val="both"/>
        <w:rPr>
          <w:rFonts w:asciiTheme="minorHAnsi" w:hAnsiTheme="minorHAnsi" w:cstheme="minorHAnsi"/>
          <w:sz w:val="21"/>
          <w:szCs w:val="21"/>
        </w:rPr>
      </w:pPr>
      <w:r w:rsidRPr="00AB7BAF">
        <w:rPr>
          <w:rFonts w:asciiTheme="minorHAnsi" w:hAnsiTheme="minorHAnsi" w:cstheme="minorHAnsi"/>
          <w:color w:val="000000"/>
          <w:sz w:val="21"/>
          <w:szCs w:val="21"/>
        </w:rPr>
        <w:t>Předstihový ukazatel Broker Consulting Indexu hypotečních úvěrů a jeho výpočet rea</w:t>
      </w:r>
      <w:r w:rsidR="008C75D3" w:rsidRPr="00AB7BAF">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AB7BAF">
        <w:rPr>
          <w:rFonts w:asciiTheme="minorHAnsi" w:hAnsiTheme="minorHAnsi" w:cstheme="minorHAnsi"/>
          <w:color w:val="000000"/>
          <w:sz w:val="21"/>
          <w:szCs w:val="21"/>
        </w:rPr>
        <w:t>ý průměr nabízených úrokových sazeb</w:t>
      </w:r>
      <w:r w:rsidR="00807AD4" w:rsidRPr="00AB7BAF">
        <w:rPr>
          <w:rFonts w:asciiTheme="minorHAnsi" w:hAnsiTheme="minorHAnsi" w:cstheme="minorHAnsi"/>
          <w:color w:val="000000"/>
          <w:sz w:val="21"/>
          <w:szCs w:val="21"/>
        </w:rPr>
        <w:t xml:space="preserve"> v konkrétním </w:t>
      </w:r>
      <w:r w:rsidR="008C75D3" w:rsidRPr="00AB7BAF">
        <w:rPr>
          <w:rFonts w:asciiTheme="minorHAnsi" w:hAnsiTheme="minorHAnsi" w:cstheme="minorHAnsi"/>
          <w:color w:val="000000"/>
          <w:sz w:val="21"/>
          <w:szCs w:val="21"/>
        </w:rPr>
        <w:t>měsíci, ve kterém se zveřejňují hodnoty Broker Consulting Indexu hypotečních úvěrů.</w:t>
      </w:r>
      <w:r w:rsidR="00CC3D3D" w:rsidRPr="00AB7BAF">
        <w:rPr>
          <w:rFonts w:asciiTheme="minorHAnsi" w:hAnsiTheme="minorHAnsi" w:cstheme="minorHAnsi"/>
          <w:color w:val="000000"/>
          <w:sz w:val="21"/>
          <w:szCs w:val="21"/>
        </w:rPr>
        <w:t xml:space="preserve"> Vzhledem ke statisti</w:t>
      </w:r>
      <w:r w:rsidR="004919CC" w:rsidRPr="00AB7BAF">
        <w:rPr>
          <w:rFonts w:asciiTheme="minorHAnsi" w:hAnsiTheme="minorHAnsi" w:cstheme="minorHAnsi"/>
          <w:color w:val="000000"/>
          <w:sz w:val="21"/>
          <w:szCs w:val="21"/>
        </w:rPr>
        <w:t>ce preferovaných fixací byla při výpoč</w:t>
      </w:r>
      <w:r w:rsidR="00CC3D3D" w:rsidRPr="00AB7BAF">
        <w:rPr>
          <w:rFonts w:asciiTheme="minorHAnsi" w:hAnsiTheme="minorHAnsi" w:cstheme="minorHAnsi"/>
          <w:color w:val="000000"/>
          <w:sz w:val="21"/>
          <w:szCs w:val="21"/>
        </w:rPr>
        <w:t>t</w:t>
      </w:r>
      <w:r w:rsidR="004919CC" w:rsidRPr="00AB7BAF">
        <w:rPr>
          <w:rFonts w:asciiTheme="minorHAnsi" w:hAnsiTheme="minorHAnsi" w:cstheme="minorHAnsi"/>
          <w:color w:val="000000"/>
          <w:sz w:val="21"/>
          <w:szCs w:val="21"/>
        </w:rPr>
        <w:t>u zohledněna</w:t>
      </w:r>
      <w:r w:rsidR="00CC3D3D" w:rsidRPr="00AB7BAF">
        <w:rPr>
          <w:rFonts w:asciiTheme="minorHAnsi" w:hAnsiTheme="minorHAnsi" w:cstheme="minorHAnsi"/>
          <w:color w:val="000000"/>
          <w:sz w:val="21"/>
          <w:szCs w:val="21"/>
        </w:rPr>
        <w:t xml:space="preserve"> pětiletá fixace úrokových sazeb.</w:t>
      </w: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29038B">
      <w:pPr>
        <w:spacing w:after="120"/>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9390DF7" w:rsidR="00692610" w:rsidRPr="00C21F84" w:rsidRDefault="0029038B" w:rsidP="00C07D5F">
      <w:pPr>
        <w:rPr>
          <w:rFonts w:asciiTheme="minorHAnsi" w:eastAsia="Calibri" w:hAnsiTheme="minorHAnsi" w:cstheme="minorHAnsi"/>
          <w:bCs/>
          <w:noProof/>
          <w:sz w:val="20"/>
          <w:szCs w:val="20"/>
          <w:lang w:bidi="ar-SA"/>
        </w:rPr>
      </w:pPr>
      <w:r>
        <w:rPr>
          <w:rFonts w:asciiTheme="minorHAnsi" w:eastAsia="Calibri" w:hAnsiTheme="minorHAnsi" w:cstheme="minorHAnsi"/>
          <w:bCs/>
          <w:noProof/>
          <w:sz w:val="20"/>
          <w:szCs w:val="20"/>
        </w:rPr>
        <w:t>Lenka Kuželová</w:t>
      </w:r>
    </w:p>
    <w:p w14:paraId="1DBDA364" w14:textId="46DCE93E"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 xml:space="preserve">Specialistka PR </w:t>
      </w:r>
    </w:p>
    <w:p w14:paraId="2CCB0CE9" w14:textId="7017C754" w:rsidR="0029038B" w:rsidRDefault="0029038B" w:rsidP="0029038B">
      <w:pPr>
        <w:pStyle w:val="Bezmezer"/>
        <w:rPr>
          <w:rFonts w:eastAsia="F015TEELig" w:cstheme="minorHAnsi"/>
          <w:sz w:val="21"/>
          <w:szCs w:val="21"/>
        </w:rPr>
      </w:pPr>
      <w:r>
        <w:rPr>
          <w:rFonts w:eastAsia="F015TEELig" w:cstheme="minorHAnsi"/>
          <w:sz w:val="21"/>
          <w:szCs w:val="21"/>
        </w:rPr>
        <w:t>Mobil:</w:t>
      </w:r>
      <w:r w:rsidR="00203BB5">
        <w:rPr>
          <w:rFonts w:eastAsia="F015TEELig" w:cstheme="minorHAnsi"/>
          <w:sz w:val="21"/>
          <w:szCs w:val="21"/>
        </w:rPr>
        <w:t xml:space="preserve"> +420 731 929 990</w:t>
      </w:r>
      <w:r w:rsidRPr="00AD79CC">
        <w:rPr>
          <w:rFonts w:eastAsia="F015TEELig" w:cstheme="minorHAnsi"/>
          <w:sz w:val="21"/>
          <w:szCs w:val="21"/>
        </w:rPr>
        <w:t xml:space="preserve">, </w:t>
      </w:r>
    </w:p>
    <w:p w14:paraId="46F484FA" w14:textId="2D9E4BB4" w:rsidR="0029038B" w:rsidRPr="00AD79CC" w:rsidRDefault="0029038B" w:rsidP="0029038B">
      <w:pPr>
        <w:pStyle w:val="Bezmezer"/>
        <w:rPr>
          <w:rFonts w:eastAsia="F015TEELig" w:cstheme="minorHAnsi"/>
          <w:sz w:val="21"/>
          <w:szCs w:val="21"/>
        </w:rPr>
      </w:pPr>
      <w:r w:rsidRPr="00AD79CC">
        <w:rPr>
          <w:rFonts w:eastAsia="F015TEELig" w:cstheme="minorHAnsi"/>
          <w:sz w:val="21"/>
          <w:szCs w:val="21"/>
        </w:rPr>
        <w:t>e-mail:</w:t>
      </w:r>
      <w:r w:rsidRPr="00AD79CC">
        <w:rPr>
          <w:rFonts w:eastAsia="Calibri" w:cstheme="minorHAnsi"/>
          <w:noProof/>
          <w:sz w:val="21"/>
          <w:szCs w:val="21"/>
        </w:rPr>
        <w:t xml:space="preserve"> </w:t>
      </w:r>
      <w:hyperlink r:id="rId31"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025F1B2F" w14:textId="28790D00" w:rsidR="00D60D98" w:rsidRPr="00C21F84" w:rsidRDefault="00D60D98" w:rsidP="0029038B">
      <w:pPr>
        <w:pStyle w:val="Bezmezer"/>
        <w:rPr>
          <w:rFonts w:eastAsia="Calibri" w:cstheme="minorHAnsi"/>
          <w:noProof/>
          <w:sz w:val="20"/>
          <w:szCs w:val="20"/>
        </w:rPr>
      </w:pP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92818" w14:textId="77777777" w:rsidR="005A0BC9" w:rsidRDefault="005A0BC9">
      <w:r>
        <w:separator/>
      </w:r>
    </w:p>
  </w:endnote>
  <w:endnote w:type="continuationSeparator" w:id="0">
    <w:p w14:paraId="0F371B24" w14:textId="77777777" w:rsidR="005A0BC9" w:rsidRDefault="005A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EE"/>
    <w:family w:val="swiss"/>
    <w:pitch w:val="variable"/>
    <w:sig w:usb0="E4002EFF" w:usb1="C200247B" w:usb2="00000009" w:usb3="00000000" w:csb0="000001F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5A0BC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065C6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5A0BC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065C6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5A0BC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065C6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E66B" w14:textId="77777777" w:rsidR="005A0BC9" w:rsidRDefault="005A0BC9">
      <w:r>
        <w:separator/>
      </w:r>
    </w:p>
  </w:footnote>
  <w:footnote w:type="continuationSeparator" w:id="0">
    <w:p w14:paraId="307957E2" w14:textId="77777777" w:rsidR="005A0BC9" w:rsidRDefault="005A0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4BEA"/>
    <w:multiLevelType w:val="hybridMultilevel"/>
    <w:tmpl w:val="1A8CC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23025E"/>
    <w:multiLevelType w:val="hybridMultilevel"/>
    <w:tmpl w:val="ECCE2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FE52180"/>
    <w:multiLevelType w:val="hybridMultilevel"/>
    <w:tmpl w:val="CA92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D60C79"/>
    <w:multiLevelType w:val="hybridMultilevel"/>
    <w:tmpl w:val="E6EEC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0"/>
  </w:num>
  <w:num w:numId="6">
    <w:abstractNumId w:val="6"/>
  </w:num>
  <w:num w:numId="7">
    <w:abstractNumId w:val="12"/>
  </w:num>
  <w:num w:numId="8">
    <w:abstractNumId w:val="3"/>
  </w:num>
  <w:num w:numId="9">
    <w:abstractNumId w:val="8"/>
  </w:num>
  <w:num w:numId="10">
    <w:abstractNumId w:val="5"/>
  </w:num>
  <w:num w:numId="11">
    <w:abstractNumId w:val="11"/>
  </w:num>
  <w:num w:numId="12">
    <w:abstractNumId w:val="8"/>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0EBF"/>
    <w:rsid w:val="00011DF6"/>
    <w:rsid w:val="000120DC"/>
    <w:rsid w:val="00014FB5"/>
    <w:rsid w:val="0001597B"/>
    <w:rsid w:val="000164D5"/>
    <w:rsid w:val="00020EC7"/>
    <w:rsid w:val="0002230E"/>
    <w:rsid w:val="000226F3"/>
    <w:rsid w:val="000262B1"/>
    <w:rsid w:val="00026348"/>
    <w:rsid w:val="00026F23"/>
    <w:rsid w:val="000277AC"/>
    <w:rsid w:val="00027C83"/>
    <w:rsid w:val="0003028F"/>
    <w:rsid w:val="00030E97"/>
    <w:rsid w:val="00032A79"/>
    <w:rsid w:val="00032D94"/>
    <w:rsid w:val="0003332D"/>
    <w:rsid w:val="00033FD7"/>
    <w:rsid w:val="000374D7"/>
    <w:rsid w:val="00037DAF"/>
    <w:rsid w:val="000400E4"/>
    <w:rsid w:val="000412FA"/>
    <w:rsid w:val="0004477D"/>
    <w:rsid w:val="0004487D"/>
    <w:rsid w:val="00044EC5"/>
    <w:rsid w:val="00045D86"/>
    <w:rsid w:val="00046AF6"/>
    <w:rsid w:val="0004776E"/>
    <w:rsid w:val="0005085B"/>
    <w:rsid w:val="0005423A"/>
    <w:rsid w:val="00057F54"/>
    <w:rsid w:val="000611E3"/>
    <w:rsid w:val="00061BF6"/>
    <w:rsid w:val="00065C6C"/>
    <w:rsid w:val="00067DFF"/>
    <w:rsid w:val="00070652"/>
    <w:rsid w:val="00074B2B"/>
    <w:rsid w:val="000766E7"/>
    <w:rsid w:val="00080E7A"/>
    <w:rsid w:val="00080EB3"/>
    <w:rsid w:val="00081616"/>
    <w:rsid w:val="000823D3"/>
    <w:rsid w:val="000823D6"/>
    <w:rsid w:val="00082D29"/>
    <w:rsid w:val="0008331F"/>
    <w:rsid w:val="000845CA"/>
    <w:rsid w:val="000851AC"/>
    <w:rsid w:val="000853D4"/>
    <w:rsid w:val="00087894"/>
    <w:rsid w:val="000878FB"/>
    <w:rsid w:val="0009257D"/>
    <w:rsid w:val="00092AEE"/>
    <w:rsid w:val="00092BB7"/>
    <w:rsid w:val="00092C6B"/>
    <w:rsid w:val="00094C16"/>
    <w:rsid w:val="00096425"/>
    <w:rsid w:val="00096ECA"/>
    <w:rsid w:val="0009776B"/>
    <w:rsid w:val="000A080B"/>
    <w:rsid w:val="000A3E94"/>
    <w:rsid w:val="000A6181"/>
    <w:rsid w:val="000A6CF9"/>
    <w:rsid w:val="000B11A5"/>
    <w:rsid w:val="000B187C"/>
    <w:rsid w:val="000B6DD9"/>
    <w:rsid w:val="000B6E1B"/>
    <w:rsid w:val="000C181E"/>
    <w:rsid w:val="000C2DA6"/>
    <w:rsid w:val="000C5541"/>
    <w:rsid w:val="000C6D26"/>
    <w:rsid w:val="000C7564"/>
    <w:rsid w:val="000D0013"/>
    <w:rsid w:val="000D0B6F"/>
    <w:rsid w:val="000D14E2"/>
    <w:rsid w:val="000D17B9"/>
    <w:rsid w:val="000D2CFC"/>
    <w:rsid w:val="000D4AFB"/>
    <w:rsid w:val="000D6DDC"/>
    <w:rsid w:val="000D6E9B"/>
    <w:rsid w:val="000D7158"/>
    <w:rsid w:val="000E01C2"/>
    <w:rsid w:val="000E0639"/>
    <w:rsid w:val="000E19B2"/>
    <w:rsid w:val="000E1C76"/>
    <w:rsid w:val="000E3D86"/>
    <w:rsid w:val="000E568C"/>
    <w:rsid w:val="000E5D32"/>
    <w:rsid w:val="000E6E14"/>
    <w:rsid w:val="000F092E"/>
    <w:rsid w:val="000F4B6C"/>
    <w:rsid w:val="000F50BC"/>
    <w:rsid w:val="000F6249"/>
    <w:rsid w:val="000F6EBE"/>
    <w:rsid w:val="00101CEC"/>
    <w:rsid w:val="001027D6"/>
    <w:rsid w:val="00103109"/>
    <w:rsid w:val="00105248"/>
    <w:rsid w:val="00106E26"/>
    <w:rsid w:val="001115A2"/>
    <w:rsid w:val="001117DE"/>
    <w:rsid w:val="00111C28"/>
    <w:rsid w:val="00113603"/>
    <w:rsid w:val="001153E3"/>
    <w:rsid w:val="00115555"/>
    <w:rsid w:val="00117AE4"/>
    <w:rsid w:val="00120113"/>
    <w:rsid w:val="001214E7"/>
    <w:rsid w:val="00122208"/>
    <w:rsid w:val="00122CEB"/>
    <w:rsid w:val="00123136"/>
    <w:rsid w:val="0012361F"/>
    <w:rsid w:val="00124353"/>
    <w:rsid w:val="00125B97"/>
    <w:rsid w:val="0012657A"/>
    <w:rsid w:val="00126BEC"/>
    <w:rsid w:val="00127234"/>
    <w:rsid w:val="001278B4"/>
    <w:rsid w:val="0013044E"/>
    <w:rsid w:val="00131A69"/>
    <w:rsid w:val="001327CE"/>
    <w:rsid w:val="00132E53"/>
    <w:rsid w:val="00136115"/>
    <w:rsid w:val="00136D8D"/>
    <w:rsid w:val="00137003"/>
    <w:rsid w:val="0013717C"/>
    <w:rsid w:val="00140987"/>
    <w:rsid w:val="001421B4"/>
    <w:rsid w:val="00145622"/>
    <w:rsid w:val="001516CA"/>
    <w:rsid w:val="001524FB"/>
    <w:rsid w:val="00154308"/>
    <w:rsid w:val="00154AC2"/>
    <w:rsid w:val="0015559F"/>
    <w:rsid w:val="00156082"/>
    <w:rsid w:val="00156C9D"/>
    <w:rsid w:val="00160686"/>
    <w:rsid w:val="00160E1C"/>
    <w:rsid w:val="00161352"/>
    <w:rsid w:val="00161830"/>
    <w:rsid w:val="001620E3"/>
    <w:rsid w:val="00162553"/>
    <w:rsid w:val="00162D8E"/>
    <w:rsid w:val="00164598"/>
    <w:rsid w:val="0016482C"/>
    <w:rsid w:val="0016556A"/>
    <w:rsid w:val="001675AF"/>
    <w:rsid w:val="0016771F"/>
    <w:rsid w:val="0017296F"/>
    <w:rsid w:val="001734B4"/>
    <w:rsid w:val="00174317"/>
    <w:rsid w:val="00175545"/>
    <w:rsid w:val="001767A5"/>
    <w:rsid w:val="00176E93"/>
    <w:rsid w:val="00177C18"/>
    <w:rsid w:val="00182A92"/>
    <w:rsid w:val="00182E22"/>
    <w:rsid w:val="00187310"/>
    <w:rsid w:val="00187A96"/>
    <w:rsid w:val="00192716"/>
    <w:rsid w:val="00194831"/>
    <w:rsid w:val="00194B5D"/>
    <w:rsid w:val="001A0A5C"/>
    <w:rsid w:val="001A10BF"/>
    <w:rsid w:val="001A1A56"/>
    <w:rsid w:val="001A2D08"/>
    <w:rsid w:val="001A32C3"/>
    <w:rsid w:val="001A54DD"/>
    <w:rsid w:val="001A5AC8"/>
    <w:rsid w:val="001A61A5"/>
    <w:rsid w:val="001A7D2F"/>
    <w:rsid w:val="001B1E41"/>
    <w:rsid w:val="001B2A07"/>
    <w:rsid w:val="001B2C03"/>
    <w:rsid w:val="001B3B31"/>
    <w:rsid w:val="001B4F4B"/>
    <w:rsid w:val="001B501B"/>
    <w:rsid w:val="001B58E7"/>
    <w:rsid w:val="001B6694"/>
    <w:rsid w:val="001B6D7A"/>
    <w:rsid w:val="001B7936"/>
    <w:rsid w:val="001C22FE"/>
    <w:rsid w:val="001C2FDD"/>
    <w:rsid w:val="001D015A"/>
    <w:rsid w:val="001D30C7"/>
    <w:rsid w:val="001D33DB"/>
    <w:rsid w:val="001D33FA"/>
    <w:rsid w:val="001D36F0"/>
    <w:rsid w:val="001D3DFC"/>
    <w:rsid w:val="001D42DB"/>
    <w:rsid w:val="001D45F5"/>
    <w:rsid w:val="001D5EFC"/>
    <w:rsid w:val="001E02C2"/>
    <w:rsid w:val="001E0A89"/>
    <w:rsid w:val="001E13C0"/>
    <w:rsid w:val="001E1597"/>
    <w:rsid w:val="001E4209"/>
    <w:rsid w:val="001F1D14"/>
    <w:rsid w:val="001F2399"/>
    <w:rsid w:val="001F4D74"/>
    <w:rsid w:val="001F7194"/>
    <w:rsid w:val="001F71BA"/>
    <w:rsid w:val="001F7577"/>
    <w:rsid w:val="0020178D"/>
    <w:rsid w:val="002019F3"/>
    <w:rsid w:val="0020207A"/>
    <w:rsid w:val="00202F22"/>
    <w:rsid w:val="00203BB5"/>
    <w:rsid w:val="00203BD4"/>
    <w:rsid w:val="002046F4"/>
    <w:rsid w:val="00206E92"/>
    <w:rsid w:val="00207D22"/>
    <w:rsid w:val="00212C2E"/>
    <w:rsid w:val="0021395D"/>
    <w:rsid w:val="002141AF"/>
    <w:rsid w:val="00216B81"/>
    <w:rsid w:val="00216F2E"/>
    <w:rsid w:val="00217E92"/>
    <w:rsid w:val="00220529"/>
    <w:rsid w:val="002220C9"/>
    <w:rsid w:val="00223FFD"/>
    <w:rsid w:val="00224032"/>
    <w:rsid w:val="00224AF1"/>
    <w:rsid w:val="00224C0C"/>
    <w:rsid w:val="00224E6E"/>
    <w:rsid w:val="00225CEC"/>
    <w:rsid w:val="00225D70"/>
    <w:rsid w:val="00232B0D"/>
    <w:rsid w:val="00233BF3"/>
    <w:rsid w:val="00233DE0"/>
    <w:rsid w:val="00233E40"/>
    <w:rsid w:val="002368F3"/>
    <w:rsid w:val="00236A37"/>
    <w:rsid w:val="00240576"/>
    <w:rsid w:val="00241313"/>
    <w:rsid w:val="00241AA2"/>
    <w:rsid w:val="00241DC1"/>
    <w:rsid w:val="0024212A"/>
    <w:rsid w:val="00242669"/>
    <w:rsid w:val="00243384"/>
    <w:rsid w:val="002447CA"/>
    <w:rsid w:val="0025080B"/>
    <w:rsid w:val="0025183C"/>
    <w:rsid w:val="00251F32"/>
    <w:rsid w:val="0025264B"/>
    <w:rsid w:val="00252DB1"/>
    <w:rsid w:val="00253ACF"/>
    <w:rsid w:val="00253C9E"/>
    <w:rsid w:val="00253E73"/>
    <w:rsid w:val="0025428A"/>
    <w:rsid w:val="002555D2"/>
    <w:rsid w:val="00257294"/>
    <w:rsid w:val="00257978"/>
    <w:rsid w:val="002619DC"/>
    <w:rsid w:val="00263E2B"/>
    <w:rsid w:val="00266D10"/>
    <w:rsid w:val="002676E8"/>
    <w:rsid w:val="00267705"/>
    <w:rsid w:val="00270B59"/>
    <w:rsid w:val="00270DB3"/>
    <w:rsid w:val="002717C9"/>
    <w:rsid w:val="0027235F"/>
    <w:rsid w:val="00274782"/>
    <w:rsid w:val="0027691A"/>
    <w:rsid w:val="00277D20"/>
    <w:rsid w:val="00280730"/>
    <w:rsid w:val="0028081F"/>
    <w:rsid w:val="00281C61"/>
    <w:rsid w:val="00281DB8"/>
    <w:rsid w:val="00285767"/>
    <w:rsid w:val="0028607C"/>
    <w:rsid w:val="002863CE"/>
    <w:rsid w:val="0029038B"/>
    <w:rsid w:val="0029566F"/>
    <w:rsid w:val="002961B5"/>
    <w:rsid w:val="00296B24"/>
    <w:rsid w:val="00297291"/>
    <w:rsid w:val="002A1185"/>
    <w:rsid w:val="002A208F"/>
    <w:rsid w:val="002A498A"/>
    <w:rsid w:val="002A61B7"/>
    <w:rsid w:val="002A6312"/>
    <w:rsid w:val="002B01AF"/>
    <w:rsid w:val="002B094E"/>
    <w:rsid w:val="002B1E20"/>
    <w:rsid w:val="002B2A94"/>
    <w:rsid w:val="002B2C8C"/>
    <w:rsid w:val="002B3C6D"/>
    <w:rsid w:val="002B4265"/>
    <w:rsid w:val="002B4919"/>
    <w:rsid w:val="002B4B98"/>
    <w:rsid w:val="002B6F4E"/>
    <w:rsid w:val="002B7650"/>
    <w:rsid w:val="002C06E2"/>
    <w:rsid w:val="002C0E94"/>
    <w:rsid w:val="002C26EB"/>
    <w:rsid w:val="002C6C42"/>
    <w:rsid w:val="002C7D70"/>
    <w:rsid w:val="002D179B"/>
    <w:rsid w:val="002D23B9"/>
    <w:rsid w:val="002D3534"/>
    <w:rsid w:val="002D49F7"/>
    <w:rsid w:val="002D63BF"/>
    <w:rsid w:val="002D64A2"/>
    <w:rsid w:val="002E0400"/>
    <w:rsid w:val="002E0B58"/>
    <w:rsid w:val="002E103D"/>
    <w:rsid w:val="002E1A01"/>
    <w:rsid w:val="002E1A0D"/>
    <w:rsid w:val="002E6173"/>
    <w:rsid w:val="002E6DB6"/>
    <w:rsid w:val="002F002B"/>
    <w:rsid w:val="002F0163"/>
    <w:rsid w:val="002F06AC"/>
    <w:rsid w:val="002F06DF"/>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0D67"/>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47A8D"/>
    <w:rsid w:val="00352286"/>
    <w:rsid w:val="00352435"/>
    <w:rsid w:val="003529EF"/>
    <w:rsid w:val="003537B4"/>
    <w:rsid w:val="00355366"/>
    <w:rsid w:val="003555BB"/>
    <w:rsid w:val="003623C4"/>
    <w:rsid w:val="003629B6"/>
    <w:rsid w:val="00362BFF"/>
    <w:rsid w:val="003640C8"/>
    <w:rsid w:val="00364C11"/>
    <w:rsid w:val="00371225"/>
    <w:rsid w:val="003721AD"/>
    <w:rsid w:val="003747F7"/>
    <w:rsid w:val="00376086"/>
    <w:rsid w:val="003761D9"/>
    <w:rsid w:val="00380608"/>
    <w:rsid w:val="00380E0A"/>
    <w:rsid w:val="0038171D"/>
    <w:rsid w:val="00382546"/>
    <w:rsid w:val="00382EAD"/>
    <w:rsid w:val="00383B9A"/>
    <w:rsid w:val="00383DC5"/>
    <w:rsid w:val="00385EED"/>
    <w:rsid w:val="003864EF"/>
    <w:rsid w:val="00386A43"/>
    <w:rsid w:val="00390B58"/>
    <w:rsid w:val="00391166"/>
    <w:rsid w:val="00394851"/>
    <w:rsid w:val="00395F41"/>
    <w:rsid w:val="003967DF"/>
    <w:rsid w:val="0039717A"/>
    <w:rsid w:val="003A0F06"/>
    <w:rsid w:val="003A156E"/>
    <w:rsid w:val="003A291C"/>
    <w:rsid w:val="003A3DE2"/>
    <w:rsid w:val="003A4860"/>
    <w:rsid w:val="003A4D47"/>
    <w:rsid w:val="003A6435"/>
    <w:rsid w:val="003A7D32"/>
    <w:rsid w:val="003B0E4F"/>
    <w:rsid w:val="003B1966"/>
    <w:rsid w:val="003B221E"/>
    <w:rsid w:val="003B5B25"/>
    <w:rsid w:val="003B60CA"/>
    <w:rsid w:val="003B7BDD"/>
    <w:rsid w:val="003C0CBE"/>
    <w:rsid w:val="003C1344"/>
    <w:rsid w:val="003C3421"/>
    <w:rsid w:val="003C3E1A"/>
    <w:rsid w:val="003C5D0A"/>
    <w:rsid w:val="003D1987"/>
    <w:rsid w:val="003D3431"/>
    <w:rsid w:val="003D3AE8"/>
    <w:rsid w:val="003D69A7"/>
    <w:rsid w:val="003E1308"/>
    <w:rsid w:val="003F07E8"/>
    <w:rsid w:val="003F472F"/>
    <w:rsid w:val="003F79EC"/>
    <w:rsid w:val="00400129"/>
    <w:rsid w:val="004005D9"/>
    <w:rsid w:val="00400A5A"/>
    <w:rsid w:val="004048C6"/>
    <w:rsid w:val="00407AE9"/>
    <w:rsid w:val="004120C7"/>
    <w:rsid w:val="0041257F"/>
    <w:rsid w:val="00412690"/>
    <w:rsid w:val="0042193A"/>
    <w:rsid w:val="0042205E"/>
    <w:rsid w:val="004221E4"/>
    <w:rsid w:val="0042337E"/>
    <w:rsid w:val="004267DE"/>
    <w:rsid w:val="00430ABD"/>
    <w:rsid w:val="00431631"/>
    <w:rsid w:val="00432FD5"/>
    <w:rsid w:val="00434883"/>
    <w:rsid w:val="00434C5D"/>
    <w:rsid w:val="004350F6"/>
    <w:rsid w:val="00435115"/>
    <w:rsid w:val="0044076C"/>
    <w:rsid w:val="00441028"/>
    <w:rsid w:val="004426E8"/>
    <w:rsid w:val="00444432"/>
    <w:rsid w:val="00445D0A"/>
    <w:rsid w:val="00450DBC"/>
    <w:rsid w:val="0045177C"/>
    <w:rsid w:val="00451896"/>
    <w:rsid w:val="00451B7B"/>
    <w:rsid w:val="0045292A"/>
    <w:rsid w:val="004540ED"/>
    <w:rsid w:val="00454843"/>
    <w:rsid w:val="004564BC"/>
    <w:rsid w:val="004565C7"/>
    <w:rsid w:val="00460176"/>
    <w:rsid w:val="00461D55"/>
    <w:rsid w:val="004627B9"/>
    <w:rsid w:val="00464BF1"/>
    <w:rsid w:val="00465D68"/>
    <w:rsid w:val="00465E53"/>
    <w:rsid w:val="00466329"/>
    <w:rsid w:val="00473219"/>
    <w:rsid w:val="004767D2"/>
    <w:rsid w:val="00477DCC"/>
    <w:rsid w:val="00477FFA"/>
    <w:rsid w:val="004813B2"/>
    <w:rsid w:val="00481D66"/>
    <w:rsid w:val="00482B7B"/>
    <w:rsid w:val="00483579"/>
    <w:rsid w:val="004835F4"/>
    <w:rsid w:val="004836B2"/>
    <w:rsid w:val="00486F3F"/>
    <w:rsid w:val="00487B6B"/>
    <w:rsid w:val="004919CC"/>
    <w:rsid w:val="004928CB"/>
    <w:rsid w:val="00492941"/>
    <w:rsid w:val="00495AFF"/>
    <w:rsid w:val="00495E14"/>
    <w:rsid w:val="00496183"/>
    <w:rsid w:val="004975D0"/>
    <w:rsid w:val="004A08FC"/>
    <w:rsid w:val="004A3439"/>
    <w:rsid w:val="004B1364"/>
    <w:rsid w:val="004B2C5B"/>
    <w:rsid w:val="004B5104"/>
    <w:rsid w:val="004B5797"/>
    <w:rsid w:val="004B5B94"/>
    <w:rsid w:val="004B6304"/>
    <w:rsid w:val="004B64B3"/>
    <w:rsid w:val="004B6AF3"/>
    <w:rsid w:val="004C0179"/>
    <w:rsid w:val="004C0905"/>
    <w:rsid w:val="004C0CEF"/>
    <w:rsid w:val="004C0D41"/>
    <w:rsid w:val="004C10F1"/>
    <w:rsid w:val="004C3F71"/>
    <w:rsid w:val="004C61F5"/>
    <w:rsid w:val="004D14C1"/>
    <w:rsid w:val="004D2C46"/>
    <w:rsid w:val="004D3578"/>
    <w:rsid w:val="004D4D9F"/>
    <w:rsid w:val="004D6BA6"/>
    <w:rsid w:val="004E13F9"/>
    <w:rsid w:val="004E2983"/>
    <w:rsid w:val="004E2ED7"/>
    <w:rsid w:val="004E3BA4"/>
    <w:rsid w:val="004E4E81"/>
    <w:rsid w:val="004E4E9F"/>
    <w:rsid w:val="004E5FED"/>
    <w:rsid w:val="004E67DB"/>
    <w:rsid w:val="004F1558"/>
    <w:rsid w:val="004F1934"/>
    <w:rsid w:val="004F1E84"/>
    <w:rsid w:val="00500925"/>
    <w:rsid w:val="005013FE"/>
    <w:rsid w:val="005042D1"/>
    <w:rsid w:val="00506098"/>
    <w:rsid w:val="00506161"/>
    <w:rsid w:val="0050659B"/>
    <w:rsid w:val="00506889"/>
    <w:rsid w:val="00510050"/>
    <w:rsid w:val="00512D6B"/>
    <w:rsid w:val="00512FF6"/>
    <w:rsid w:val="005153F7"/>
    <w:rsid w:val="0052216B"/>
    <w:rsid w:val="005224C1"/>
    <w:rsid w:val="0052338B"/>
    <w:rsid w:val="00523D4C"/>
    <w:rsid w:val="00524713"/>
    <w:rsid w:val="005275F9"/>
    <w:rsid w:val="00530F68"/>
    <w:rsid w:val="0053153F"/>
    <w:rsid w:val="00532F2D"/>
    <w:rsid w:val="005339D0"/>
    <w:rsid w:val="00534E75"/>
    <w:rsid w:val="00536954"/>
    <w:rsid w:val="005379BC"/>
    <w:rsid w:val="00540606"/>
    <w:rsid w:val="00541870"/>
    <w:rsid w:val="0054297E"/>
    <w:rsid w:val="005436EC"/>
    <w:rsid w:val="005447C5"/>
    <w:rsid w:val="00544A37"/>
    <w:rsid w:val="005455AF"/>
    <w:rsid w:val="005455B0"/>
    <w:rsid w:val="005504A7"/>
    <w:rsid w:val="0055263D"/>
    <w:rsid w:val="00552E2B"/>
    <w:rsid w:val="0055303C"/>
    <w:rsid w:val="00553369"/>
    <w:rsid w:val="00553731"/>
    <w:rsid w:val="00554574"/>
    <w:rsid w:val="0055553F"/>
    <w:rsid w:val="0056150F"/>
    <w:rsid w:val="005678E0"/>
    <w:rsid w:val="005729F4"/>
    <w:rsid w:val="00572E82"/>
    <w:rsid w:val="005754C3"/>
    <w:rsid w:val="00575630"/>
    <w:rsid w:val="00575C7F"/>
    <w:rsid w:val="00576F58"/>
    <w:rsid w:val="00576F5E"/>
    <w:rsid w:val="005773B2"/>
    <w:rsid w:val="00577D19"/>
    <w:rsid w:val="0058062A"/>
    <w:rsid w:val="005834AE"/>
    <w:rsid w:val="00585920"/>
    <w:rsid w:val="0058666A"/>
    <w:rsid w:val="00586BEF"/>
    <w:rsid w:val="005875EC"/>
    <w:rsid w:val="00590434"/>
    <w:rsid w:val="00594050"/>
    <w:rsid w:val="0059432A"/>
    <w:rsid w:val="0059452A"/>
    <w:rsid w:val="005956E9"/>
    <w:rsid w:val="005963CF"/>
    <w:rsid w:val="005A0ABD"/>
    <w:rsid w:val="005A0BC9"/>
    <w:rsid w:val="005A163F"/>
    <w:rsid w:val="005A2195"/>
    <w:rsid w:val="005A2637"/>
    <w:rsid w:val="005A37E5"/>
    <w:rsid w:val="005A4497"/>
    <w:rsid w:val="005A5BBA"/>
    <w:rsid w:val="005A5F08"/>
    <w:rsid w:val="005A60B4"/>
    <w:rsid w:val="005A7A64"/>
    <w:rsid w:val="005B0719"/>
    <w:rsid w:val="005B0E8E"/>
    <w:rsid w:val="005B1D33"/>
    <w:rsid w:val="005B2E22"/>
    <w:rsid w:val="005B31D7"/>
    <w:rsid w:val="005B485C"/>
    <w:rsid w:val="005B4E77"/>
    <w:rsid w:val="005B5427"/>
    <w:rsid w:val="005B56F7"/>
    <w:rsid w:val="005B5CA8"/>
    <w:rsid w:val="005B680B"/>
    <w:rsid w:val="005B6889"/>
    <w:rsid w:val="005B68FA"/>
    <w:rsid w:val="005B7492"/>
    <w:rsid w:val="005B7E46"/>
    <w:rsid w:val="005C0C18"/>
    <w:rsid w:val="005C0D63"/>
    <w:rsid w:val="005C2088"/>
    <w:rsid w:val="005C41F6"/>
    <w:rsid w:val="005C48C1"/>
    <w:rsid w:val="005C7059"/>
    <w:rsid w:val="005D189A"/>
    <w:rsid w:val="005D4DA7"/>
    <w:rsid w:val="005D585C"/>
    <w:rsid w:val="005D6963"/>
    <w:rsid w:val="005E3212"/>
    <w:rsid w:val="005E45D8"/>
    <w:rsid w:val="005E4855"/>
    <w:rsid w:val="005E7AEF"/>
    <w:rsid w:val="005F18D4"/>
    <w:rsid w:val="005F2383"/>
    <w:rsid w:val="005F44A0"/>
    <w:rsid w:val="005F48A6"/>
    <w:rsid w:val="005F57A1"/>
    <w:rsid w:val="005F65A1"/>
    <w:rsid w:val="005F7741"/>
    <w:rsid w:val="00600788"/>
    <w:rsid w:val="00600BA3"/>
    <w:rsid w:val="00601E56"/>
    <w:rsid w:val="00605C5D"/>
    <w:rsid w:val="006106F0"/>
    <w:rsid w:val="006110E7"/>
    <w:rsid w:val="00612DC2"/>
    <w:rsid w:val="006135FD"/>
    <w:rsid w:val="00613A8D"/>
    <w:rsid w:val="00617017"/>
    <w:rsid w:val="006212F9"/>
    <w:rsid w:val="00622494"/>
    <w:rsid w:val="00624A82"/>
    <w:rsid w:val="0062747C"/>
    <w:rsid w:val="0062751F"/>
    <w:rsid w:val="0063253B"/>
    <w:rsid w:val="00633136"/>
    <w:rsid w:val="00634EC8"/>
    <w:rsid w:val="00636E70"/>
    <w:rsid w:val="0064020E"/>
    <w:rsid w:val="006410E2"/>
    <w:rsid w:val="0064160C"/>
    <w:rsid w:val="0064209A"/>
    <w:rsid w:val="00642970"/>
    <w:rsid w:val="006429DE"/>
    <w:rsid w:val="00645BA9"/>
    <w:rsid w:val="00646B73"/>
    <w:rsid w:val="00647307"/>
    <w:rsid w:val="006501CB"/>
    <w:rsid w:val="00650A3C"/>
    <w:rsid w:val="00651415"/>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71B"/>
    <w:rsid w:val="006768F0"/>
    <w:rsid w:val="00676C10"/>
    <w:rsid w:val="00677078"/>
    <w:rsid w:val="006775B7"/>
    <w:rsid w:val="00677C07"/>
    <w:rsid w:val="006831FB"/>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3E85"/>
    <w:rsid w:val="006A6601"/>
    <w:rsid w:val="006B0A42"/>
    <w:rsid w:val="006B19DF"/>
    <w:rsid w:val="006B2EA9"/>
    <w:rsid w:val="006B3A13"/>
    <w:rsid w:val="006B3AF2"/>
    <w:rsid w:val="006B3CB5"/>
    <w:rsid w:val="006B3E83"/>
    <w:rsid w:val="006C0A70"/>
    <w:rsid w:val="006C2008"/>
    <w:rsid w:val="006C2696"/>
    <w:rsid w:val="006C4076"/>
    <w:rsid w:val="006C4193"/>
    <w:rsid w:val="006C61E8"/>
    <w:rsid w:val="006D01AF"/>
    <w:rsid w:val="006D1884"/>
    <w:rsid w:val="006D1E56"/>
    <w:rsid w:val="006D65EC"/>
    <w:rsid w:val="006E074A"/>
    <w:rsid w:val="006E1C67"/>
    <w:rsid w:val="006E26DC"/>
    <w:rsid w:val="006E52B8"/>
    <w:rsid w:val="006E675F"/>
    <w:rsid w:val="006E68CA"/>
    <w:rsid w:val="006F32FB"/>
    <w:rsid w:val="006F3E66"/>
    <w:rsid w:val="00700FD6"/>
    <w:rsid w:val="00705D83"/>
    <w:rsid w:val="0071201C"/>
    <w:rsid w:val="00712177"/>
    <w:rsid w:val="00712983"/>
    <w:rsid w:val="00713CD7"/>
    <w:rsid w:val="00714847"/>
    <w:rsid w:val="00715C09"/>
    <w:rsid w:val="00717F9B"/>
    <w:rsid w:val="00720037"/>
    <w:rsid w:val="00720CD3"/>
    <w:rsid w:val="0072112F"/>
    <w:rsid w:val="007253C3"/>
    <w:rsid w:val="00730047"/>
    <w:rsid w:val="0073009C"/>
    <w:rsid w:val="007316BB"/>
    <w:rsid w:val="00731B6F"/>
    <w:rsid w:val="00731E05"/>
    <w:rsid w:val="00736FB9"/>
    <w:rsid w:val="00737562"/>
    <w:rsid w:val="007424FC"/>
    <w:rsid w:val="007443AD"/>
    <w:rsid w:val="007540ED"/>
    <w:rsid w:val="00754B1D"/>
    <w:rsid w:val="00756671"/>
    <w:rsid w:val="0075719A"/>
    <w:rsid w:val="00762254"/>
    <w:rsid w:val="0076333E"/>
    <w:rsid w:val="00764BFF"/>
    <w:rsid w:val="00767284"/>
    <w:rsid w:val="00771B91"/>
    <w:rsid w:val="007737E3"/>
    <w:rsid w:val="007748DA"/>
    <w:rsid w:val="0077685A"/>
    <w:rsid w:val="00776A31"/>
    <w:rsid w:val="0078013F"/>
    <w:rsid w:val="007802A4"/>
    <w:rsid w:val="007824F4"/>
    <w:rsid w:val="0078345F"/>
    <w:rsid w:val="00783AB1"/>
    <w:rsid w:val="00784109"/>
    <w:rsid w:val="00785356"/>
    <w:rsid w:val="00785FC5"/>
    <w:rsid w:val="0078631B"/>
    <w:rsid w:val="00786A1E"/>
    <w:rsid w:val="00787417"/>
    <w:rsid w:val="0078760B"/>
    <w:rsid w:val="00791A2B"/>
    <w:rsid w:val="00792EE9"/>
    <w:rsid w:val="0079355A"/>
    <w:rsid w:val="00794BD8"/>
    <w:rsid w:val="00795445"/>
    <w:rsid w:val="0079572A"/>
    <w:rsid w:val="00795D79"/>
    <w:rsid w:val="0079732B"/>
    <w:rsid w:val="007A1121"/>
    <w:rsid w:val="007A1122"/>
    <w:rsid w:val="007A15A6"/>
    <w:rsid w:val="007A2531"/>
    <w:rsid w:val="007A278E"/>
    <w:rsid w:val="007B0955"/>
    <w:rsid w:val="007B11F2"/>
    <w:rsid w:val="007B1851"/>
    <w:rsid w:val="007B232E"/>
    <w:rsid w:val="007B358E"/>
    <w:rsid w:val="007B3C38"/>
    <w:rsid w:val="007B5E2F"/>
    <w:rsid w:val="007B6635"/>
    <w:rsid w:val="007C0099"/>
    <w:rsid w:val="007C37DF"/>
    <w:rsid w:val="007C6288"/>
    <w:rsid w:val="007C6507"/>
    <w:rsid w:val="007D05D4"/>
    <w:rsid w:val="007D06A5"/>
    <w:rsid w:val="007D085C"/>
    <w:rsid w:val="007D0908"/>
    <w:rsid w:val="007D1100"/>
    <w:rsid w:val="007D2280"/>
    <w:rsid w:val="007D3EF7"/>
    <w:rsid w:val="007D6B5F"/>
    <w:rsid w:val="007D6FC5"/>
    <w:rsid w:val="007E0367"/>
    <w:rsid w:val="007E1111"/>
    <w:rsid w:val="007E1865"/>
    <w:rsid w:val="007E5614"/>
    <w:rsid w:val="007F0754"/>
    <w:rsid w:val="007F3198"/>
    <w:rsid w:val="007F36AF"/>
    <w:rsid w:val="007F515C"/>
    <w:rsid w:val="007F5D81"/>
    <w:rsid w:val="008009B8"/>
    <w:rsid w:val="00800CEA"/>
    <w:rsid w:val="00807AD4"/>
    <w:rsid w:val="008104E0"/>
    <w:rsid w:val="00812DCE"/>
    <w:rsid w:val="0081387C"/>
    <w:rsid w:val="00817296"/>
    <w:rsid w:val="00817512"/>
    <w:rsid w:val="00822194"/>
    <w:rsid w:val="00822D26"/>
    <w:rsid w:val="008245C1"/>
    <w:rsid w:val="008269F5"/>
    <w:rsid w:val="00830105"/>
    <w:rsid w:val="0083053E"/>
    <w:rsid w:val="00830CE8"/>
    <w:rsid w:val="008317F6"/>
    <w:rsid w:val="00831B5E"/>
    <w:rsid w:val="00831F36"/>
    <w:rsid w:val="0083256C"/>
    <w:rsid w:val="0083338E"/>
    <w:rsid w:val="00833A44"/>
    <w:rsid w:val="0083519D"/>
    <w:rsid w:val="00843016"/>
    <w:rsid w:val="00844420"/>
    <w:rsid w:val="00845A34"/>
    <w:rsid w:val="00846E1E"/>
    <w:rsid w:val="00850445"/>
    <w:rsid w:val="00850C6E"/>
    <w:rsid w:val="008543C2"/>
    <w:rsid w:val="008546D7"/>
    <w:rsid w:val="0085594F"/>
    <w:rsid w:val="0085766D"/>
    <w:rsid w:val="008630EC"/>
    <w:rsid w:val="00864888"/>
    <w:rsid w:val="00866791"/>
    <w:rsid w:val="00866B63"/>
    <w:rsid w:val="00870EAA"/>
    <w:rsid w:val="00874FE0"/>
    <w:rsid w:val="008769D5"/>
    <w:rsid w:val="008800A1"/>
    <w:rsid w:val="008824B5"/>
    <w:rsid w:val="00882EE9"/>
    <w:rsid w:val="00883131"/>
    <w:rsid w:val="008834B2"/>
    <w:rsid w:val="00883A3E"/>
    <w:rsid w:val="008848CF"/>
    <w:rsid w:val="00885B2F"/>
    <w:rsid w:val="008866ED"/>
    <w:rsid w:val="008868A5"/>
    <w:rsid w:val="0089080A"/>
    <w:rsid w:val="00890A80"/>
    <w:rsid w:val="008926E5"/>
    <w:rsid w:val="008926F3"/>
    <w:rsid w:val="00892DB3"/>
    <w:rsid w:val="00893533"/>
    <w:rsid w:val="00894FAD"/>
    <w:rsid w:val="008955F6"/>
    <w:rsid w:val="008957C5"/>
    <w:rsid w:val="00896014"/>
    <w:rsid w:val="0089614B"/>
    <w:rsid w:val="00896556"/>
    <w:rsid w:val="00896BE6"/>
    <w:rsid w:val="00896FD6"/>
    <w:rsid w:val="00897BD9"/>
    <w:rsid w:val="008A04D3"/>
    <w:rsid w:val="008A0C76"/>
    <w:rsid w:val="008A20CA"/>
    <w:rsid w:val="008A4605"/>
    <w:rsid w:val="008A618B"/>
    <w:rsid w:val="008A663F"/>
    <w:rsid w:val="008B05F2"/>
    <w:rsid w:val="008B0636"/>
    <w:rsid w:val="008B1531"/>
    <w:rsid w:val="008B2EE5"/>
    <w:rsid w:val="008B3C82"/>
    <w:rsid w:val="008B41E0"/>
    <w:rsid w:val="008B5C5C"/>
    <w:rsid w:val="008B64C9"/>
    <w:rsid w:val="008C1795"/>
    <w:rsid w:val="008C4597"/>
    <w:rsid w:val="008C4B0D"/>
    <w:rsid w:val="008C7511"/>
    <w:rsid w:val="008C75D3"/>
    <w:rsid w:val="008C79A2"/>
    <w:rsid w:val="008D01F6"/>
    <w:rsid w:val="008D1E94"/>
    <w:rsid w:val="008D373A"/>
    <w:rsid w:val="008D484C"/>
    <w:rsid w:val="008D53F2"/>
    <w:rsid w:val="008D68A5"/>
    <w:rsid w:val="008E19F3"/>
    <w:rsid w:val="008E3B44"/>
    <w:rsid w:val="008E58ED"/>
    <w:rsid w:val="008E6712"/>
    <w:rsid w:val="008E6AA0"/>
    <w:rsid w:val="008F0A7A"/>
    <w:rsid w:val="008F2226"/>
    <w:rsid w:val="008F25C5"/>
    <w:rsid w:val="008F4980"/>
    <w:rsid w:val="008F6707"/>
    <w:rsid w:val="008F6AAF"/>
    <w:rsid w:val="008F715C"/>
    <w:rsid w:val="008F7A61"/>
    <w:rsid w:val="00900951"/>
    <w:rsid w:val="00901813"/>
    <w:rsid w:val="00903020"/>
    <w:rsid w:val="00906176"/>
    <w:rsid w:val="0090637E"/>
    <w:rsid w:val="00906E67"/>
    <w:rsid w:val="00914002"/>
    <w:rsid w:val="00915ADA"/>
    <w:rsid w:val="009161BE"/>
    <w:rsid w:val="009161F5"/>
    <w:rsid w:val="00917F21"/>
    <w:rsid w:val="009213AE"/>
    <w:rsid w:val="009222C9"/>
    <w:rsid w:val="00922BC9"/>
    <w:rsid w:val="0092316F"/>
    <w:rsid w:val="00926825"/>
    <w:rsid w:val="009268FC"/>
    <w:rsid w:val="00926A98"/>
    <w:rsid w:val="00932625"/>
    <w:rsid w:val="00932ACD"/>
    <w:rsid w:val="00933256"/>
    <w:rsid w:val="009340FD"/>
    <w:rsid w:val="00934141"/>
    <w:rsid w:val="009344C2"/>
    <w:rsid w:val="009345C9"/>
    <w:rsid w:val="0093538A"/>
    <w:rsid w:val="00941295"/>
    <w:rsid w:val="009434D0"/>
    <w:rsid w:val="0094705C"/>
    <w:rsid w:val="009514FE"/>
    <w:rsid w:val="00952F66"/>
    <w:rsid w:val="00957B41"/>
    <w:rsid w:val="00961519"/>
    <w:rsid w:val="00962FD2"/>
    <w:rsid w:val="009632AA"/>
    <w:rsid w:val="009644A2"/>
    <w:rsid w:val="00967162"/>
    <w:rsid w:val="009715F0"/>
    <w:rsid w:val="00971DE7"/>
    <w:rsid w:val="00973C62"/>
    <w:rsid w:val="0097419E"/>
    <w:rsid w:val="00974A97"/>
    <w:rsid w:val="009751D1"/>
    <w:rsid w:val="0097696C"/>
    <w:rsid w:val="00977B41"/>
    <w:rsid w:val="00977D76"/>
    <w:rsid w:val="009808FE"/>
    <w:rsid w:val="00982987"/>
    <w:rsid w:val="00985386"/>
    <w:rsid w:val="00990318"/>
    <w:rsid w:val="0099489F"/>
    <w:rsid w:val="00994B64"/>
    <w:rsid w:val="009955B3"/>
    <w:rsid w:val="00996D72"/>
    <w:rsid w:val="009A455E"/>
    <w:rsid w:val="009A4D99"/>
    <w:rsid w:val="009A53B7"/>
    <w:rsid w:val="009A544A"/>
    <w:rsid w:val="009A69B1"/>
    <w:rsid w:val="009A6CDB"/>
    <w:rsid w:val="009B0A81"/>
    <w:rsid w:val="009B0CA9"/>
    <w:rsid w:val="009B301F"/>
    <w:rsid w:val="009B52C2"/>
    <w:rsid w:val="009B604B"/>
    <w:rsid w:val="009B7073"/>
    <w:rsid w:val="009C063D"/>
    <w:rsid w:val="009C0ECA"/>
    <w:rsid w:val="009C283B"/>
    <w:rsid w:val="009C2B04"/>
    <w:rsid w:val="009C3544"/>
    <w:rsid w:val="009C45BA"/>
    <w:rsid w:val="009D2D28"/>
    <w:rsid w:val="009D4B75"/>
    <w:rsid w:val="009D6924"/>
    <w:rsid w:val="009D7AFB"/>
    <w:rsid w:val="009E055E"/>
    <w:rsid w:val="009E0C76"/>
    <w:rsid w:val="009E1258"/>
    <w:rsid w:val="009E22C3"/>
    <w:rsid w:val="009E250D"/>
    <w:rsid w:val="009E2724"/>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581C"/>
    <w:rsid w:val="00A069E2"/>
    <w:rsid w:val="00A073C7"/>
    <w:rsid w:val="00A07431"/>
    <w:rsid w:val="00A07A9F"/>
    <w:rsid w:val="00A11B93"/>
    <w:rsid w:val="00A11C90"/>
    <w:rsid w:val="00A12821"/>
    <w:rsid w:val="00A12DE6"/>
    <w:rsid w:val="00A14FC9"/>
    <w:rsid w:val="00A15C79"/>
    <w:rsid w:val="00A204D6"/>
    <w:rsid w:val="00A2066F"/>
    <w:rsid w:val="00A21C37"/>
    <w:rsid w:val="00A23C45"/>
    <w:rsid w:val="00A25B10"/>
    <w:rsid w:val="00A26B19"/>
    <w:rsid w:val="00A331C7"/>
    <w:rsid w:val="00A33653"/>
    <w:rsid w:val="00A36260"/>
    <w:rsid w:val="00A36D79"/>
    <w:rsid w:val="00A37A20"/>
    <w:rsid w:val="00A37AD0"/>
    <w:rsid w:val="00A4508B"/>
    <w:rsid w:val="00A4618A"/>
    <w:rsid w:val="00A53205"/>
    <w:rsid w:val="00A5429B"/>
    <w:rsid w:val="00A553A9"/>
    <w:rsid w:val="00A61F80"/>
    <w:rsid w:val="00A62566"/>
    <w:rsid w:val="00A62CCA"/>
    <w:rsid w:val="00A641DB"/>
    <w:rsid w:val="00A6536F"/>
    <w:rsid w:val="00A65B9D"/>
    <w:rsid w:val="00A70932"/>
    <w:rsid w:val="00A719A5"/>
    <w:rsid w:val="00A72732"/>
    <w:rsid w:val="00A72A74"/>
    <w:rsid w:val="00A72F83"/>
    <w:rsid w:val="00A7372B"/>
    <w:rsid w:val="00A74A1E"/>
    <w:rsid w:val="00A7509B"/>
    <w:rsid w:val="00A7796E"/>
    <w:rsid w:val="00A77F44"/>
    <w:rsid w:val="00A803EF"/>
    <w:rsid w:val="00A86656"/>
    <w:rsid w:val="00A87B14"/>
    <w:rsid w:val="00A93638"/>
    <w:rsid w:val="00A95DA9"/>
    <w:rsid w:val="00A97D07"/>
    <w:rsid w:val="00AA0737"/>
    <w:rsid w:val="00AA218A"/>
    <w:rsid w:val="00AA48E7"/>
    <w:rsid w:val="00AB0673"/>
    <w:rsid w:val="00AB3D30"/>
    <w:rsid w:val="00AB4596"/>
    <w:rsid w:val="00AB4794"/>
    <w:rsid w:val="00AB4842"/>
    <w:rsid w:val="00AB7BAF"/>
    <w:rsid w:val="00AB7CCF"/>
    <w:rsid w:val="00AC2D2E"/>
    <w:rsid w:val="00AC614D"/>
    <w:rsid w:val="00AC7F1C"/>
    <w:rsid w:val="00AD0F3F"/>
    <w:rsid w:val="00AD2AC3"/>
    <w:rsid w:val="00AD4EA3"/>
    <w:rsid w:val="00AD7FC9"/>
    <w:rsid w:val="00AE05ED"/>
    <w:rsid w:val="00AE44CB"/>
    <w:rsid w:val="00AE55D4"/>
    <w:rsid w:val="00AE72D7"/>
    <w:rsid w:val="00AF05BB"/>
    <w:rsid w:val="00AF1038"/>
    <w:rsid w:val="00AF113B"/>
    <w:rsid w:val="00AF2633"/>
    <w:rsid w:val="00AF74AF"/>
    <w:rsid w:val="00B01F39"/>
    <w:rsid w:val="00B037AF"/>
    <w:rsid w:val="00B05862"/>
    <w:rsid w:val="00B05A4B"/>
    <w:rsid w:val="00B07D3B"/>
    <w:rsid w:val="00B11974"/>
    <w:rsid w:val="00B1264B"/>
    <w:rsid w:val="00B12CF8"/>
    <w:rsid w:val="00B15519"/>
    <w:rsid w:val="00B15922"/>
    <w:rsid w:val="00B2198E"/>
    <w:rsid w:val="00B244B9"/>
    <w:rsid w:val="00B24985"/>
    <w:rsid w:val="00B27178"/>
    <w:rsid w:val="00B277DA"/>
    <w:rsid w:val="00B30A9E"/>
    <w:rsid w:val="00B3265A"/>
    <w:rsid w:val="00B32817"/>
    <w:rsid w:val="00B33E8E"/>
    <w:rsid w:val="00B346ED"/>
    <w:rsid w:val="00B36901"/>
    <w:rsid w:val="00B37F41"/>
    <w:rsid w:val="00B4245F"/>
    <w:rsid w:val="00B43ABC"/>
    <w:rsid w:val="00B4468E"/>
    <w:rsid w:val="00B470FB"/>
    <w:rsid w:val="00B479EB"/>
    <w:rsid w:val="00B507D2"/>
    <w:rsid w:val="00B51125"/>
    <w:rsid w:val="00B52CDF"/>
    <w:rsid w:val="00B5755F"/>
    <w:rsid w:val="00B65A3B"/>
    <w:rsid w:val="00B66DE0"/>
    <w:rsid w:val="00B7263A"/>
    <w:rsid w:val="00B72652"/>
    <w:rsid w:val="00B8133C"/>
    <w:rsid w:val="00B815A3"/>
    <w:rsid w:val="00B85C55"/>
    <w:rsid w:val="00B85CBF"/>
    <w:rsid w:val="00B90B23"/>
    <w:rsid w:val="00B91CEE"/>
    <w:rsid w:val="00B94777"/>
    <w:rsid w:val="00B9592E"/>
    <w:rsid w:val="00B95BB2"/>
    <w:rsid w:val="00B95EBA"/>
    <w:rsid w:val="00B96E03"/>
    <w:rsid w:val="00B97985"/>
    <w:rsid w:val="00BA0BC1"/>
    <w:rsid w:val="00BA1D82"/>
    <w:rsid w:val="00BA1FA3"/>
    <w:rsid w:val="00BA23D8"/>
    <w:rsid w:val="00BA27DA"/>
    <w:rsid w:val="00BA2A8A"/>
    <w:rsid w:val="00BA4230"/>
    <w:rsid w:val="00BA45FD"/>
    <w:rsid w:val="00BA5B9C"/>
    <w:rsid w:val="00BA7722"/>
    <w:rsid w:val="00BB4512"/>
    <w:rsid w:val="00BB4D49"/>
    <w:rsid w:val="00BB51F4"/>
    <w:rsid w:val="00BB56EB"/>
    <w:rsid w:val="00BB58F0"/>
    <w:rsid w:val="00BB6439"/>
    <w:rsid w:val="00BB675F"/>
    <w:rsid w:val="00BC133F"/>
    <w:rsid w:val="00BC1530"/>
    <w:rsid w:val="00BC19C9"/>
    <w:rsid w:val="00BC1D75"/>
    <w:rsid w:val="00BC1D83"/>
    <w:rsid w:val="00BD05E4"/>
    <w:rsid w:val="00BD0936"/>
    <w:rsid w:val="00BD11E2"/>
    <w:rsid w:val="00BD17B0"/>
    <w:rsid w:val="00BD3267"/>
    <w:rsid w:val="00BD3715"/>
    <w:rsid w:val="00BD4630"/>
    <w:rsid w:val="00BD4EBD"/>
    <w:rsid w:val="00BD59F0"/>
    <w:rsid w:val="00BD5A47"/>
    <w:rsid w:val="00BD5DB4"/>
    <w:rsid w:val="00BD6E76"/>
    <w:rsid w:val="00BD702E"/>
    <w:rsid w:val="00BE07F9"/>
    <w:rsid w:val="00BE1A13"/>
    <w:rsid w:val="00BE6717"/>
    <w:rsid w:val="00BF1148"/>
    <w:rsid w:val="00BF1811"/>
    <w:rsid w:val="00BF36AE"/>
    <w:rsid w:val="00BF4092"/>
    <w:rsid w:val="00BF44A8"/>
    <w:rsid w:val="00BF44F1"/>
    <w:rsid w:val="00BF4CD9"/>
    <w:rsid w:val="00BF688B"/>
    <w:rsid w:val="00C00EEF"/>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356C0"/>
    <w:rsid w:val="00C36E55"/>
    <w:rsid w:val="00C4086A"/>
    <w:rsid w:val="00C42CA5"/>
    <w:rsid w:val="00C42FAF"/>
    <w:rsid w:val="00C456DD"/>
    <w:rsid w:val="00C47E7D"/>
    <w:rsid w:val="00C52DA0"/>
    <w:rsid w:val="00C53031"/>
    <w:rsid w:val="00C568D7"/>
    <w:rsid w:val="00C56AD1"/>
    <w:rsid w:val="00C60BBC"/>
    <w:rsid w:val="00C61552"/>
    <w:rsid w:val="00C61D61"/>
    <w:rsid w:val="00C6365D"/>
    <w:rsid w:val="00C6644B"/>
    <w:rsid w:val="00C668FF"/>
    <w:rsid w:val="00C67861"/>
    <w:rsid w:val="00C70A05"/>
    <w:rsid w:val="00C726D8"/>
    <w:rsid w:val="00C7532A"/>
    <w:rsid w:val="00C7663D"/>
    <w:rsid w:val="00C779DC"/>
    <w:rsid w:val="00C80ADA"/>
    <w:rsid w:val="00C81DF4"/>
    <w:rsid w:val="00C83132"/>
    <w:rsid w:val="00C864DC"/>
    <w:rsid w:val="00C908E5"/>
    <w:rsid w:val="00C9118F"/>
    <w:rsid w:val="00C9156E"/>
    <w:rsid w:val="00C947C0"/>
    <w:rsid w:val="00C947CE"/>
    <w:rsid w:val="00C95072"/>
    <w:rsid w:val="00C95F04"/>
    <w:rsid w:val="00C97E6F"/>
    <w:rsid w:val="00CA079E"/>
    <w:rsid w:val="00CA135D"/>
    <w:rsid w:val="00CA1722"/>
    <w:rsid w:val="00CA1806"/>
    <w:rsid w:val="00CA22D8"/>
    <w:rsid w:val="00CA5872"/>
    <w:rsid w:val="00CA78F9"/>
    <w:rsid w:val="00CA7CAF"/>
    <w:rsid w:val="00CB0499"/>
    <w:rsid w:val="00CB06F8"/>
    <w:rsid w:val="00CB08B5"/>
    <w:rsid w:val="00CB18B1"/>
    <w:rsid w:val="00CB2736"/>
    <w:rsid w:val="00CB38CA"/>
    <w:rsid w:val="00CB5712"/>
    <w:rsid w:val="00CB6969"/>
    <w:rsid w:val="00CB6F2B"/>
    <w:rsid w:val="00CB7254"/>
    <w:rsid w:val="00CC0CB0"/>
    <w:rsid w:val="00CC1067"/>
    <w:rsid w:val="00CC1EF3"/>
    <w:rsid w:val="00CC3D3D"/>
    <w:rsid w:val="00CC3DF9"/>
    <w:rsid w:val="00CC65C5"/>
    <w:rsid w:val="00CC73AB"/>
    <w:rsid w:val="00CD0325"/>
    <w:rsid w:val="00CD104A"/>
    <w:rsid w:val="00CD12BC"/>
    <w:rsid w:val="00CD32FA"/>
    <w:rsid w:val="00CD3324"/>
    <w:rsid w:val="00CD46EA"/>
    <w:rsid w:val="00CD4A18"/>
    <w:rsid w:val="00CD575C"/>
    <w:rsid w:val="00CD6257"/>
    <w:rsid w:val="00CD6E1E"/>
    <w:rsid w:val="00CD7A9C"/>
    <w:rsid w:val="00CE0770"/>
    <w:rsid w:val="00CE0BEA"/>
    <w:rsid w:val="00CE1E44"/>
    <w:rsid w:val="00CE37D5"/>
    <w:rsid w:val="00CE5086"/>
    <w:rsid w:val="00CE6C6E"/>
    <w:rsid w:val="00CE76FD"/>
    <w:rsid w:val="00CE7991"/>
    <w:rsid w:val="00CF177F"/>
    <w:rsid w:val="00CF2033"/>
    <w:rsid w:val="00CF5DF2"/>
    <w:rsid w:val="00CF6C98"/>
    <w:rsid w:val="00D0061B"/>
    <w:rsid w:val="00D012CF"/>
    <w:rsid w:val="00D016C3"/>
    <w:rsid w:val="00D01832"/>
    <w:rsid w:val="00D01DC0"/>
    <w:rsid w:val="00D02C28"/>
    <w:rsid w:val="00D02E81"/>
    <w:rsid w:val="00D0526B"/>
    <w:rsid w:val="00D07AA2"/>
    <w:rsid w:val="00D07C86"/>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6E5A"/>
    <w:rsid w:val="00D47B55"/>
    <w:rsid w:val="00D47B8A"/>
    <w:rsid w:val="00D50703"/>
    <w:rsid w:val="00D51F29"/>
    <w:rsid w:val="00D531E4"/>
    <w:rsid w:val="00D53918"/>
    <w:rsid w:val="00D53C47"/>
    <w:rsid w:val="00D53E59"/>
    <w:rsid w:val="00D54A4A"/>
    <w:rsid w:val="00D55534"/>
    <w:rsid w:val="00D558AA"/>
    <w:rsid w:val="00D60057"/>
    <w:rsid w:val="00D60444"/>
    <w:rsid w:val="00D605B1"/>
    <w:rsid w:val="00D60D98"/>
    <w:rsid w:val="00D6181D"/>
    <w:rsid w:val="00D61D5F"/>
    <w:rsid w:val="00D61FAA"/>
    <w:rsid w:val="00D62038"/>
    <w:rsid w:val="00D628D2"/>
    <w:rsid w:val="00D62FEC"/>
    <w:rsid w:val="00D639EE"/>
    <w:rsid w:val="00D65C4E"/>
    <w:rsid w:val="00D6662D"/>
    <w:rsid w:val="00D67EA6"/>
    <w:rsid w:val="00D71C06"/>
    <w:rsid w:val="00D71EA0"/>
    <w:rsid w:val="00D72152"/>
    <w:rsid w:val="00D72157"/>
    <w:rsid w:val="00D721F1"/>
    <w:rsid w:val="00D73F33"/>
    <w:rsid w:val="00D74A93"/>
    <w:rsid w:val="00D76337"/>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4687"/>
    <w:rsid w:val="00D9690A"/>
    <w:rsid w:val="00DA2C91"/>
    <w:rsid w:val="00DA5316"/>
    <w:rsid w:val="00DA7B87"/>
    <w:rsid w:val="00DB0343"/>
    <w:rsid w:val="00DB079C"/>
    <w:rsid w:val="00DB342A"/>
    <w:rsid w:val="00DB3E19"/>
    <w:rsid w:val="00DB414C"/>
    <w:rsid w:val="00DB63D9"/>
    <w:rsid w:val="00DB6CA5"/>
    <w:rsid w:val="00DB7121"/>
    <w:rsid w:val="00DB7E77"/>
    <w:rsid w:val="00DC0BD6"/>
    <w:rsid w:val="00DC0F17"/>
    <w:rsid w:val="00DC30D0"/>
    <w:rsid w:val="00DC37CE"/>
    <w:rsid w:val="00DC422E"/>
    <w:rsid w:val="00DC72C4"/>
    <w:rsid w:val="00DD0B4E"/>
    <w:rsid w:val="00DD1F5E"/>
    <w:rsid w:val="00DD2DD1"/>
    <w:rsid w:val="00DD4803"/>
    <w:rsid w:val="00DD639C"/>
    <w:rsid w:val="00DD67DA"/>
    <w:rsid w:val="00DD751E"/>
    <w:rsid w:val="00DD7940"/>
    <w:rsid w:val="00DE1840"/>
    <w:rsid w:val="00DE1B89"/>
    <w:rsid w:val="00DE40BD"/>
    <w:rsid w:val="00DE476A"/>
    <w:rsid w:val="00DE5007"/>
    <w:rsid w:val="00DE59C6"/>
    <w:rsid w:val="00DF26B9"/>
    <w:rsid w:val="00DF2E5A"/>
    <w:rsid w:val="00DF3A69"/>
    <w:rsid w:val="00DF4305"/>
    <w:rsid w:val="00DF4D81"/>
    <w:rsid w:val="00DF658B"/>
    <w:rsid w:val="00DF7A2F"/>
    <w:rsid w:val="00E00DC6"/>
    <w:rsid w:val="00E04B02"/>
    <w:rsid w:val="00E058A3"/>
    <w:rsid w:val="00E05E9B"/>
    <w:rsid w:val="00E05F31"/>
    <w:rsid w:val="00E07417"/>
    <w:rsid w:val="00E10ABF"/>
    <w:rsid w:val="00E130CB"/>
    <w:rsid w:val="00E148BB"/>
    <w:rsid w:val="00E151F3"/>
    <w:rsid w:val="00E1723B"/>
    <w:rsid w:val="00E17539"/>
    <w:rsid w:val="00E23A7D"/>
    <w:rsid w:val="00E244E6"/>
    <w:rsid w:val="00E2695D"/>
    <w:rsid w:val="00E27028"/>
    <w:rsid w:val="00E32995"/>
    <w:rsid w:val="00E32C50"/>
    <w:rsid w:val="00E3404F"/>
    <w:rsid w:val="00E36971"/>
    <w:rsid w:val="00E41A6D"/>
    <w:rsid w:val="00E41E9C"/>
    <w:rsid w:val="00E423C3"/>
    <w:rsid w:val="00E4323F"/>
    <w:rsid w:val="00E4469C"/>
    <w:rsid w:val="00E450AB"/>
    <w:rsid w:val="00E45E88"/>
    <w:rsid w:val="00E47059"/>
    <w:rsid w:val="00E5280E"/>
    <w:rsid w:val="00E52CEE"/>
    <w:rsid w:val="00E53A7F"/>
    <w:rsid w:val="00E54A8E"/>
    <w:rsid w:val="00E563FC"/>
    <w:rsid w:val="00E569BC"/>
    <w:rsid w:val="00E57F9B"/>
    <w:rsid w:val="00E60634"/>
    <w:rsid w:val="00E607C0"/>
    <w:rsid w:val="00E61348"/>
    <w:rsid w:val="00E6211E"/>
    <w:rsid w:val="00E6319B"/>
    <w:rsid w:val="00E6550B"/>
    <w:rsid w:val="00E65551"/>
    <w:rsid w:val="00E6726D"/>
    <w:rsid w:val="00E67A0C"/>
    <w:rsid w:val="00E70FBC"/>
    <w:rsid w:val="00E74000"/>
    <w:rsid w:val="00E7623C"/>
    <w:rsid w:val="00E773C0"/>
    <w:rsid w:val="00E80764"/>
    <w:rsid w:val="00E80FCB"/>
    <w:rsid w:val="00E81433"/>
    <w:rsid w:val="00E81C95"/>
    <w:rsid w:val="00E845C0"/>
    <w:rsid w:val="00E852A3"/>
    <w:rsid w:val="00E86628"/>
    <w:rsid w:val="00E914B7"/>
    <w:rsid w:val="00E92775"/>
    <w:rsid w:val="00E93103"/>
    <w:rsid w:val="00EA0295"/>
    <w:rsid w:val="00EA0314"/>
    <w:rsid w:val="00EA0C1C"/>
    <w:rsid w:val="00EA477A"/>
    <w:rsid w:val="00EA5CA0"/>
    <w:rsid w:val="00EA5D92"/>
    <w:rsid w:val="00EB083E"/>
    <w:rsid w:val="00EB307B"/>
    <w:rsid w:val="00EB39AA"/>
    <w:rsid w:val="00EB5354"/>
    <w:rsid w:val="00EB7780"/>
    <w:rsid w:val="00EC06DB"/>
    <w:rsid w:val="00EC2DC7"/>
    <w:rsid w:val="00EC3779"/>
    <w:rsid w:val="00EC65E8"/>
    <w:rsid w:val="00EC71DE"/>
    <w:rsid w:val="00EC7F0E"/>
    <w:rsid w:val="00ED2D1F"/>
    <w:rsid w:val="00ED58E9"/>
    <w:rsid w:val="00ED700E"/>
    <w:rsid w:val="00ED79D6"/>
    <w:rsid w:val="00EE1831"/>
    <w:rsid w:val="00EE249E"/>
    <w:rsid w:val="00EE299D"/>
    <w:rsid w:val="00EE3DAD"/>
    <w:rsid w:val="00EF2177"/>
    <w:rsid w:val="00EF2F7C"/>
    <w:rsid w:val="00EF3FC0"/>
    <w:rsid w:val="00EF42FC"/>
    <w:rsid w:val="00EF61B5"/>
    <w:rsid w:val="00F009B3"/>
    <w:rsid w:val="00F00A40"/>
    <w:rsid w:val="00F00A6E"/>
    <w:rsid w:val="00F048BE"/>
    <w:rsid w:val="00F05773"/>
    <w:rsid w:val="00F069D7"/>
    <w:rsid w:val="00F0773E"/>
    <w:rsid w:val="00F115D1"/>
    <w:rsid w:val="00F12CED"/>
    <w:rsid w:val="00F12DCE"/>
    <w:rsid w:val="00F13496"/>
    <w:rsid w:val="00F13B2F"/>
    <w:rsid w:val="00F14346"/>
    <w:rsid w:val="00F14982"/>
    <w:rsid w:val="00F163E9"/>
    <w:rsid w:val="00F22A26"/>
    <w:rsid w:val="00F23C0F"/>
    <w:rsid w:val="00F2598D"/>
    <w:rsid w:val="00F26166"/>
    <w:rsid w:val="00F26D3E"/>
    <w:rsid w:val="00F2720A"/>
    <w:rsid w:val="00F32739"/>
    <w:rsid w:val="00F32845"/>
    <w:rsid w:val="00F336A2"/>
    <w:rsid w:val="00F34643"/>
    <w:rsid w:val="00F36BA0"/>
    <w:rsid w:val="00F411C5"/>
    <w:rsid w:val="00F44AEB"/>
    <w:rsid w:val="00F45620"/>
    <w:rsid w:val="00F5304D"/>
    <w:rsid w:val="00F532E2"/>
    <w:rsid w:val="00F5470D"/>
    <w:rsid w:val="00F555FB"/>
    <w:rsid w:val="00F5638B"/>
    <w:rsid w:val="00F56493"/>
    <w:rsid w:val="00F60301"/>
    <w:rsid w:val="00F628BC"/>
    <w:rsid w:val="00F628FC"/>
    <w:rsid w:val="00F7033F"/>
    <w:rsid w:val="00F70DD4"/>
    <w:rsid w:val="00F7277F"/>
    <w:rsid w:val="00F72E32"/>
    <w:rsid w:val="00F73B85"/>
    <w:rsid w:val="00F747EC"/>
    <w:rsid w:val="00F76218"/>
    <w:rsid w:val="00F829B7"/>
    <w:rsid w:val="00F82DF0"/>
    <w:rsid w:val="00F84A4F"/>
    <w:rsid w:val="00F84ACE"/>
    <w:rsid w:val="00F8617B"/>
    <w:rsid w:val="00F863D7"/>
    <w:rsid w:val="00F9173C"/>
    <w:rsid w:val="00F94474"/>
    <w:rsid w:val="00F975AD"/>
    <w:rsid w:val="00FA05C2"/>
    <w:rsid w:val="00FA2D1E"/>
    <w:rsid w:val="00FA35EB"/>
    <w:rsid w:val="00FA6EE9"/>
    <w:rsid w:val="00FB18D0"/>
    <w:rsid w:val="00FB2241"/>
    <w:rsid w:val="00FB2315"/>
    <w:rsid w:val="00FB2ED6"/>
    <w:rsid w:val="00FB3591"/>
    <w:rsid w:val="00FB412B"/>
    <w:rsid w:val="00FB42E5"/>
    <w:rsid w:val="00FB58C3"/>
    <w:rsid w:val="00FB59EE"/>
    <w:rsid w:val="00FB5D32"/>
    <w:rsid w:val="00FB6B8F"/>
    <w:rsid w:val="00FC2522"/>
    <w:rsid w:val="00FC3C77"/>
    <w:rsid w:val="00FC5B56"/>
    <w:rsid w:val="00FD181C"/>
    <w:rsid w:val="00FD4B12"/>
    <w:rsid w:val="00FD5009"/>
    <w:rsid w:val="00FD55C9"/>
    <w:rsid w:val="00FD62DC"/>
    <w:rsid w:val="00FD64DF"/>
    <w:rsid w:val="00FD65D3"/>
    <w:rsid w:val="00FD6A70"/>
    <w:rsid w:val="00FD72F4"/>
    <w:rsid w:val="00FE06B1"/>
    <w:rsid w:val="00FE1D87"/>
    <w:rsid w:val="00FE1EC8"/>
    <w:rsid w:val="00FE3560"/>
    <w:rsid w:val="00FE3E09"/>
    <w:rsid w:val="00FE4FBF"/>
    <w:rsid w:val="00FE6961"/>
    <w:rsid w:val="00FE71EB"/>
    <w:rsid w:val="00FE78CB"/>
    <w:rsid w:val="00FF02B4"/>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50732690">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84084129">
      <w:bodyDiv w:val="1"/>
      <w:marLeft w:val="0"/>
      <w:marRight w:val="0"/>
      <w:marTop w:val="0"/>
      <w:marBottom w:val="0"/>
      <w:divBdr>
        <w:top w:val="none" w:sz="0" w:space="0" w:color="auto"/>
        <w:left w:val="none" w:sz="0" w:space="0" w:color="auto"/>
        <w:bottom w:val="none" w:sz="0" w:space="0" w:color="auto"/>
        <w:right w:val="none" w:sz="0" w:space="0" w:color="auto"/>
      </w:divBdr>
    </w:div>
    <w:div w:id="95486990">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192810600">
      <w:bodyDiv w:val="1"/>
      <w:marLeft w:val="0"/>
      <w:marRight w:val="0"/>
      <w:marTop w:val="0"/>
      <w:marBottom w:val="0"/>
      <w:divBdr>
        <w:top w:val="none" w:sz="0" w:space="0" w:color="auto"/>
        <w:left w:val="none" w:sz="0" w:space="0" w:color="auto"/>
        <w:bottom w:val="none" w:sz="0" w:space="0" w:color="auto"/>
        <w:right w:val="none" w:sz="0" w:space="0" w:color="auto"/>
      </w:divBdr>
    </w:div>
    <w:div w:id="215357708">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05037334">
      <w:bodyDiv w:val="1"/>
      <w:marLeft w:val="0"/>
      <w:marRight w:val="0"/>
      <w:marTop w:val="0"/>
      <w:marBottom w:val="0"/>
      <w:divBdr>
        <w:top w:val="none" w:sz="0" w:space="0" w:color="auto"/>
        <w:left w:val="none" w:sz="0" w:space="0" w:color="auto"/>
        <w:bottom w:val="none" w:sz="0" w:space="0" w:color="auto"/>
        <w:right w:val="none" w:sz="0" w:space="0" w:color="auto"/>
      </w:divBdr>
    </w:div>
    <w:div w:id="482889103">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05581828">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758216359">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04678919">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16887673">
      <w:bodyDiv w:val="1"/>
      <w:marLeft w:val="0"/>
      <w:marRight w:val="0"/>
      <w:marTop w:val="0"/>
      <w:marBottom w:val="0"/>
      <w:divBdr>
        <w:top w:val="none" w:sz="0" w:space="0" w:color="auto"/>
        <w:left w:val="none" w:sz="0" w:space="0" w:color="auto"/>
        <w:bottom w:val="none" w:sz="0" w:space="0" w:color="auto"/>
        <w:right w:val="none" w:sz="0" w:space="0" w:color="auto"/>
      </w:divBdr>
    </w:div>
    <w:div w:id="1030302275">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8625444">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195076793">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1688971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58702177">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55101792">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490054170">
      <w:bodyDiv w:val="1"/>
      <w:marLeft w:val="0"/>
      <w:marRight w:val="0"/>
      <w:marTop w:val="0"/>
      <w:marBottom w:val="0"/>
      <w:divBdr>
        <w:top w:val="none" w:sz="0" w:space="0" w:color="auto"/>
        <w:left w:val="none" w:sz="0" w:space="0" w:color="auto"/>
        <w:bottom w:val="none" w:sz="0" w:space="0" w:color="auto"/>
        <w:right w:val="none" w:sz="0" w:space="0" w:color="auto"/>
      </w:divBdr>
      <w:divsChild>
        <w:div w:id="1384795914">
          <w:marLeft w:val="0"/>
          <w:marRight w:val="0"/>
          <w:marTop w:val="0"/>
          <w:marBottom w:val="0"/>
          <w:divBdr>
            <w:top w:val="none" w:sz="0" w:space="0" w:color="auto"/>
            <w:left w:val="none" w:sz="0" w:space="0" w:color="auto"/>
            <w:bottom w:val="none" w:sz="0" w:space="0" w:color="auto"/>
            <w:right w:val="none" w:sz="0" w:space="0" w:color="auto"/>
          </w:divBdr>
          <w:divsChild>
            <w:div w:id="1217232780">
              <w:marLeft w:val="0"/>
              <w:marRight w:val="0"/>
              <w:marTop w:val="0"/>
              <w:marBottom w:val="0"/>
              <w:divBdr>
                <w:top w:val="none" w:sz="0" w:space="0" w:color="auto"/>
                <w:left w:val="none" w:sz="0" w:space="0" w:color="auto"/>
                <w:bottom w:val="none" w:sz="0" w:space="0" w:color="auto"/>
                <w:right w:val="none" w:sz="0" w:space="0" w:color="auto"/>
              </w:divBdr>
              <w:divsChild>
                <w:div w:id="113408768">
                  <w:marLeft w:val="0"/>
                  <w:marRight w:val="0"/>
                  <w:marTop w:val="0"/>
                  <w:marBottom w:val="0"/>
                  <w:divBdr>
                    <w:top w:val="none" w:sz="0" w:space="0" w:color="auto"/>
                    <w:left w:val="none" w:sz="0" w:space="0" w:color="auto"/>
                    <w:bottom w:val="none" w:sz="0" w:space="0" w:color="auto"/>
                    <w:right w:val="none" w:sz="0" w:space="0" w:color="auto"/>
                  </w:divBdr>
                  <w:divsChild>
                    <w:div w:id="749426387">
                      <w:marLeft w:val="0"/>
                      <w:marRight w:val="0"/>
                      <w:marTop w:val="0"/>
                      <w:marBottom w:val="0"/>
                      <w:divBdr>
                        <w:top w:val="none" w:sz="0" w:space="0" w:color="auto"/>
                        <w:left w:val="none" w:sz="0" w:space="0" w:color="auto"/>
                        <w:bottom w:val="none" w:sz="0" w:space="0" w:color="auto"/>
                        <w:right w:val="none" w:sz="0" w:space="0" w:color="auto"/>
                      </w:divBdr>
                      <w:divsChild>
                        <w:div w:id="780342244">
                          <w:marLeft w:val="0"/>
                          <w:marRight w:val="0"/>
                          <w:marTop w:val="0"/>
                          <w:marBottom w:val="0"/>
                          <w:divBdr>
                            <w:top w:val="none" w:sz="0" w:space="0" w:color="auto"/>
                            <w:left w:val="none" w:sz="0" w:space="0" w:color="auto"/>
                            <w:bottom w:val="none" w:sz="0" w:space="0" w:color="auto"/>
                            <w:right w:val="none" w:sz="0" w:space="0" w:color="auto"/>
                          </w:divBdr>
                          <w:divsChild>
                            <w:div w:id="5698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554586075">
      <w:bodyDiv w:val="1"/>
      <w:marLeft w:val="0"/>
      <w:marRight w:val="0"/>
      <w:marTop w:val="0"/>
      <w:marBottom w:val="0"/>
      <w:divBdr>
        <w:top w:val="none" w:sz="0" w:space="0" w:color="auto"/>
        <w:left w:val="none" w:sz="0" w:space="0" w:color="auto"/>
        <w:bottom w:val="none" w:sz="0" w:space="0" w:color="auto"/>
        <w:right w:val="none" w:sz="0" w:space="0" w:color="auto"/>
      </w:divBdr>
    </w:div>
    <w:div w:id="1608388277">
      <w:bodyDiv w:val="1"/>
      <w:marLeft w:val="0"/>
      <w:marRight w:val="0"/>
      <w:marTop w:val="0"/>
      <w:marBottom w:val="0"/>
      <w:divBdr>
        <w:top w:val="none" w:sz="0" w:space="0" w:color="auto"/>
        <w:left w:val="none" w:sz="0" w:space="0" w:color="auto"/>
        <w:bottom w:val="none" w:sz="0" w:space="0" w:color="auto"/>
        <w:right w:val="none" w:sz="0" w:space="0" w:color="auto"/>
      </w:divBdr>
      <w:divsChild>
        <w:div w:id="1517228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30546794">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03342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54204180">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17864358">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1944800775">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095472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lenka.kuze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A13ED-A2E2-412F-8FCD-17AB09536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Pages>
  <Words>994</Words>
  <Characters>5870</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12</cp:revision>
  <cp:lastPrinted>2023-03-06T11:31:00Z</cp:lastPrinted>
  <dcterms:created xsi:type="dcterms:W3CDTF">2025-12-29T10:52:00Z</dcterms:created>
  <dcterms:modified xsi:type="dcterms:W3CDTF">2025-12-30T11:51:00Z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