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Theme="minorHAnsi" w:hAnsiTheme="minorHAnsi" w:cstheme="minorHAnsi"/>
        </w:rPr>
      </w:sdtEndPr>
      <w:sdtContent>
        <w:p w14:paraId="7ED014A1" w14:textId="55F827D2" w:rsidR="00D80B6D" w:rsidRPr="00B346ED" w:rsidRDefault="00D80B6D" w:rsidP="0075719A">
          <w:pPr>
            <w:jc w:val="center"/>
            <w:rPr>
              <w:highlight w:val="yellow"/>
            </w:rPr>
          </w:pPr>
        </w:p>
        <w:p w14:paraId="0FB45B67" w14:textId="73803255" w:rsidR="00D80B6D" w:rsidRPr="007443AD" w:rsidRDefault="00D80B6D" w:rsidP="0075719A">
          <w:pPr>
            <w:spacing w:before="230"/>
            <w:ind w:left="165"/>
            <w:jc w:val="center"/>
            <w:rPr>
              <w:rFonts w:asciiTheme="minorHAnsi" w:hAnsiTheme="minorHAnsi" w:cstheme="minorHAnsi"/>
              <w:sz w:val="24"/>
            </w:rPr>
          </w:pPr>
          <w:r w:rsidRPr="007443AD">
            <w:rPr>
              <w:rFonts w:asciiTheme="minorHAnsi" w:hAnsiTheme="minorHAnsi" w:cstheme="minorHAnsi"/>
              <w:b/>
              <w:sz w:val="24"/>
            </w:rPr>
            <w:t>INDEX HYPOTEČNÍCH ÚVĚRŮ</w:t>
          </w:r>
          <w:r w:rsidRPr="007443AD">
            <w:rPr>
              <w:rFonts w:asciiTheme="minorHAnsi" w:hAnsiTheme="minorHAnsi" w:cstheme="minorHAnsi"/>
              <w:sz w:val="24"/>
            </w:rPr>
            <w:t xml:space="preserve"> | </w:t>
          </w:r>
          <w:r w:rsidRPr="007443AD">
            <w:rPr>
              <w:rFonts w:asciiTheme="minorHAnsi" w:hAnsiTheme="minorHAnsi" w:cstheme="minorHAnsi"/>
              <w:b/>
              <w:sz w:val="24"/>
            </w:rPr>
            <w:t>FIXINDEX</w:t>
          </w:r>
        </w:p>
        <w:p w14:paraId="03C4DE47" w14:textId="1817EBF4" w:rsidR="0009776B" w:rsidRDefault="00D80B6D" w:rsidP="0075719A">
          <w:pPr>
            <w:spacing w:before="230"/>
            <w:ind w:left="165"/>
            <w:jc w:val="center"/>
            <w:rPr>
              <w:rFonts w:asciiTheme="minorHAnsi" w:hAnsiTheme="minorHAnsi" w:cstheme="minorHAnsi"/>
              <w:sz w:val="24"/>
            </w:rPr>
          </w:pPr>
          <w:r w:rsidRPr="007443AD">
            <w:rPr>
              <w:rFonts w:asciiTheme="minorHAnsi" w:hAnsiTheme="minorHAnsi" w:cstheme="minorHAnsi"/>
              <w:sz w:val="24"/>
            </w:rPr>
            <w:t>INDEX PODÍLOVÝCH FONDŮ</w:t>
          </w:r>
        </w:p>
        <w:p w14:paraId="5F5E486E" w14:textId="2A454C45" w:rsidR="004B5B94" w:rsidRPr="007443AD" w:rsidRDefault="004B5B94" w:rsidP="0075719A">
          <w:pPr>
            <w:spacing w:before="230"/>
            <w:ind w:left="165"/>
            <w:jc w:val="center"/>
            <w:rPr>
              <w:rFonts w:asciiTheme="minorHAnsi" w:hAnsiTheme="minorHAnsi" w:cstheme="minorHAnsi"/>
              <w:sz w:val="24"/>
            </w:rPr>
          </w:pPr>
          <w:r>
            <w:rPr>
              <w:rFonts w:asciiTheme="minorHAnsi" w:hAnsiTheme="minorHAnsi" w:cstheme="minorHAnsi"/>
              <w:sz w:val="24"/>
            </w:rPr>
            <w:t>REALINDEX</w:t>
          </w:r>
        </w:p>
        <w:p w14:paraId="32900BCE" w14:textId="68C3B9E4" w:rsidR="00D80B6D" w:rsidRPr="007443AD" w:rsidRDefault="00D80B6D" w:rsidP="0075719A">
          <w:pPr>
            <w:spacing w:before="230"/>
            <w:ind w:left="165"/>
            <w:jc w:val="center"/>
            <w:rPr>
              <w:rFonts w:asciiTheme="minorHAnsi" w:hAnsiTheme="minorHAnsi" w:cstheme="minorHAnsi"/>
              <w:sz w:val="24"/>
            </w:rPr>
          </w:pPr>
          <w:r w:rsidRPr="007443AD">
            <w:rPr>
              <w:rFonts w:asciiTheme="minorHAnsi" w:hAnsiTheme="minorHAnsi" w:cstheme="minorHAnsi"/>
              <w:sz w:val="24"/>
            </w:rPr>
            <w:t>P</w:t>
          </w:r>
          <w:r w:rsidR="005F65A1" w:rsidRPr="007443AD">
            <w:rPr>
              <w:rFonts w:asciiTheme="minorHAnsi" w:hAnsiTheme="minorHAnsi" w:cstheme="minorHAnsi"/>
              <w:sz w:val="24"/>
            </w:rPr>
            <w:t>OV</w:t>
          </w:r>
          <w:r w:rsidRPr="007443AD">
            <w:rPr>
              <w:rFonts w:asciiTheme="minorHAnsi" w:hAnsiTheme="minorHAnsi" w:cstheme="minorHAnsi"/>
              <w:sz w:val="24"/>
            </w:rPr>
            <w:t>INDEX</w:t>
          </w:r>
        </w:p>
        <w:p w14:paraId="5B21B8A6" w14:textId="37BF6042" w:rsidR="00D80B6D" w:rsidRPr="007443AD" w:rsidRDefault="00D80B6D" w:rsidP="0075719A">
          <w:pPr>
            <w:spacing w:before="230"/>
            <w:ind w:left="165"/>
            <w:jc w:val="center"/>
            <w:rPr>
              <w:rFonts w:asciiTheme="minorHAnsi" w:hAnsiTheme="minorHAnsi" w:cstheme="minorHAnsi"/>
              <w:sz w:val="24"/>
            </w:rPr>
          </w:pPr>
          <w:r w:rsidRPr="007443AD">
            <w:rPr>
              <w:rFonts w:asciiTheme="minorHAnsi" w:hAnsiTheme="minorHAnsi" w:cstheme="minorHAnsi"/>
              <w:sz w:val="24"/>
            </w:rPr>
            <w:t>INDEX SPOTŘEBITELSKÝCH ÚVĚRŮ</w:t>
          </w:r>
        </w:p>
        <w:p w14:paraId="720CCDBB" w14:textId="77777777" w:rsidR="00D80B6D" w:rsidRPr="00D84B7D" w:rsidRDefault="00D80B6D" w:rsidP="0075719A">
          <w:pPr>
            <w:pStyle w:val="Zkladntext"/>
            <w:spacing w:before="240"/>
            <w:jc w:val="center"/>
            <w:rPr>
              <w:sz w:val="20"/>
              <w:highlight w:val="yellow"/>
            </w:rPr>
          </w:pPr>
        </w:p>
        <w:p w14:paraId="703D71F2" w14:textId="77777777" w:rsidR="00D80B6D" w:rsidRPr="00D84B7D" w:rsidRDefault="00D80B6D" w:rsidP="0075719A">
          <w:pPr>
            <w:pStyle w:val="Zkladntext"/>
            <w:jc w:val="center"/>
            <w:rPr>
              <w:sz w:val="20"/>
              <w:highlight w:val="yellow"/>
            </w:rPr>
          </w:pPr>
        </w:p>
        <w:p w14:paraId="00494A3A" w14:textId="77777777" w:rsidR="00D80B6D" w:rsidRPr="00D84B7D" w:rsidRDefault="00D80B6D" w:rsidP="0075719A">
          <w:pPr>
            <w:pStyle w:val="Zkladntext"/>
            <w:jc w:val="center"/>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75719A">
          <w:pPr>
            <w:pStyle w:val="Zkladntext"/>
            <w:jc w:val="center"/>
            <w:rPr>
              <w:sz w:val="20"/>
              <w:highlight w:val="yellow"/>
            </w:rPr>
          </w:pPr>
        </w:p>
        <w:p w14:paraId="2A5F355C" w14:textId="77777777" w:rsidR="00D80B6D" w:rsidRPr="00D84B7D" w:rsidRDefault="00D80B6D" w:rsidP="0075719A">
          <w:pPr>
            <w:pStyle w:val="Zkladntext"/>
            <w:jc w:val="center"/>
            <w:rPr>
              <w:sz w:val="20"/>
              <w:highlight w:val="yellow"/>
            </w:rPr>
          </w:pPr>
        </w:p>
        <w:p w14:paraId="218EE6CB" w14:textId="77777777" w:rsidR="00D80B6D" w:rsidRPr="00D84B7D" w:rsidRDefault="00D80B6D" w:rsidP="0075719A">
          <w:pPr>
            <w:pStyle w:val="Zkladntext"/>
            <w:jc w:val="center"/>
            <w:rPr>
              <w:sz w:val="20"/>
              <w:highlight w:val="yellow"/>
            </w:rPr>
          </w:pPr>
        </w:p>
        <w:p w14:paraId="0238B3AB" w14:textId="77777777" w:rsidR="00D80B6D" w:rsidRPr="00D84B7D" w:rsidRDefault="00D80B6D" w:rsidP="0075719A">
          <w:pPr>
            <w:pStyle w:val="Zkladntext"/>
            <w:jc w:val="center"/>
            <w:rPr>
              <w:sz w:val="20"/>
              <w:highlight w:val="yellow"/>
            </w:rPr>
          </w:pPr>
        </w:p>
        <w:p w14:paraId="54516A42" w14:textId="77777777" w:rsidR="00D80B6D" w:rsidRPr="00D84B7D" w:rsidRDefault="00D80B6D" w:rsidP="0075719A">
          <w:pPr>
            <w:pStyle w:val="Zkladntext"/>
            <w:jc w:val="center"/>
            <w:rPr>
              <w:sz w:val="20"/>
              <w:highlight w:val="yellow"/>
            </w:rPr>
          </w:pPr>
        </w:p>
        <w:p w14:paraId="5266363A" w14:textId="77777777" w:rsidR="00D80B6D" w:rsidRPr="00D84B7D" w:rsidRDefault="00D80B6D" w:rsidP="0075719A">
          <w:pPr>
            <w:pStyle w:val="Zkladntext"/>
            <w:jc w:val="center"/>
            <w:rPr>
              <w:sz w:val="20"/>
              <w:highlight w:val="yellow"/>
            </w:rPr>
          </w:pPr>
        </w:p>
        <w:p w14:paraId="363B2E28" w14:textId="77777777" w:rsidR="00D80B6D" w:rsidRPr="00D84B7D" w:rsidRDefault="00D80B6D" w:rsidP="0075719A">
          <w:pPr>
            <w:pStyle w:val="Zkladntext"/>
            <w:jc w:val="center"/>
            <w:rPr>
              <w:sz w:val="20"/>
              <w:highlight w:val="yellow"/>
            </w:rPr>
          </w:pPr>
        </w:p>
        <w:p w14:paraId="17667B44" w14:textId="77777777" w:rsidR="00D80B6D" w:rsidRPr="00D84B7D" w:rsidRDefault="00D80B6D" w:rsidP="0075719A">
          <w:pPr>
            <w:pStyle w:val="Zkladntext"/>
            <w:jc w:val="center"/>
            <w:rPr>
              <w:rFonts w:ascii="Arial" w:hAnsi="Arial" w:cs="Arial"/>
              <w:sz w:val="20"/>
              <w:highlight w:val="yellow"/>
            </w:rPr>
          </w:pPr>
        </w:p>
        <w:p w14:paraId="5193A529" w14:textId="77777777" w:rsidR="00D80B6D" w:rsidRPr="00D84B7D" w:rsidRDefault="00D80B6D" w:rsidP="0075719A">
          <w:pPr>
            <w:pStyle w:val="Zkladntext"/>
            <w:jc w:val="center"/>
            <w:rPr>
              <w:rFonts w:ascii="Arial" w:hAnsi="Arial" w:cs="Arial"/>
              <w:b/>
              <w:sz w:val="20"/>
              <w:highlight w:val="yellow"/>
            </w:rPr>
          </w:pPr>
        </w:p>
        <w:p w14:paraId="2833FE59" w14:textId="77777777" w:rsidR="00D80B6D" w:rsidRPr="00D84B7D" w:rsidRDefault="00D80B6D" w:rsidP="0075719A">
          <w:pPr>
            <w:pStyle w:val="Zkladntext"/>
            <w:jc w:val="center"/>
            <w:rPr>
              <w:rFonts w:ascii="Arial" w:hAnsi="Arial" w:cs="Arial"/>
              <w:b/>
              <w:sz w:val="20"/>
              <w:highlight w:val="yellow"/>
            </w:rPr>
          </w:pPr>
        </w:p>
        <w:p w14:paraId="6DB157BF" w14:textId="77777777" w:rsidR="00D80B6D" w:rsidRPr="00D84B7D" w:rsidRDefault="00D80B6D" w:rsidP="0075719A">
          <w:pPr>
            <w:pStyle w:val="Zkladntext"/>
            <w:jc w:val="center"/>
            <w:rPr>
              <w:rFonts w:ascii="Arial" w:hAnsi="Arial" w:cs="Arial"/>
              <w:b/>
              <w:sz w:val="20"/>
              <w:highlight w:val="yellow"/>
            </w:rPr>
          </w:pPr>
        </w:p>
        <w:p w14:paraId="47803C2A" w14:textId="77777777" w:rsidR="00D80B6D" w:rsidRPr="00D84B7D" w:rsidRDefault="00D80B6D" w:rsidP="0075719A">
          <w:pPr>
            <w:pStyle w:val="Zkladntext"/>
            <w:jc w:val="center"/>
            <w:rPr>
              <w:rFonts w:ascii="Arial" w:hAnsi="Arial" w:cs="Arial"/>
              <w:b/>
              <w:sz w:val="20"/>
              <w:highlight w:val="yellow"/>
            </w:rPr>
          </w:pPr>
        </w:p>
        <w:p w14:paraId="1D90E1D0" w14:textId="77777777" w:rsidR="00D80B6D" w:rsidRPr="00D84B7D" w:rsidRDefault="00D80B6D" w:rsidP="0075719A">
          <w:pPr>
            <w:pStyle w:val="Zkladntext"/>
            <w:jc w:val="center"/>
            <w:rPr>
              <w:rFonts w:ascii="Arial" w:hAnsi="Arial" w:cs="Arial"/>
              <w:b/>
              <w:sz w:val="20"/>
              <w:highlight w:val="yellow"/>
            </w:rPr>
          </w:pPr>
        </w:p>
        <w:p w14:paraId="5A33B823" w14:textId="77777777" w:rsidR="00D80B6D" w:rsidRPr="00D84B7D" w:rsidRDefault="00D80B6D" w:rsidP="0075719A">
          <w:pPr>
            <w:pStyle w:val="Zkladntext"/>
            <w:jc w:val="center"/>
            <w:rPr>
              <w:rFonts w:ascii="Arial" w:hAnsi="Arial" w:cs="Arial"/>
              <w:b/>
              <w:sz w:val="20"/>
              <w:highlight w:val="yellow"/>
            </w:rPr>
          </w:pPr>
        </w:p>
        <w:p w14:paraId="0D2BECD0" w14:textId="77777777" w:rsidR="00D80B6D" w:rsidRPr="00D84B7D" w:rsidRDefault="00D80B6D" w:rsidP="0075719A">
          <w:pPr>
            <w:pStyle w:val="Zkladntext"/>
            <w:jc w:val="center"/>
            <w:rPr>
              <w:rFonts w:ascii="Arial" w:hAnsi="Arial" w:cs="Arial"/>
              <w:b/>
              <w:sz w:val="20"/>
              <w:highlight w:val="yellow"/>
            </w:rPr>
          </w:pPr>
        </w:p>
        <w:p w14:paraId="69288FB9" w14:textId="77777777" w:rsidR="00D80B6D" w:rsidRPr="00D84B7D" w:rsidRDefault="00D80B6D" w:rsidP="0075719A">
          <w:pPr>
            <w:pStyle w:val="Zkladntext"/>
            <w:jc w:val="center"/>
            <w:rPr>
              <w:rFonts w:ascii="Arial" w:hAnsi="Arial" w:cs="Arial"/>
              <w:b/>
              <w:sz w:val="20"/>
              <w:highlight w:val="yellow"/>
            </w:rPr>
          </w:pPr>
        </w:p>
        <w:p w14:paraId="541E93D5" w14:textId="77777777" w:rsidR="00D80B6D" w:rsidRPr="00D84B7D" w:rsidRDefault="00D80B6D" w:rsidP="0075719A">
          <w:pPr>
            <w:pStyle w:val="Zkladntext"/>
            <w:jc w:val="center"/>
            <w:rPr>
              <w:rFonts w:ascii="Arial" w:hAnsi="Arial" w:cs="Arial"/>
              <w:b/>
              <w:sz w:val="20"/>
              <w:highlight w:val="yellow"/>
            </w:rPr>
          </w:pPr>
        </w:p>
        <w:p w14:paraId="341A343C" w14:textId="77777777" w:rsidR="00D80B6D" w:rsidRPr="00D84B7D" w:rsidRDefault="00D80B6D" w:rsidP="0075719A">
          <w:pPr>
            <w:pStyle w:val="Zkladntext"/>
            <w:jc w:val="center"/>
            <w:rPr>
              <w:rFonts w:ascii="Arial" w:hAnsi="Arial" w:cs="Arial"/>
              <w:b/>
              <w:sz w:val="20"/>
              <w:highlight w:val="yellow"/>
            </w:rPr>
          </w:pPr>
        </w:p>
        <w:p w14:paraId="6C52C42D" w14:textId="77777777" w:rsidR="00D80B6D" w:rsidRPr="00D84B7D" w:rsidRDefault="00D80B6D" w:rsidP="0075719A">
          <w:pPr>
            <w:pStyle w:val="Zkladntext"/>
            <w:jc w:val="center"/>
            <w:rPr>
              <w:rFonts w:ascii="Arial" w:hAnsi="Arial" w:cs="Arial"/>
              <w:b/>
              <w:sz w:val="20"/>
              <w:highlight w:val="yellow"/>
            </w:rPr>
          </w:pPr>
        </w:p>
        <w:p w14:paraId="3E3CDF25" w14:textId="77777777" w:rsidR="00D80B6D" w:rsidRPr="00D84B7D" w:rsidRDefault="00D80B6D" w:rsidP="0075719A">
          <w:pPr>
            <w:pStyle w:val="Zkladntext"/>
            <w:jc w:val="center"/>
            <w:rPr>
              <w:rFonts w:ascii="Arial" w:hAnsi="Arial" w:cs="Arial"/>
              <w:b/>
              <w:sz w:val="20"/>
              <w:highlight w:val="yellow"/>
            </w:rPr>
          </w:pPr>
        </w:p>
        <w:p w14:paraId="40495E64" w14:textId="77777777" w:rsidR="00D80B6D" w:rsidRPr="00D84B7D" w:rsidRDefault="00D80B6D" w:rsidP="0075719A">
          <w:pPr>
            <w:pStyle w:val="Zkladntext"/>
            <w:jc w:val="center"/>
            <w:rPr>
              <w:rFonts w:ascii="Arial" w:hAnsi="Arial" w:cs="Arial"/>
              <w:b/>
              <w:sz w:val="20"/>
              <w:highlight w:val="yellow"/>
            </w:rPr>
          </w:pPr>
        </w:p>
        <w:p w14:paraId="59B6F4E6" w14:textId="77777777" w:rsidR="00D80B6D" w:rsidRPr="00D84B7D" w:rsidRDefault="00D80B6D" w:rsidP="0075719A">
          <w:pPr>
            <w:pStyle w:val="Zkladntext"/>
            <w:jc w:val="center"/>
            <w:rPr>
              <w:rFonts w:ascii="Arial" w:hAnsi="Arial" w:cs="Arial"/>
              <w:b/>
              <w:sz w:val="20"/>
              <w:highlight w:val="yellow"/>
            </w:rPr>
          </w:pPr>
        </w:p>
        <w:p w14:paraId="5ADDFBD6" w14:textId="77777777" w:rsidR="00D80B6D" w:rsidRPr="00D84B7D" w:rsidRDefault="00D80B6D" w:rsidP="0075719A">
          <w:pPr>
            <w:pStyle w:val="Zkladntext"/>
            <w:jc w:val="center"/>
            <w:rPr>
              <w:rFonts w:ascii="Arial" w:hAnsi="Arial" w:cs="Arial"/>
              <w:b/>
              <w:sz w:val="20"/>
              <w:highlight w:val="yellow"/>
            </w:rPr>
          </w:pPr>
        </w:p>
        <w:p w14:paraId="1CB27DF8" w14:textId="77777777" w:rsidR="007B358E" w:rsidRPr="00D84B7D" w:rsidRDefault="007B358E" w:rsidP="0075719A">
          <w:pPr>
            <w:pStyle w:val="Zkladntext"/>
            <w:jc w:val="center"/>
            <w:rPr>
              <w:rFonts w:ascii="Arial" w:hAnsi="Arial" w:cs="Arial"/>
              <w:b/>
              <w:sz w:val="20"/>
              <w:highlight w:val="yellow"/>
            </w:rPr>
          </w:pPr>
        </w:p>
        <w:p w14:paraId="3A61C564" w14:textId="77777777" w:rsidR="0068617E" w:rsidRPr="00D84B7D" w:rsidRDefault="0068617E" w:rsidP="0075719A">
          <w:pPr>
            <w:pStyle w:val="Zkladntext"/>
            <w:jc w:val="center"/>
            <w:rPr>
              <w:rFonts w:ascii="Arial" w:hAnsi="Arial" w:cs="Arial"/>
              <w:b/>
              <w:sz w:val="20"/>
              <w:highlight w:val="yellow"/>
            </w:rPr>
          </w:pPr>
        </w:p>
        <w:p w14:paraId="1414E639" w14:textId="77777777" w:rsidR="0068617E" w:rsidRPr="00D84B7D" w:rsidRDefault="0068617E" w:rsidP="0075719A">
          <w:pPr>
            <w:pStyle w:val="Zkladntext"/>
            <w:jc w:val="center"/>
            <w:rPr>
              <w:rFonts w:ascii="Arial" w:hAnsi="Arial" w:cs="Arial"/>
              <w:b/>
              <w:sz w:val="20"/>
              <w:highlight w:val="yellow"/>
            </w:rPr>
          </w:pPr>
        </w:p>
        <w:p w14:paraId="3660AEB6" w14:textId="77777777" w:rsidR="005B7E46" w:rsidRDefault="005B7E46" w:rsidP="0075719A">
          <w:pPr>
            <w:pStyle w:val="Zkladntext"/>
            <w:jc w:val="center"/>
            <w:rPr>
              <w:rFonts w:ascii="Arial" w:hAnsi="Arial" w:cs="Arial"/>
              <w:b/>
              <w:sz w:val="20"/>
            </w:rPr>
          </w:pPr>
        </w:p>
        <w:p w14:paraId="51D468A4" w14:textId="77777777" w:rsidR="005B7E46" w:rsidRDefault="005B7E46" w:rsidP="0075719A">
          <w:pPr>
            <w:pStyle w:val="Zkladntext"/>
            <w:jc w:val="center"/>
            <w:rPr>
              <w:rFonts w:ascii="Arial" w:hAnsi="Arial" w:cs="Arial"/>
              <w:b/>
              <w:sz w:val="20"/>
            </w:rPr>
          </w:pPr>
        </w:p>
        <w:p w14:paraId="2F2ED302" w14:textId="77777777" w:rsidR="005B7E46" w:rsidRDefault="005B7E46" w:rsidP="0075719A">
          <w:pPr>
            <w:pStyle w:val="Zkladntext"/>
            <w:jc w:val="center"/>
            <w:rPr>
              <w:rFonts w:ascii="Arial" w:hAnsi="Arial" w:cs="Arial"/>
              <w:b/>
              <w:sz w:val="20"/>
            </w:rPr>
          </w:pPr>
        </w:p>
        <w:p w14:paraId="6C828C12" w14:textId="77777777" w:rsidR="005B7E46" w:rsidRDefault="005B7E46" w:rsidP="0075719A">
          <w:pPr>
            <w:pStyle w:val="Zkladntext"/>
            <w:jc w:val="center"/>
            <w:rPr>
              <w:rFonts w:ascii="Arial" w:hAnsi="Arial" w:cs="Arial"/>
              <w:b/>
              <w:sz w:val="20"/>
            </w:rPr>
          </w:pPr>
        </w:p>
        <w:p w14:paraId="49B23CF7" w14:textId="77777777" w:rsidR="005B7E46" w:rsidRDefault="005B7E46" w:rsidP="0075719A">
          <w:pPr>
            <w:pStyle w:val="Zkladntext"/>
            <w:jc w:val="center"/>
            <w:rPr>
              <w:rFonts w:ascii="Arial" w:hAnsi="Arial" w:cs="Arial"/>
              <w:b/>
              <w:sz w:val="20"/>
            </w:rPr>
          </w:pPr>
        </w:p>
        <w:p w14:paraId="17EC9300" w14:textId="77777777" w:rsidR="005B7E46" w:rsidRDefault="005B7E46" w:rsidP="0075719A">
          <w:pPr>
            <w:pStyle w:val="Zkladntext"/>
            <w:jc w:val="center"/>
            <w:rPr>
              <w:rFonts w:ascii="Arial" w:hAnsi="Arial" w:cs="Arial"/>
              <w:b/>
              <w:sz w:val="20"/>
            </w:rPr>
          </w:pPr>
        </w:p>
        <w:p w14:paraId="11132A3F" w14:textId="5D367D7A" w:rsidR="00D80B6D" w:rsidRPr="00D84B7D" w:rsidRDefault="00D80B6D" w:rsidP="0075719A">
          <w:pPr>
            <w:pStyle w:val="Zkladntext"/>
            <w:jc w:val="center"/>
            <w:rPr>
              <w:rFonts w:ascii="Arial" w:hAnsi="Arial" w:cs="Arial"/>
              <w:b/>
              <w:sz w:val="20"/>
            </w:rPr>
          </w:pPr>
          <w:r w:rsidRPr="00D84B7D">
            <w:rPr>
              <w:rFonts w:ascii="Arial" w:hAnsi="Arial" w:cs="Arial"/>
              <w:b/>
              <w:sz w:val="20"/>
            </w:rPr>
            <w:t>O společnosti Broker Consulting</w:t>
          </w:r>
        </w:p>
        <w:p w14:paraId="27485CC6" w14:textId="77777777" w:rsidR="00D80B6D" w:rsidRPr="005B7E46" w:rsidRDefault="00D80B6D" w:rsidP="0075719A">
          <w:pPr>
            <w:jc w:val="center"/>
            <w:rPr>
              <w:rFonts w:asciiTheme="minorHAnsi" w:hAnsiTheme="minorHAnsi" w:cstheme="minorHAnsi"/>
              <w:sz w:val="20"/>
              <w:szCs w:val="20"/>
            </w:rPr>
          </w:pPr>
        </w:p>
        <w:p w14:paraId="08070DCC" w14:textId="43DC8431" w:rsidR="00792EE9" w:rsidRPr="005B7E46" w:rsidRDefault="00792EE9" w:rsidP="0075719A">
          <w:pPr>
            <w:jc w:val="center"/>
            <w:rPr>
              <w:rStyle w:val="dn"/>
              <w:rFonts w:asciiTheme="minorHAnsi" w:hAnsiTheme="minorHAnsi" w:cstheme="minorHAnsi"/>
              <w:sz w:val="20"/>
              <w:szCs w:val="20"/>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1734B4">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sidR="00EE249E">
            <w:rPr>
              <w:rFonts w:asciiTheme="minorHAnsi" w:hAnsiTheme="minorHAnsi" w:cstheme="minorHAnsi"/>
              <w:sz w:val="20"/>
              <w:szCs w:val="20"/>
            </w:rPr>
            <w:t xml:space="preserve">) na více než 110 obchodních místech pod názvy </w:t>
          </w:r>
          <w:r w:rsidR="00B2198E">
            <w:rPr>
              <w:rFonts w:asciiTheme="minorHAnsi" w:hAnsiTheme="minorHAnsi" w:cstheme="minorHAnsi"/>
              <w:sz w:val="20"/>
              <w:szCs w:val="20"/>
            </w:rPr>
            <w:t>Broker Point Premium</w:t>
          </w:r>
          <w:r w:rsidR="00EE249E">
            <w:rPr>
              <w:rFonts w:asciiTheme="minorHAnsi" w:hAnsiTheme="minorHAnsi" w:cstheme="minorHAnsi"/>
              <w:sz w:val="20"/>
              <w:szCs w:val="20"/>
            </w:rPr>
            <w:t xml:space="preserve"> nebo Broker Point</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w:t>
          </w:r>
          <w:r w:rsidR="00EE249E">
            <w:rPr>
              <w:rFonts w:asciiTheme="minorHAnsi" w:hAnsiTheme="minorHAnsi" w:cstheme="minorHAnsi"/>
              <w:sz w:val="20"/>
              <w:szCs w:val="20"/>
            </w:rPr>
            <w:t>aliditu za zlomek obvyklých cen</w:t>
          </w:r>
          <w:r w:rsidR="008D373A"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007B232E"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sidR="00B2198E">
              <w:rPr>
                <w:rStyle w:val="Hypertextovodkaz"/>
                <w:rFonts w:asciiTheme="minorHAnsi" w:hAnsiTheme="minorHAnsi" w:cstheme="minorHAnsi"/>
                <w:color w:val="auto"/>
                <w:sz w:val="20"/>
                <w:szCs w:val="20"/>
              </w:rPr>
              <w:t>brokerpointy</w:t>
            </w:r>
            <w:r w:rsidR="007B232E" w:rsidRPr="005B7E46">
              <w:rPr>
                <w:rStyle w:val="Hypertextovodkaz"/>
                <w:rFonts w:asciiTheme="minorHAnsi" w:hAnsiTheme="minorHAnsi" w:cstheme="minorHAnsi"/>
                <w:color w:val="auto"/>
                <w:sz w:val="20"/>
                <w:szCs w:val="20"/>
              </w:rPr>
              <w:t>.cz</w:t>
            </w:r>
          </w:hyperlink>
          <w:r w:rsidR="007B232E" w:rsidRPr="005B7E46">
            <w:rPr>
              <w:rStyle w:val="Hypertextovodkaz"/>
              <w:rFonts w:asciiTheme="minorHAnsi" w:hAnsiTheme="minorHAnsi" w:cstheme="minorHAnsi"/>
              <w:color w:val="auto"/>
              <w:sz w:val="20"/>
              <w:szCs w:val="20"/>
              <w:u w:val="none"/>
            </w:rPr>
            <w:t xml:space="preserve">, </w:t>
          </w:r>
          <w:r w:rsidR="00B2198E">
            <w:rPr>
              <w:rStyle w:val="Hypertextovodkaz"/>
              <w:rFonts w:asciiTheme="minorHAnsi" w:hAnsiTheme="minorHAnsi" w:cstheme="minorHAnsi"/>
              <w:color w:val="auto"/>
              <w:sz w:val="20"/>
              <w:szCs w:val="20"/>
              <w:u w:val="none"/>
            </w:rPr>
            <w:t>brokerpoint</w:t>
          </w:r>
          <w:hyperlink r:id="rId11" w:history="1">
            <w:r w:rsidR="007B232E"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007B232E"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005B7E46"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005B7E46" w:rsidRPr="005B7E46">
            <w:rPr>
              <w:rStyle w:val="dn"/>
              <w:rFonts w:asciiTheme="minorHAnsi" w:hAnsiTheme="minorHAnsi" w:cstheme="minorHAnsi"/>
              <w:sz w:val="20"/>
              <w:szCs w:val="20"/>
            </w:rPr>
            <w:t xml:space="preserve"> Broker Consulting, Twitter </w:t>
          </w:r>
          <w:r w:rsidR="005B7E46"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sidR="00B2198E">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w:t>
          </w:r>
        </w:p>
        <w:p w14:paraId="3F0EC976" w14:textId="3496D289" w:rsidR="00D80B6D" w:rsidRPr="006545F8" w:rsidRDefault="00D80B6D" w:rsidP="0075719A">
          <w:pPr>
            <w:pStyle w:val="Zkladntext"/>
            <w:jc w:val="center"/>
            <w:rPr>
              <w:rFonts w:ascii="Arial" w:hAnsi="Arial" w:cs="Arial"/>
              <w:sz w:val="20"/>
              <w:highlight w:val="yellow"/>
            </w:rPr>
            <w:sectPr w:rsidR="00D80B6D" w:rsidRPr="006545F8" w:rsidSect="00D80B6D">
              <w:headerReference w:type="even" r:id="rId17"/>
              <w:headerReference w:type="default" r:id="rId18"/>
              <w:footerReference w:type="even" r:id="rId19"/>
              <w:footerReference w:type="default" r:id="rId20"/>
              <w:headerReference w:type="first" r:id="rId21"/>
              <w:footerReference w:type="first" r:id="rId22"/>
              <w:pgSz w:w="11910" w:h="16840"/>
              <w:pgMar w:top="960" w:right="740" w:bottom="0" w:left="720" w:header="708" w:footer="708" w:gutter="0"/>
              <w:cols w:space="708"/>
            </w:sectPr>
          </w:pPr>
        </w:p>
        <w:p w14:paraId="35539C65" w14:textId="0F6CA0E6" w:rsidR="00D31127" w:rsidRPr="0042337E" w:rsidRDefault="00F9003B" w:rsidP="0075719A">
          <w:pPr>
            <w:jc w:val="center"/>
            <w:rPr>
              <w:rFonts w:asciiTheme="minorHAnsi" w:hAnsiTheme="minorHAnsi" w:cstheme="minorHAnsi"/>
              <w:highlight w:val="yellow"/>
            </w:rPr>
            <w:sectPr w:rsidR="00D31127" w:rsidRPr="0042337E" w:rsidSect="00D80B6D">
              <w:headerReference w:type="even" r:id="rId23"/>
              <w:headerReference w:type="default" r:id="rId24"/>
              <w:footerReference w:type="even" r:id="rId25"/>
              <w:footerReference w:type="default" r:id="rId26"/>
              <w:headerReference w:type="first" r:id="rId27"/>
              <w:footerReference w:type="first" r:id="rId28"/>
              <w:pgSz w:w="11910" w:h="16840"/>
              <w:pgMar w:top="1418" w:right="740" w:bottom="420" w:left="720" w:header="340" w:footer="223" w:gutter="0"/>
              <w:pgNumType w:start="0"/>
              <w:cols w:space="708"/>
              <w:titlePg/>
              <w:docGrid w:linePitch="299"/>
            </w:sectPr>
          </w:pPr>
        </w:p>
      </w:sdtContent>
    </w:sdt>
    <w:p w14:paraId="305A0D43" w14:textId="41BF910D" w:rsidR="00EC65E8" w:rsidRPr="00754D27" w:rsidRDefault="00754D27" w:rsidP="001C2FDD">
      <w:pPr>
        <w:pStyle w:val="Nadpis1"/>
        <w:jc w:val="center"/>
        <w:rPr>
          <w:rFonts w:asciiTheme="minorHAnsi" w:hAnsiTheme="minorHAnsi" w:cstheme="minorHAnsi"/>
          <w:b/>
          <w:sz w:val="28"/>
          <w:szCs w:val="28"/>
        </w:rPr>
      </w:pPr>
      <w:r w:rsidRPr="00754D27">
        <w:rPr>
          <w:rStyle w:val="Siln"/>
          <w:rFonts w:asciiTheme="minorHAnsi" w:hAnsiTheme="minorHAnsi" w:cstheme="minorHAnsi"/>
          <w:sz w:val="28"/>
          <w:szCs w:val="28"/>
        </w:rPr>
        <w:t>Leden přinesl mírné zvýšení hypotečních sazeb</w:t>
      </w:r>
    </w:p>
    <w:p w14:paraId="3D7C145E" w14:textId="5254C709" w:rsidR="00DF7A2F" w:rsidRPr="00754D27" w:rsidRDefault="00C85FFE" w:rsidP="001C2FDD">
      <w:pPr>
        <w:pStyle w:val="Normlnweb"/>
        <w:numPr>
          <w:ilvl w:val="0"/>
          <w:numId w:val="14"/>
        </w:numPr>
        <w:jc w:val="both"/>
        <w:rPr>
          <w:rFonts w:asciiTheme="minorHAnsi" w:hAnsiTheme="minorHAnsi" w:cstheme="minorHAnsi"/>
          <w:b/>
          <w:sz w:val="21"/>
          <w:szCs w:val="21"/>
        </w:rPr>
      </w:pPr>
      <w:r w:rsidRPr="00754D27">
        <w:rPr>
          <w:rFonts w:asciiTheme="minorHAnsi" w:hAnsiTheme="minorHAnsi" w:cstheme="minorHAnsi"/>
          <w:b/>
          <w:sz w:val="21"/>
          <w:szCs w:val="21"/>
        </w:rPr>
        <w:t>Průměrná nabídková sazba hypoték v lednu dosáhla 4,55 %</w:t>
      </w:r>
      <w:r w:rsidR="00754D27">
        <w:rPr>
          <w:rFonts w:asciiTheme="minorHAnsi" w:hAnsiTheme="minorHAnsi" w:cstheme="minorHAnsi"/>
          <w:b/>
          <w:sz w:val="21"/>
          <w:szCs w:val="21"/>
        </w:rPr>
        <w:t>.</w:t>
      </w:r>
    </w:p>
    <w:p w14:paraId="6BA269B1" w14:textId="5E6BCFA4" w:rsidR="00DF7A2F" w:rsidRPr="00754D27" w:rsidRDefault="00C85FFE" w:rsidP="001C2FDD">
      <w:pPr>
        <w:pStyle w:val="Normlnweb"/>
        <w:numPr>
          <w:ilvl w:val="0"/>
          <w:numId w:val="14"/>
        </w:numPr>
        <w:jc w:val="both"/>
        <w:rPr>
          <w:rFonts w:asciiTheme="minorHAnsi" w:hAnsiTheme="minorHAnsi" w:cstheme="minorHAnsi"/>
          <w:b/>
          <w:sz w:val="21"/>
          <w:szCs w:val="21"/>
        </w:rPr>
      </w:pPr>
      <w:r w:rsidRPr="00754D27">
        <w:rPr>
          <w:rFonts w:asciiTheme="minorHAnsi" w:hAnsiTheme="minorHAnsi" w:cstheme="minorHAnsi"/>
          <w:b/>
          <w:sz w:val="21"/>
          <w:szCs w:val="21"/>
        </w:rPr>
        <w:t>Oproti prosinci jde o mírné zvýšení o tři bazické body.</w:t>
      </w:r>
    </w:p>
    <w:p w14:paraId="7E9A2612" w14:textId="30731D6C" w:rsidR="00DF7A2F" w:rsidRPr="00754D27" w:rsidRDefault="00C85FFE" w:rsidP="00C85FFE">
      <w:pPr>
        <w:pStyle w:val="Odstavecseseznamem"/>
        <w:widowControl/>
        <w:numPr>
          <w:ilvl w:val="0"/>
          <w:numId w:val="14"/>
        </w:numPr>
        <w:autoSpaceDE/>
        <w:autoSpaceDN/>
        <w:spacing w:before="100" w:beforeAutospacing="1" w:after="100" w:afterAutospacing="1"/>
        <w:jc w:val="both"/>
        <w:rPr>
          <w:rFonts w:asciiTheme="minorHAnsi" w:hAnsiTheme="minorHAnsi" w:cstheme="minorHAnsi"/>
          <w:b/>
          <w:sz w:val="21"/>
          <w:szCs w:val="21"/>
        </w:rPr>
      </w:pPr>
      <w:r w:rsidRPr="00754D27">
        <w:rPr>
          <w:rFonts w:asciiTheme="minorHAnsi" w:hAnsiTheme="minorHAnsi" w:cstheme="minorHAnsi"/>
          <w:b/>
          <w:sz w:val="21"/>
          <w:szCs w:val="21"/>
        </w:rPr>
        <w:t>Hypoteční trh v roce 202</w:t>
      </w:r>
      <w:r w:rsidR="007C2AD1">
        <w:rPr>
          <w:rFonts w:asciiTheme="minorHAnsi" w:hAnsiTheme="minorHAnsi" w:cstheme="minorHAnsi"/>
          <w:b/>
          <w:sz w:val="21"/>
          <w:szCs w:val="21"/>
        </w:rPr>
        <w:t>6</w:t>
      </w:r>
      <w:r w:rsidRPr="00754D27">
        <w:rPr>
          <w:rFonts w:asciiTheme="minorHAnsi" w:hAnsiTheme="minorHAnsi" w:cstheme="minorHAnsi"/>
          <w:b/>
          <w:sz w:val="21"/>
          <w:szCs w:val="21"/>
        </w:rPr>
        <w:t>: méně spekulací, více plánování.</w:t>
      </w:r>
    </w:p>
    <w:p w14:paraId="77D63025" w14:textId="26F757BE" w:rsidR="00AC29B9" w:rsidRPr="009B7913" w:rsidRDefault="007E22D6" w:rsidP="00AC29B9">
      <w:pPr>
        <w:jc w:val="both"/>
        <w:rPr>
          <w:rFonts w:asciiTheme="minorHAnsi" w:hAnsiTheme="minorHAnsi" w:cstheme="minorHAnsi"/>
        </w:rPr>
      </w:pPr>
      <w:r>
        <w:rPr>
          <w:rFonts w:asciiTheme="minorHAnsi" w:hAnsiTheme="minorHAnsi" w:cstheme="minorHAnsi"/>
          <w:b/>
          <w:i/>
        </w:rPr>
        <w:t>Praha, 3</w:t>
      </w:r>
      <w:bookmarkStart w:id="0" w:name="_GoBack"/>
      <w:bookmarkEnd w:id="0"/>
      <w:r w:rsidR="00576417">
        <w:rPr>
          <w:rFonts w:asciiTheme="minorHAnsi" w:hAnsiTheme="minorHAnsi" w:cstheme="minorHAnsi"/>
          <w:b/>
          <w:i/>
        </w:rPr>
        <w:t>. února</w:t>
      </w:r>
      <w:r w:rsidR="00AC29B9" w:rsidRPr="00754D27">
        <w:rPr>
          <w:rFonts w:asciiTheme="minorHAnsi" w:hAnsiTheme="minorHAnsi" w:cstheme="minorHAnsi"/>
          <w:b/>
          <w:i/>
        </w:rPr>
        <w:t xml:space="preserve"> 2026</w:t>
      </w:r>
      <w:r w:rsidR="00E45E88" w:rsidRPr="00754D27">
        <w:rPr>
          <w:rFonts w:asciiTheme="minorHAnsi" w:hAnsiTheme="minorHAnsi" w:cstheme="minorHAnsi"/>
          <w:b/>
        </w:rPr>
        <w:t xml:space="preserve"> </w:t>
      </w:r>
      <w:r w:rsidR="00AC29B9" w:rsidRPr="00754D27">
        <w:rPr>
          <w:rFonts w:asciiTheme="minorHAnsi" w:hAnsiTheme="minorHAnsi" w:cstheme="minorHAnsi"/>
          <w:b/>
        </w:rPr>
        <w:t>–</w:t>
      </w:r>
      <w:r w:rsidR="005F23F9">
        <w:rPr>
          <w:rFonts w:asciiTheme="minorHAnsi" w:hAnsiTheme="minorHAnsi" w:cstheme="minorHAnsi"/>
        </w:rPr>
        <w:t xml:space="preserve"> </w:t>
      </w:r>
      <w:r w:rsidR="00AC29B9" w:rsidRPr="00AC29B9">
        <w:rPr>
          <w:rFonts w:asciiTheme="minorHAnsi" w:eastAsia="Times New Roman" w:hAnsiTheme="minorHAnsi" w:cstheme="minorHAnsi"/>
          <w:lang w:bidi="ar-SA"/>
        </w:rPr>
        <w:t>Lednová d</w:t>
      </w:r>
      <w:r w:rsidR="00AC29B9" w:rsidRPr="009B7913">
        <w:rPr>
          <w:rFonts w:asciiTheme="minorHAnsi" w:eastAsia="Times New Roman" w:hAnsiTheme="minorHAnsi" w:cstheme="minorHAnsi"/>
          <w:lang w:bidi="ar-SA"/>
        </w:rPr>
        <w:t>ata z hypotečního trhu ukazují</w:t>
      </w:r>
      <w:r w:rsidR="00AC29B9" w:rsidRPr="00AC29B9">
        <w:rPr>
          <w:rFonts w:asciiTheme="minorHAnsi" w:eastAsia="Times New Roman" w:hAnsiTheme="minorHAnsi" w:cstheme="minorHAnsi"/>
          <w:lang w:bidi="ar-SA"/>
        </w:rPr>
        <w:t>, že fáze rychlejšího poklesu úrokových sazeb je pravděpodobně za námi a trh</w:t>
      </w:r>
      <w:r w:rsidR="00AC29B9" w:rsidRPr="009B7913">
        <w:rPr>
          <w:rFonts w:asciiTheme="minorHAnsi" w:eastAsia="Times New Roman" w:hAnsiTheme="minorHAnsi" w:cstheme="minorHAnsi"/>
          <w:lang w:bidi="ar-SA"/>
        </w:rPr>
        <w:t xml:space="preserve"> se vrací do normálu</w:t>
      </w:r>
      <w:r w:rsidR="00AC29B9" w:rsidRPr="00AC29B9">
        <w:rPr>
          <w:rFonts w:asciiTheme="minorHAnsi" w:eastAsia="Times New Roman" w:hAnsiTheme="minorHAnsi" w:cstheme="minorHAnsi"/>
          <w:lang w:bidi="ar-SA"/>
        </w:rPr>
        <w:t>. Podle Broker Consulting Indexu hypotečních úvěrů dosáhla průměrná nabídková sazba hypoték v lednu 4,55 %, což oproti prosincové hodnotě 4,52 % představuje mírné</w:t>
      </w:r>
      <w:r w:rsidR="007C2AD1">
        <w:rPr>
          <w:rFonts w:asciiTheme="minorHAnsi" w:eastAsia="Times New Roman" w:hAnsiTheme="minorHAnsi" w:cstheme="minorHAnsi"/>
          <w:lang w:bidi="ar-SA"/>
        </w:rPr>
        <w:t xml:space="preserve"> navýšení, konkrétně o tři bazické body</w:t>
      </w:r>
      <w:r w:rsidR="00AC29B9" w:rsidRPr="00AC29B9">
        <w:rPr>
          <w:rFonts w:asciiTheme="minorHAnsi" w:eastAsia="Times New Roman" w:hAnsiTheme="minorHAnsi" w:cstheme="minorHAnsi"/>
          <w:lang w:bidi="ar-SA"/>
        </w:rPr>
        <w:t>.</w:t>
      </w:r>
      <w:r w:rsidR="00AC29B9" w:rsidRPr="009B7913">
        <w:rPr>
          <w:rFonts w:asciiTheme="minorHAnsi" w:hAnsiTheme="minorHAnsi" w:cstheme="minorHAnsi"/>
        </w:rPr>
        <w:t xml:space="preserve"> </w:t>
      </w:r>
    </w:p>
    <w:p w14:paraId="698C168F" w14:textId="77777777" w:rsidR="007C2AD1" w:rsidRDefault="00AC29B9" w:rsidP="007C2AD1">
      <w:pPr>
        <w:widowControl/>
        <w:autoSpaceDE/>
        <w:autoSpaceDN/>
        <w:spacing w:before="100" w:beforeAutospacing="1" w:after="100" w:afterAutospacing="1"/>
        <w:jc w:val="both"/>
        <w:rPr>
          <w:rFonts w:asciiTheme="minorHAnsi" w:hAnsiTheme="minorHAnsi" w:cstheme="minorHAnsi"/>
          <w:i/>
        </w:rPr>
      </w:pPr>
      <w:r w:rsidRPr="00C85FFE">
        <w:rPr>
          <w:rFonts w:asciiTheme="minorHAnsi" w:hAnsiTheme="minorHAnsi" w:cstheme="minorHAnsi"/>
          <w:i/>
        </w:rPr>
        <w:t xml:space="preserve">„Meziměsíční mírné zvýšení sazeb odpovídá chování části bank, které v prosinci navýšily sazby u kratších </w:t>
      </w:r>
      <w:r w:rsidR="007C2AD1">
        <w:rPr>
          <w:rFonts w:asciiTheme="minorHAnsi" w:hAnsiTheme="minorHAnsi" w:cstheme="minorHAnsi"/>
          <w:i/>
        </w:rPr>
        <w:t xml:space="preserve">fixací zhruba o jednu desetinu,“ </w:t>
      </w:r>
      <w:r w:rsidRPr="009B7913">
        <w:rPr>
          <w:rFonts w:asciiTheme="minorHAnsi" w:hAnsiTheme="minorHAnsi" w:cstheme="minorHAnsi"/>
        </w:rPr>
        <w:t xml:space="preserve">komentuje </w:t>
      </w:r>
      <w:r w:rsidRPr="009B7913">
        <w:rPr>
          <w:rFonts w:asciiTheme="minorHAnsi" w:hAnsiTheme="minorHAnsi" w:cstheme="minorHAnsi"/>
          <w:b/>
        </w:rPr>
        <w:t>Michaela Pudilová, analytička hypotečních úvěrů společnosti Broker Consulting.</w:t>
      </w:r>
      <w:r w:rsidR="007C2AD1">
        <w:rPr>
          <w:rFonts w:asciiTheme="minorHAnsi" w:hAnsiTheme="minorHAnsi" w:cstheme="minorHAnsi"/>
          <w:i/>
        </w:rPr>
        <w:t xml:space="preserve"> </w:t>
      </w:r>
    </w:p>
    <w:p w14:paraId="2071A410" w14:textId="5CB57063" w:rsidR="007C2AD1" w:rsidRDefault="00AC29B9" w:rsidP="007C2AD1">
      <w:pPr>
        <w:widowControl/>
        <w:autoSpaceDE/>
        <w:autoSpaceDN/>
        <w:spacing w:before="100" w:beforeAutospacing="1" w:after="100" w:afterAutospacing="1"/>
        <w:jc w:val="both"/>
        <w:rPr>
          <w:rFonts w:asciiTheme="minorHAnsi" w:hAnsiTheme="minorHAnsi" w:cstheme="minorHAnsi"/>
          <w:i/>
        </w:rPr>
      </w:pPr>
      <w:r w:rsidRPr="00AC29B9">
        <w:rPr>
          <w:rFonts w:asciiTheme="minorHAnsi" w:eastAsia="Times New Roman" w:hAnsiTheme="minorHAnsi" w:cstheme="minorHAnsi"/>
          <w:lang w:bidi="ar-SA"/>
        </w:rPr>
        <w:t xml:space="preserve">Stabilita sazeb se promítla i do celkové aktivity na hypotečním trhu. </w:t>
      </w:r>
      <w:r w:rsidR="007C2AD1" w:rsidRPr="007C2AD1">
        <w:rPr>
          <w:rFonts w:asciiTheme="minorHAnsi" w:eastAsia="Times New Roman" w:hAnsiTheme="minorHAnsi" w:cstheme="minorHAnsi"/>
          <w:i/>
          <w:lang w:bidi="ar-SA"/>
        </w:rPr>
        <w:t>„</w:t>
      </w:r>
      <w:r w:rsidR="00576417">
        <w:rPr>
          <w:rFonts w:asciiTheme="minorHAnsi" w:eastAsia="Times New Roman" w:hAnsiTheme="minorHAnsi" w:cstheme="minorHAnsi"/>
          <w:i/>
          <w:lang w:bidi="ar-SA"/>
        </w:rPr>
        <w:t>Nové hypoteční úvěry činily</w:t>
      </w:r>
      <w:r w:rsidRPr="007C2AD1">
        <w:rPr>
          <w:rFonts w:asciiTheme="minorHAnsi" w:eastAsia="Times New Roman" w:hAnsiTheme="minorHAnsi" w:cstheme="minorHAnsi"/>
          <w:i/>
          <w:lang w:bidi="ar-SA"/>
        </w:rPr>
        <w:t xml:space="preserve"> </w:t>
      </w:r>
      <w:r w:rsidR="00576417">
        <w:rPr>
          <w:rFonts w:asciiTheme="minorHAnsi" w:eastAsia="Times New Roman" w:hAnsiTheme="minorHAnsi" w:cstheme="minorHAnsi"/>
          <w:i/>
          <w:lang w:bidi="ar-SA"/>
        </w:rPr>
        <w:t xml:space="preserve">v uplynulém roce </w:t>
      </w:r>
      <w:r w:rsidRPr="007C2AD1">
        <w:rPr>
          <w:rFonts w:asciiTheme="minorHAnsi" w:eastAsia="Times New Roman" w:hAnsiTheme="minorHAnsi" w:cstheme="minorHAnsi"/>
          <w:i/>
          <w:lang w:bidi="ar-SA"/>
        </w:rPr>
        <w:t>zhruba 321 miliard korun, zatímco refinancování představovalo dalších přibližně 85 miliard korun. Celkový objem hypotečního trhu tak dosáhl přibližně 406 miliard korun. Podstatný je především vzkaz těchto čísel. Hypoteční trh už nestojí na výjimečných podmínkách, ale na stabilnějších oče</w:t>
      </w:r>
      <w:r w:rsidR="007C2AD1" w:rsidRPr="007C2AD1">
        <w:rPr>
          <w:rFonts w:asciiTheme="minorHAnsi" w:eastAsia="Times New Roman" w:hAnsiTheme="minorHAnsi" w:cstheme="minorHAnsi"/>
          <w:i/>
          <w:lang w:bidi="ar-SA"/>
        </w:rPr>
        <w:t>káváních,“</w:t>
      </w:r>
      <w:r w:rsidR="007C2AD1">
        <w:rPr>
          <w:rFonts w:asciiTheme="minorHAnsi" w:eastAsia="Times New Roman" w:hAnsiTheme="minorHAnsi" w:cstheme="minorHAnsi"/>
          <w:lang w:bidi="ar-SA"/>
        </w:rPr>
        <w:t xml:space="preserve"> dodává </w:t>
      </w:r>
      <w:r w:rsidR="007C2AD1" w:rsidRPr="007C2AD1">
        <w:rPr>
          <w:rFonts w:asciiTheme="minorHAnsi" w:eastAsia="Times New Roman" w:hAnsiTheme="minorHAnsi" w:cstheme="minorHAnsi"/>
          <w:b/>
          <w:lang w:bidi="ar-SA"/>
        </w:rPr>
        <w:t>Michaela Pudilová.</w:t>
      </w:r>
      <w:r w:rsidR="007C2AD1">
        <w:rPr>
          <w:rFonts w:asciiTheme="minorHAnsi" w:eastAsia="Times New Roman" w:hAnsiTheme="minorHAnsi" w:cstheme="minorHAnsi"/>
          <w:lang w:bidi="ar-SA"/>
        </w:rPr>
        <w:t xml:space="preserve"> </w:t>
      </w:r>
    </w:p>
    <w:p w14:paraId="75AB4C15" w14:textId="350874B2" w:rsidR="00431E50" w:rsidRPr="007C2AD1" w:rsidRDefault="00431E50" w:rsidP="007C2AD1">
      <w:pPr>
        <w:widowControl/>
        <w:autoSpaceDE/>
        <w:autoSpaceDN/>
        <w:spacing w:before="100" w:beforeAutospacing="1" w:after="100" w:afterAutospacing="1"/>
        <w:jc w:val="both"/>
        <w:rPr>
          <w:rFonts w:asciiTheme="minorHAnsi" w:hAnsiTheme="minorHAnsi" w:cstheme="minorHAnsi"/>
          <w:i/>
        </w:rPr>
      </w:pPr>
      <w:r w:rsidRPr="009B7913">
        <w:rPr>
          <w:rFonts w:asciiTheme="minorHAnsi" w:hAnsiTheme="minorHAnsi" w:cstheme="minorHAnsi"/>
        </w:rPr>
        <w:t>A jak si sazby vedly v průběhu roku 2025? Podle dat Broker Consulting Indexu se průměrná hypoteční sazba zhruba do poloviny roku postupně snižovala – z lednových 4,92 % přes 4,83 % v únoru, 4,75 % v březnu a 4,72 % v dubnu až na 4,60 % v srpnu. V dalších měsících se tempo poklesu zpomalilo a na přelomu roku došlo k mírnému navýšení. Závěr roku se pak nesl ve znamení stabilních sazeb: v říjnu činily 4,55 %, zatímco v listopadu i prosinci se ustálily na úrovni 4,52 %.</w:t>
      </w:r>
    </w:p>
    <w:p w14:paraId="114B62E1" w14:textId="34BCC222" w:rsidR="001D505E" w:rsidRPr="00AC29B9" w:rsidRDefault="001D505E" w:rsidP="00431E50">
      <w:pPr>
        <w:widowControl/>
        <w:autoSpaceDE/>
        <w:autoSpaceDN/>
        <w:spacing w:before="100" w:beforeAutospacing="1" w:after="100" w:afterAutospacing="1"/>
        <w:rPr>
          <w:rFonts w:asciiTheme="minorHAnsi" w:eastAsia="Times New Roman" w:hAnsiTheme="minorHAnsi" w:cstheme="minorHAnsi"/>
          <w:lang w:bidi="ar-SA"/>
        </w:rPr>
      </w:pPr>
      <w:r w:rsidRPr="001D505E">
        <w:rPr>
          <w:rFonts w:asciiTheme="minorHAnsi" w:eastAsia="Times New Roman" w:hAnsiTheme="minorHAnsi" w:cstheme="minorHAnsi"/>
          <w:lang w:bidi="ar-SA"/>
        </w:rPr>
        <w:t>V meziročním srovnání zůstává rozdíl výrazný. Zatímco v lednu 2025 dosahovala průměrná sazba 5,62 %, v lednu 2023 se pohybovala na úrovni 5,99 %. Současné podmínky financování bydlení jsou tak ve srovnání s předchozími lety příznivější, i když dyn</w:t>
      </w:r>
      <w:r w:rsidR="00431E50" w:rsidRPr="009B7913">
        <w:rPr>
          <w:rFonts w:asciiTheme="minorHAnsi" w:eastAsia="Times New Roman" w:hAnsiTheme="minorHAnsi" w:cstheme="minorHAnsi"/>
          <w:lang w:bidi="ar-SA"/>
        </w:rPr>
        <w:t>amika dalšího zlevňování</w:t>
      </w:r>
      <w:r w:rsidRPr="001D505E">
        <w:rPr>
          <w:rFonts w:asciiTheme="minorHAnsi" w:eastAsia="Times New Roman" w:hAnsiTheme="minorHAnsi" w:cstheme="minorHAnsi"/>
          <w:lang w:bidi="ar-SA"/>
        </w:rPr>
        <w:t xml:space="preserve"> polevila.</w:t>
      </w:r>
    </w:p>
    <w:p w14:paraId="04A7C156" w14:textId="35F798CC" w:rsidR="009C063D" w:rsidRPr="001C2FDD" w:rsidRDefault="009C063D" w:rsidP="001C2FDD">
      <w:pPr>
        <w:pStyle w:val="Nadpis3"/>
        <w:ind w:left="0"/>
        <w:jc w:val="both"/>
        <w:rPr>
          <w:rStyle w:val="Siln"/>
          <w:rFonts w:asciiTheme="minorHAnsi" w:hAnsiTheme="minorHAnsi" w:cstheme="minorHAnsi"/>
          <w:sz w:val="22"/>
          <w:szCs w:val="22"/>
        </w:rPr>
      </w:pPr>
    </w:p>
    <w:p w14:paraId="08D248A1" w14:textId="62557CF6" w:rsidR="00601E56" w:rsidRPr="001C2FDD" w:rsidRDefault="00601E56" w:rsidP="001C2FDD">
      <w:pPr>
        <w:pStyle w:val="Nadpis3"/>
        <w:ind w:left="0"/>
        <w:jc w:val="both"/>
        <w:rPr>
          <w:rStyle w:val="Siln"/>
          <w:rFonts w:asciiTheme="minorHAnsi" w:hAnsiTheme="minorHAnsi" w:cstheme="minorHAnsi"/>
          <w:sz w:val="22"/>
          <w:szCs w:val="22"/>
        </w:rPr>
      </w:pPr>
      <w:r w:rsidRPr="001C2FDD">
        <w:rPr>
          <w:rStyle w:val="Siln"/>
          <w:rFonts w:asciiTheme="minorHAnsi" w:hAnsiTheme="minorHAnsi" w:cstheme="minorHAnsi"/>
          <w:sz w:val="22"/>
          <w:szCs w:val="22"/>
        </w:rPr>
        <w:t>Co pokles sazeb znamená v praxi?</w:t>
      </w:r>
    </w:p>
    <w:p w14:paraId="41F65CC4" w14:textId="491113D9" w:rsidR="00CD104A" w:rsidRPr="001C2FDD" w:rsidRDefault="00CD104A" w:rsidP="001C2FDD">
      <w:pPr>
        <w:widowControl/>
        <w:autoSpaceDE/>
        <w:autoSpaceDN/>
        <w:spacing w:before="100" w:beforeAutospacing="1" w:after="100" w:afterAutospacing="1" w:line="160" w:lineRule="atLeast"/>
        <w:jc w:val="both"/>
        <w:rPr>
          <w:rFonts w:asciiTheme="minorHAnsi" w:hAnsiTheme="minorHAnsi" w:cstheme="minorHAnsi"/>
          <w:b/>
          <w:bCs/>
        </w:rPr>
      </w:pPr>
      <w:r w:rsidRPr="001C2FDD">
        <w:rPr>
          <w:rFonts w:asciiTheme="minorHAnsi" w:hAnsiTheme="minorHAnsi" w:cstheme="minorHAnsi"/>
        </w:rPr>
        <w:t>Například u hypotéky ve výši 5 milionů korun se splatností 3</w:t>
      </w:r>
      <w:r w:rsidR="00144C0E">
        <w:rPr>
          <w:rFonts w:asciiTheme="minorHAnsi" w:hAnsiTheme="minorHAnsi" w:cstheme="minorHAnsi"/>
        </w:rPr>
        <w:t>0 let by při aktuální sazbě 4,55</w:t>
      </w:r>
      <w:r w:rsidRPr="001C2FDD">
        <w:rPr>
          <w:rFonts w:asciiTheme="minorHAnsi" w:hAnsiTheme="minorHAnsi" w:cstheme="minorHAnsi"/>
        </w:rPr>
        <w:t xml:space="preserve"> %</w:t>
      </w:r>
      <w:r w:rsidR="00431E50">
        <w:rPr>
          <w:rFonts w:asciiTheme="minorHAnsi" w:hAnsiTheme="minorHAnsi" w:cstheme="minorHAnsi"/>
        </w:rPr>
        <w:t xml:space="preserve"> splátka činila přibližně 25 483</w:t>
      </w:r>
      <w:r w:rsidRPr="001C2FDD">
        <w:rPr>
          <w:rFonts w:asciiTheme="minorHAnsi" w:hAnsiTheme="minorHAnsi" w:cstheme="minorHAnsi"/>
        </w:rPr>
        <w:t xml:space="preserve"> korun. </w:t>
      </w:r>
      <w:r w:rsidRPr="001C2FDD">
        <w:rPr>
          <w:rStyle w:val="Siln"/>
          <w:rFonts w:asciiTheme="minorHAnsi" w:hAnsiTheme="minorHAnsi" w:cstheme="minorHAnsi"/>
          <w:b w:val="0"/>
        </w:rPr>
        <w:t>Oproti listopadové hodnotě se měsíční splátka</w:t>
      </w:r>
      <w:r w:rsidR="00431E50">
        <w:rPr>
          <w:rStyle w:val="Siln"/>
          <w:rFonts w:asciiTheme="minorHAnsi" w:hAnsiTheme="minorHAnsi" w:cstheme="minorHAnsi"/>
          <w:b w:val="0"/>
        </w:rPr>
        <w:t xml:space="preserve"> výrazně</w:t>
      </w:r>
      <w:r w:rsidRPr="001C2FDD">
        <w:rPr>
          <w:rStyle w:val="Siln"/>
          <w:rFonts w:asciiTheme="minorHAnsi" w:hAnsiTheme="minorHAnsi" w:cstheme="minorHAnsi"/>
          <w:b w:val="0"/>
        </w:rPr>
        <w:t xml:space="preserve"> nemění.</w:t>
      </w:r>
      <w:r w:rsidRPr="001C2FDD">
        <w:rPr>
          <w:rFonts w:asciiTheme="minorHAnsi" w:hAnsiTheme="minorHAnsi" w:cstheme="minorHAnsi"/>
        </w:rPr>
        <w:t xml:space="preserve"> K výraznějším změnám by došlo až při snížení sazby o celý procentní bod. V takovém případě by měsíční sp</w:t>
      </w:r>
      <w:r w:rsidR="00431E50">
        <w:rPr>
          <w:rFonts w:asciiTheme="minorHAnsi" w:hAnsiTheme="minorHAnsi" w:cstheme="minorHAnsi"/>
        </w:rPr>
        <w:t>látka klesla na přibližně 22 592</w:t>
      </w:r>
      <w:r w:rsidRPr="001C2FDD">
        <w:rPr>
          <w:rFonts w:asciiTheme="minorHAnsi" w:hAnsiTheme="minorHAnsi" w:cstheme="minorHAnsi"/>
        </w:rPr>
        <w:t xml:space="preserve"> korun.</w:t>
      </w:r>
    </w:p>
    <w:p w14:paraId="42EC972D" w14:textId="18BEC115" w:rsidR="00EC06DB" w:rsidRPr="001C2FDD" w:rsidRDefault="00576417" w:rsidP="001C2FDD">
      <w:pPr>
        <w:widowControl/>
        <w:autoSpaceDE/>
        <w:autoSpaceDN/>
        <w:spacing w:before="100" w:beforeAutospacing="1" w:after="100" w:afterAutospacing="1" w:line="160" w:lineRule="atLeast"/>
        <w:jc w:val="both"/>
        <w:rPr>
          <w:rFonts w:asciiTheme="minorHAnsi" w:eastAsia="Times New Roman" w:hAnsiTheme="minorHAnsi" w:cstheme="minorHAnsi"/>
          <w:bCs/>
          <w:noProof/>
          <w:lang w:bidi="ar-SA"/>
        </w:rPr>
      </w:pPr>
      <w:r>
        <w:rPr>
          <w:rFonts w:asciiTheme="minorHAnsi" w:eastAsia="Times New Roman" w:hAnsiTheme="minorHAnsi" w:cstheme="minorHAnsi"/>
          <w:bCs/>
          <w:noProof/>
          <w:lang w:bidi="ar-SA"/>
        </w:rPr>
        <w:drawing>
          <wp:inline distT="0" distB="0" distL="0" distR="0" wp14:anchorId="6901FFC5" wp14:editId="54DF9E6A">
            <wp:extent cx="6635750" cy="296799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k vývoji.png"/>
                    <pic:cNvPicPr/>
                  </pic:nvPicPr>
                  <pic:blipFill>
                    <a:blip r:embed="rId29">
                      <a:extLst>
                        <a:ext uri="{28A0092B-C50C-407E-A947-70E740481C1C}">
                          <a14:useLocalDpi xmlns:a14="http://schemas.microsoft.com/office/drawing/2010/main" val="0"/>
                        </a:ext>
                      </a:extLst>
                    </a:blip>
                    <a:stretch>
                      <a:fillRect/>
                    </a:stretch>
                  </pic:blipFill>
                  <pic:spPr>
                    <a:xfrm>
                      <a:off x="0" y="0"/>
                      <a:ext cx="6635750" cy="2967990"/>
                    </a:xfrm>
                    <a:prstGeom prst="rect">
                      <a:avLst/>
                    </a:prstGeom>
                  </pic:spPr>
                </pic:pic>
              </a:graphicData>
            </a:graphic>
          </wp:inline>
        </w:drawing>
      </w:r>
    </w:p>
    <w:p w14:paraId="6449BF5D" w14:textId="77777777" w:rsidR="00C61D61" w:rsidRDefault="00C61D61" w:rsidP="00C61D61">
      <w:pPr>
        <w:pStyle w:val="Nadpis1"/>
        <w:ind w:left="0"/>
        <w:rPr>
          <w:rFonts w:asciiTheme="minorHAnsi" w:hAnsiTheme="minorHAnsi" w:cstheme="minorHAnsi"/>
          <w:b/>
          <w:sz w:val="24"/>
          <w:szCs w:val="24"/>
        </w:rPr>
      </w:pPr>
    </w:p>
    <w:p w14:paraId="52DD57C0" w14:textId="153CB80E" w:rsidR="009B7913" w:rsidRPr="009B7913" w:rsidRDefault="00C85FFE" w:rsidP="009B7913">
      <w:pPr>
        <w:widowControl/>
        <w:autoSpaceDE/>
        <w:autoSpaceDN/>
        <w:spacing w:before="100" w:beforeAutospacing="1" w:after="100" w:afterAutospacing="1"/>
        <w:jc w:val="both"/>
        <w:rPr>
          <w:rFonts w:asciiTheme="minorHAnsi" w:hAnsiTheme="minorHAnsi" w:cstheme="minorHAnsi"/>
          <w:b/>
          <w:sz w:val="24"/>
          <w:szCs w:val="24"/>
        </w:rPr>
      </w:pPr>
      <w:r>
        <w:rPr>
          <w:rFonts w:asciiTheme="minorHAnsi" w:hAnsiTheme="minorHAnsi" w:cstheme="minorHAnsi"/>
          <w:b/>
          <w:sz w:val="24"/>
          <w:szCs w:val="24"/>
        </w:rPr>
        <w:t>Hypoteční trh v roce 2026</w:t>
      </w:r>
      <w:r w:rsidR="009B7913" w:rsidRPr="009B7913">
        <w:rPr>
          <w:rFonts w:asciiTheme="minorHAnsi" w:hAnsiTheme="minorHAnsi" w:cstheme="minorHAnsi"/>
          <w:b/>
          <w:sz w:val="24"/>
          <w:szCs w:val="24"/>
        </w:rPr>
        <w:t>: méně spekulací, více plánování</w:t>
      </w:r>
    </w:p>
    <w:p w14:paraId="3AFE33E8" w14:textId="22E1FE16" w:rsidR="00531355" w:rsidRPr="00531355" w:rsidRDefault="00431E50" w:rsidP="009B7913">
      <w:pPr>
        <w:widowControl/>
        <w:autoSpaceDE/>
        <w:autoSpaceDN/>
        <w:spacing w:before="100" w:beforeAutospacing="1" w:after="100" w:afterAutospacing="1"/>
        <w:jc w:val="both"/>
        <w:rPr>
          <w:rFonts w:asciiTheme="minorHAnsi" w:eastAsia="Times New Roman" w:hAnsiTheme="minorHAnsi" w:cstheme="minorHAnsi"/>
          <w:lang w:bidi="ar-SA"/>
        </w:rPr>
      </w:pPr>
      <w:r w:rsidRPr="009B7913">
        <w:rPr>
          <w:rFonts w:asciiTheme="minorHAnsi" w:hAnsiTheme="minorHAnsi" w:cstheme="minorHAnsi"/>
        </w:rPr>
        <w:t xml:space="preserve">Vývoj v roce 2025 ukázal, že hypoteční trh se po předchozích výkyvech dostal do stabilnější fáze. Úrokové sazby sice v první polovině roku klesaly, ale ve druhé části roku se jejich pohyb výrazně zpomalil a ke konci roku se prakticky zastavil. Právě tento vývoj vytvořil prostředí, ve kterém </w:t>
      </w:r>
      <w:r w:rsidR="00531355" w:rsidRPr="009B7913">
        <w:rPr>
          <w:rFonts w:asciiTheme="minorHAnsi" w:eastAsia="Times New Roman" w:hAnsiTheme="minorHAnsi" w:cstheme="minorHAnsi"/>
          <w:lang w:bidi="ar-SA"/>
        </w:rPr>
        <w:t xml:space="preserve">už </w:t>
      </w:r>
      <w:r w:rsidR="00531355" w:rsidRPr="00531355">
        <w:rPr>
          <w:rFonts w:asciiTheme="minorHAnsi" w:eastAsia="Times New Roman" w:hAnsiTheme="minorHAnsi" w:cstheme="minorHAnsi"/>
          <w:lang w:bidi="ar-SA"/>
        </w:rPr>
        <w:t>pro řadu domácností přestalo dávat smysl odkládat řešení bydlení v očekávání zásadního zvratu. Rozhodování se tak víc než na spekulace o dalším vývoji opírá o reálné možnosti rozpočtu a dlouhodobý plán.</w:t>
      </w:r>
    </w:p>
    <w:p w14:paraId="451A11CA" w14:textId="11D8BAC2" w:rsidR="00531355" w:rsidRDefault="00531355" w:rsidP="009B7913">
      <w:pPr>
        <w:widowControl/>
        <w:autoSpaceDE/>
        <w:autoSpaceDN/>
        <w:spacing w:before="100" w:beforeAutospacing="1" w:after="100" w:afterAutospacing="1"/>
        <w:jc w:val="both"/>
        <w:rPr>
          <w:rFonts w:asciiTheme="minorHAnsi" w:eastAsia="Times New Roman" w:hAnsiTheme="minorHAnsi" w:cstheme="minorHAnsi"/>
          <w:lang w:bidi="ar-SA"/>
        </w:rPr>
      </w:pPr>
      <w:r w:rsidRPr="009B7913">
        <w:rPr>
          <w:rFonts w:asciiTheme="minorHAnsi" w:hAnsiTheme="minorHAnsi" w:cstheme="minorHAnsi"/>
        </w:rPr>
        <w:t xml:space="preserve">Zároveň je zřejmé, že oživení trhu nepotáhnou pouze nové úvěry, ale také refinancování, která budou v dalších letech hrát stále významnější roli. </w:t>
      </w:r>
      <w:r w:rsidRPr="00531355">
        <w:rPr>
          <w:rFonts w:asciiTheme="minorHAnsi" w:eastAsia="Times New Roman" w:hAnsiTheme="minorHAnsi" w:cstheme="minorHAnsi"/>
          <w:lang w:bidi="ar-SA"/>
        </w:rPr>
        <w:t>Mnoho klientů bude znovu řešit podmínky nastavené v době vysokých sazeb, zatímco jiní budou vstupovat na trh s vědomím, že extrémně levné hypotéky se jen tak nevrátí.</w:t>
      </w:r>
    </w:p>
    <w:p w14:paraId="428160F2" w14:textId="76214FFF" w:rsidR="00486C22" w:rsidRPr="00486C22" w:rsidRDefault="00486C22" w:rsidP="009B7913">
      <w:pPr>
        <w:widowControl/>
        <w:autoSpaceDE/>
        <w:autoSpaceDN/>
        <w:spacing w:before="100" w:beforeAutospacing="1" w:after="100" w:afterAutospacing="1"/>
        <w:jc w:val="both"/>
        <w:rPr>
          <w:rFonts w:asciiTheme="minorHAnsi" w:eastAsia="Times New Roman" w:hAnsiTheme="minorHAnsi" w:cstheme="minorHAnsi"/>
          <w:i/>
          <w:lang w:bidi="ar-SA"/>
        </w:rPr>
      </w:pPr>
      <w:r w:rsidRPr="00486C22">
        <w:rPr>
          <w:rFonts w:asciiTheme="minorHAnsi" w:hAnsiTheme="minorHAnsi" w:cstheme="minorHAnsi"/>
          <w:i/>
        </w:rPr>
        <w:t>„Doporučuji začít řešit nabídku několik měsíců před koncem fixace a nepřijímat první návrh automaticky. Vždy je potřeba porovnat nejen samotnou úrokovou sazbu, ale celkový náklad úvěru, tedy poplatky spojené se změnou banky, náklady na odhad, administrativu a případné doplňkové produkty. Zároveň by lidé neměli podceňovat vyje</w:t>
      </w:r>
      <w:r>
        <w:rPr>
          <w:rFonts w:asciiTheme="minorHAnsi" w:hAnsiTheme="minorHAnsi" w:cstheme="minorHAnsi"/>
          <w:i/>
        </w:rPr>
        <w:t xml:space="preserve">dnávací prostor při </w:t>
      </w:r>
      <w:proofErr w:type="spellStart"/>
      <w:r>
        <w:rPr>
          <w:rFonts w:asciiTheme="minorHAnsi" w:hAnsiTheme="minorHAnsi" w:cstheme="minorHAnsi"/>
          <w:i/>
        </w:rPr>
        <w:t>refixaci</w:t>
      </w:r>
      <w:proofErr w:type="spellEnd"/>
      <w:r>
        <w:rPr>
          <w:rFonts w:asciiTheme="minorHAnsi" w:hAnsiTheme="minorHAnsi" w:cstheme="minorHAnsi"/>
          <w:i/>
        </w:rPr>
        <w:t>. B</w:t>
      </w:r>
      <w:r w:rsidRPr="00486C22">
        <w:rPr>
          <w:rFonts w:asciiTheme="minorHAnsi" w:hAnsiTheme="minorHAnsi" w:cstheme="minorHAnsi"/>
          <w:i/>
        </w:rPr>
        <w:t xml:space="preserve">anky jsou často ochotnější individuálně upravovat podmínky ve chvíli, kdy klient přichází připravený a aktivně porovnává více alternativ. Právě s orientací v nabídkách, jejich srovnáním i s celým procesem změny může pomoci finanční konzultant, který díky zkušenostem a vyjednávací pozici dokáže klientovi v konečném důsledku ušetřit nemalé peníze,“ </w:t>
      </w:r>
      <w:r>
        <w:rPr>
          <w:rFonts w:asciiTheme="minorHAnsi" w:hAnsiTheme="minorHAnsi" w:cstheme="minorHAnsi"/>
        </w:rPr>
        <w:t>uzavírá</w:t>
      </w:r>
      <w:r w:rsidRPr="00486C22">
        <w:rPr>
          <w:rFonts w:asciiTheme="minorHAnsi" w:hAnsiTheme="minorHAnsi" w:cstheme="minorHAnsi"/>
          <w:b/>
        </w:rPr>
        <w:t xml:space="preserve"> Michaela Pudilová, analytička hypotečních úvěrů společnosti Broker Consulting.</w:t>
      </w:r>
    </w:p>
    <w:p w14:paraId="06153168" w14:textId="29A7318B" w:rsidR="00236A37" w:rsidRPr="00AB7BAF" w:rsidRDefault="00C42CA5" w:rsidP="005013FE">
      <w:pPr>
        <w:pBdr>
          <w:top w:val="single" w:sz="4" w:space="1" w:color="auto"/>
        </w:pBdr>
        <w:spacing w:before="240" w:after="120"/>
        <w:jc w:val="both"/>
        <w:rPr>
          <w:rFonts w:asciiTheme="minorHAnsi" w:hAnsiTheme="minorHAnsi" w:cstheme="minorHAnsi"/>
          <w:sz w:val="21"/>
          <w:szCs w:val="21"/>
        </w:rPr>
      </w:pPr>
      <w:r w:rsidRPr="0029038B">
        <w:rPr>
          <w:rFonts w:asciiTheme="minorHAnsi" w:hAnsiTheme="minorHAnsi" w:cstheme="minorHAnsi"/>
          <w:sz w:val="21"/>
          <w:szCs w:val="21"/>
        </w:rPr>
        <w:t xml:space="preserve">Broker </w:t>
      </w:r>
      <w:r w:rsidR="00C36E55" w:rsidRPr="0029038B">
        <w:rPr>
          <w:rFonts w:asciiTheme="minorHAnsi" w:hAnsiTheme="minorHAnsi" w:cstheme="minorHAnsi"/>
          <w:sz w:val="21"/>
          <w:szCs w:val="21"/>
        </w:rPr>
        <w:t>Con</w:t>
      </w:r>
      <w:r w:rsidR="007B0955">
        <w:rPr>
          <w:rFonts w:asciiTheme="minorHAnsi" w:hAnsiTheme="minorHAnsi" w:cstheme="minorHAnsi"/>
          <w:sz w:val="21"/>
          <w:szCs w:val="21"/>
        </w:rPr>
        <w:t>sultin</w:t>
      </w:r>
      <w:r w:rsidRPr="0029038B">
        <w:rPr>
          <w:rFonts w:asciiTheme="minorHAnsi" w:hAnsiTheme="minorHAnsi" w:cstheme="minorHAnsi"/>
          <w:sz w:val="21"/>
          <w:szCs w:val="21"/>
        </w:rPr>
        <w:t>g Index hypotečních úvěrů je analytický nástroj</w:t>
      </w:r>
      <w:r w:rsidR="00113603" w:rsidRPr="0029038B">
        <w:rPr>
          <w:rFonts w:asciiTheme="minorHAnsi" w:hAnsiTheme="minorHAnsi" w:cstheme="minorHAnsi"/>
          <w:sz w:val="21"/>
          <w:szCs w:val="21"/>
        </w:rPr>
        <w:t xml:space="preserve"> znázorňující</w:t>
      </w:r>
      <w:r w:rsidRPr="0029038B">
        <w:rPr>
          <w:rFonts w:asciiTheme="minorHAnsi" w:hAnsiTheme="minorHAnsi" w:cstheme="minorHAnsi"/>
          <w:sz w:val="21"/>
          <w:szCs w:val="21"/>
        </w:rPr>
        <w:t xml:space="preserve"> průměrnou úrokovou </w:t>
      </w:r>
      <w:r w:rsidRPr="00AB7BAF">
        <w:rPr>
          <w:rFonts w:asciiTheme="minorHAnsi" w:hAnsiTheme="minorHAnsi" w:cstheme="minorHAnsi"/>
          <w:sz w:val="21"/>
          <w:szCs w:val="21"/>
        </w:rPr>
        <w:t xml:space="preserve">sazbu u hypotečních úvěrů, </w:t>
      </w:r>
      <w:r w:rsidR="00113603" w:rsidRPr="00AB7BAF">
        <w:rPr>
          <w:rFonts w:asciiTheme="minorHAnsi" w:hAnsiTheme="minorHAnsi" w:cstheme="minorHAnsi"/>
          <w:sz w:val="21"/>
          <w:szCs w:val="21"/>
        </w:rPr>
        <w:t>které</w:t>
      </w:r>
      <w:r w:rsidRPr="00AB7BAF">
        <w:rPr>
          <w:rFonts w:asciiTheme="minorHAnsi" w:hAnsiTheme="minorHAnsi" w:cstheme="minorHAnsi"/>
          <w:sz w:val="21"/>
          <w:szCs w:val="21"/>
        </w:rPr>
        <w:t xml:space="preserve"> zprostředkovali konzultanti Brok</w:t>
      </w:r>
      <w:r w:rsidR="00776A31">
        <w:rPr>
          <w:rFonts w:asciiTheme="minorHAnsi" w:hAnsiTheme="minorHAnsi" w:cstheme="minorHAnsi"/>
          <w:sz w:val="21"/>
          <w:szCs w:val="21"/>
        </w:rPr>
        <w:t>er Consulting a pobočky Broker Point nebo Broker Point Premium</w:t>
      </w:r>
      <w:r w:rsidRPr="00AB7BAF">
        <w:rPr>
          <w:rFonts w:asciiTheme="minorHAnsi" w:hAnsiTheme="minorHAnsi" w:cstheme="minorHAnsi"/>
          <w:sz w:val="21"/>
          <w:szCs w:val="21"/>
        </w:rPr>
        <w:t xml:space="preserve"> u kteréhokoli poskytovatele hypotečních úvěrů. Jedná se o vážený aritmetický průměr, kdy hlavní vahou je objem úvěru. Tedy čím vyšší úvěr, tím jeho sazba </w:t>
      </w:r>
      <w:r w:rsidR="00113603" w:rsidRPr="00AB7BAF">
        <w:rPr>
          <w:rFonts w:asciiTheme="minorHAnsi" w:hAnsiTheme="minorHAnsi" w:cstheme="minorHAnsi"/>
          <w:sz w:val="21"/>
          <w:szCs w:val="21"/>
        </w:rPr>
        <w:t xml:space="preserve">vstupuje </w:t>
      </w:r>
      <w:r w:rsidRPr="00AB7BAF">
        <w:rPr>
          <w:rFonts w:asciiTheme="minorHAnsi" w:hAnsiTheme="minorHAnsi" w:cstheme="minorHAnsi"/>
          <w:sz w:val="21"/>
          <w:szCs w:val="21"/>
        </w:rPr>
        <w:t xml:space="preserve">do indexu větší vahou. </w:t>
      </w:r>
      <w:r w:rsidRPr="00AB7BAF">
        <w:rPr>
          <w:rFonts w:asciiTheme="minorHAnsi" w:hAnsiTheme="minorHAnsi" w:cstheme="minorHAnsi"/>
          <w:b/>
          <w:sz w:val="21"/>
          <w:szCs w:val="21"/>
        </w:rPr>
        <w:t xml:space="preserve">Výhodou metody výpočtu </w:t>
      </w:r>
      <w:r w:rsidR="00C7532A" w:rsidRPr="00AB7BAF">
        <w:rPr>
          <w:rFonts w:asciiTheme="minorHAnsi" w:hAnsiTheme="minorHAnsi" w:cstheme="minorHAnsi"/>
          <w:b/>
          <w:sz w:val="21"/>
          <w:szCs w:val="21"/>
        </w:rPr>
        <w:t xml:space="preserve">indexu </w:t>
      </w:r>
      <w:r w:rsidRPr="00AB7BAF">
        <w:rPr>
          <w:rFonts w:asciiTheme="minorHAnsi" w:hAnsiTheme="minorHAnsi" w:cstheme="minorHAnsi"/>
          <w:b/>
          <w:sz w:val="21"/>
          <w:szCs w:val="21"/>
        </w:rPr>
        <w:t>je skutečnost, že se do statistiky dostávají pouze skutečně schválené úvěry, a to bez výjimky všechny.</w:t>
      </w:r>
      <w:r w:rsidRPr="00AB7BAF">
        <w:rPr>
          <w:rFonts w:asciiTheme="minorHAnsi" w:hAnsiTheme="minorHAnsi" w:cstheme="minorHAnsi"/>
          <w:sz w:val="21"/>
          <w:szCs w:val="21"/>
        </w:rPr>
        <w:t xml:space="preserve"> Nemůže tak dojít ke zkreslení informací a index není závislý na dodávkách třetích stran. </w:t>
      </w:r>
    </w:p>
    <w:p w14:paraId="70EFA666" w14:textId="4A6CAE48" w:rsidR="002E6DB6" w:rsidRPr="00AB7BAF" w:rsidRDefault="00C42CA5" w:rsidP="005013FE">
      <w:pPr>
        <w:spacing w:after="120"/>
        <w:jc w:val="both"/>
        <w:rPr>
          <w:rFonts w:asciiTheme="minorHAnsi" w:hAnsiTheme="minorHAnsi" w:cstheme="minorHAnsi"/>
          <w:sz w:val="21"/>
          <w:szCs w:val="21"/>
        </w:rPr>
      </w:pPr>
      <w:r w:rsidRPr="00AB7BAF">
        <w:rPr>
          <w:rFonts w:asciiTheme="minorHAnsi" w:hAnsiTheme="minorHAnsi" w:cstheme="minorHAnsi"/>
          <w:sz w:val="21"/>
          <w:szCs w:val="21"/>
        </w:rPr>
        <w:t>V principu se Broker Consulting Index hypotečních úvěrů počítá ze sazeb, které jsou v danou chvíli pro daného klienta nejnižší na trhu</w:t>
      </w:r>
      <w:r w:rsidR="00FA2D1E" w:rsidRPr="00AB7BAF">
        <w:rPr>
          <w:rFonts w:asciiTheme="minorHAnsi" w:hAnsiTheme="minorHAnsi" w:cstheme="minorHAnsi"/>
          <w:sz w:val="21"/>
          <w:szCs w:val="21"/>
        </w:rPr>
        <w:t>,</w:t>
      </w:r>
      <w:r w:rsidRPr="00AB7BAF">
        <w:rPr>
          <w:rFonts w:asciiTheme="minorHAnsi" w:hAnsiTheme="minorHAnsi" w:cstheme="minorHAnsi"/>
          <w:sz w:val="21"/>
          <w:szCs w:val="21"/>
        </w:rPr>
        <w:t xml:space="preserve"> </w:t>
      </w:r>
      <w:r w:rsidR="00FA2D1E" w:rsidRPr="00AB7BAF">
        <w:rPr>
          <w:rFonts w:asciiTheme="minorHAnsi" w:hAnsiTheme="minorHAnsi" w:cstheme="minorHAnsi"/>
          <w:sz w:val="21"/>
          <w:szCs w:val="21"/>
        </w:rPr>
        <w:t>a</w:t>
      </w:r>
      <w:r w:rsidRPr="00AB7BAF">
        <w:rPr>
          <w:rFonts w:asciiTheme="minorHAnsi" w:hAnsiTheme="minorHAnsi" w:cstheme="minorHAnsi"/>
          <w:sz w:val="21"/>
          <w:szCs w:val="21"/>
        </w:rPr>
        <w:t xml:space="preserve">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přesahujícím 13 miliard korun. </w:t>
      </w:r>
    </w:p>
    <w:p w14:paraId="0584C559" w14:textId="7CB832AA" w:rsidR="00C21F84" w:rsidRPr="00C21F84" w:rsidRDefault="002E6DB6" w:rsidP="005013FE">
      <w:pPr>
        <w:pBdr>
          <w:bottom w:val="single" w:sz="4" w:space="1" w:color="auto"/>
        </w:pBdr>
        <w:spacing w:after="120"/>
        <w:jc w:val="both"/>
        <w:rPr>
          <w:rFonts w:asciiTheme="minorHAnsi" w:hAnsiTheme="minorHAnsi" w:cstheme="minorHAnsi"/>
          <w:sz w:val="21"/>
          <w:szCs w:val="21"/>
        </w:rPr>
      </w:pPr>
      <w:r w:rsidRPr="00AB7BAF">
        <w:rPr>
          <w:rFonts w:asciiTheme="minorHAnsi" w:hAnsiTheme="minorHAnsi" w:cstheme="minorHAnsi"/>
          <w:color w:val="000000"/>
          <w:sz w:val="21"/>
          <w:szCs w:val="21"/>
        </w:rPr>
        <w:t>Předstihový ukazatel Broker Consulting Indexu hypotečních úvěrů a jeho výpočet rea</w:t>
      </w:r>
      <w:r w:rsidR="008C75D3" w:rsidRPr="00AB7BAF">
        <w:rPr>
          <w:rFonts w:asciiTheme="minorHAnsi" w:hAnsiTheme="minorHAnsi" w:cstheme="minorHAnsi"/>
          <w:color w:val="000000"/>
          <w:sz w:val="21"/>
          <w:szCs w:val="21"/>
        </w:rPr>
        <w:t>guje na potřebu aktuálního výhledu výše sazeb, ve kterém se budou v daném měsíci poskytovat hypoteční úvěry zprostředkovávané od většiny bankovních institucí v tuzemsku. Ve výpočtu jde o aritmetick</w:t>
      </w:r>
      <w:r w:rsidR="00057F54" w:rsidRPr="00AB7BAF">
        <w:rPr>
          <w:rFonts w:asciiTheme="minorHAnsi" w:hAnsiTheme="minorHAnsi" w:cstheme="minorHAnsi"/>
          <w:color w:val="000000"/>
          <w:sz w:val="21"/>
          <w:szCs w:val="21"/>
        </w:rPr>
        <w:t>ý průměr nabízených úrokových sazeb</w:t>
      </w:r>
      <w:r w:rsidR="00807AD4" w:rsidRPr="00AB7BAF">
        <w:rPr>
          <w:rFonts w:asciiTheme="minorHAnsi" w:hAnsiTheme="minorHAnsi" w:cstheme="minorHAnsi"/>
          <w:color w:val="000000"/>
          <w:sz w:val="21"/>
          <w:szCs w:val="21"/>
        </w:rPr>
        <w:t xml:space="preserve"> v konkrétním </w:t>
      </w:r>
      <w:r w:rsidR="008C75D3" w:rsidRPr="00AB7BAF">
        <w:rPr>
          <w:rFonts w:asciiTheme="minorHAnsi" w:hAnsiTheme="minorHAnsi" w:cstheme="minorHAnsi"/>
          <w:color w:val="000000"/>
          <w:sz w:val="21"/>
          <w:szCs w:val="21"/>
        </w:rPr>
        <w:t>měsíci, ve kterém se zveřejňují hodnoty Broker Consulting Indexu hypotečních úvěrů.</w:t>
      </w:r>
      <w:r w:rsidR="00CC3D3D" w:rsidRPr="00AB7BAF">
        <w:rPr>
          <w:rFonts w:asciiTheme="minorHAnsi" w:hAnsiTheme="minorHAnsi" w:cstheme="minorHAnsi"/>
          <w:color w:val="000000"/>
          <w:sz w:val="21"/>
          <w:szCs w:val="21"/>
        </w:rPr>
        <w:t xml:space="preserve"> Vzhledem ke statisti</w:t>
      </w:r>
      <w:r w:rsidR="004919CC" w:rsidRPr="00AB7BAF">
        <w:rPr>
          <w:rFonts w:asciiTheme="minorHAnsi" w:hAnsiTheme="minorHAnsi" w:cstheme="minorHAnsi"/>
          <w:color w:val="000000"/>
          <w:sz w:val="21"/>
          <w:szCs w:val="21"/>
        </w:rPr>
        <w:t>ce preferovaných fixací byla při výpoč</w:t>
      </w:r>
      <w:r w:rsidR="00CC3D3D" w:rsidRPr="00AB7BAF">
        <w:rPr>
          <w:rFonts w:asciiTheme="minorHAnsi" w:hAnsiTheme="minorHAnsi" w:cstheme="minorHAnsi"/>
          <w:color w:val="000000"/>
          <w:sz w:val="21"/>
          <w:szCs w:val="21"/>
        </w:rPr>
        <w:t>t</w:t>
      </w:r>
      <w:r w:rsidR="004919CC" w:rsidRPr="00AB7BAF">
        <w:rPr>
          <w:rFonts w:asciiTheme="minorHAnsi" w:hAnsiTheme="minorHAnsi" w:cstheme="minorHAnsi"/>
          <w:color w:val="000000"/>
          <w:sz w:val="21"/>
          <w:szCs w:val="21"/>
        </w:rPr>
        <w:t>u zohledněna</w:t>
      </w:r>
      <w:r w:rsidR="00CC3D3D" w:rsidRPr="00AB7BAF">
        <w:rPr>
          <w:rFonts w:asciiTheme="minorHAnsi" w:hAnsiTheme="minorHAnsi" w:cstheme="minorHAnsi"/>
          <w:color w:val="000000"/>
          <w:sz w:val="21"/>
          <w:szCs w:val="21"/>
        </w:rPr>
        <w:t xml:space="preserve"> pětiletá fixace úrokových sazeb.</w:t>
      </w:r>
    </w:p>
    <w:p w14:paraId="5FCF3C96" w14:textId="79E57602" w:rsidR="00B01F39" w:rsidRPr="00C21F84" w:rsidRDefault="00C947C0" w:rsidP="007B1851">
      <w:pPr>
        <w:rPr>
          <w:rFonts w:asciiTheme="minorHAnsi" w:hAnsiTheme="minorHAnsi" w:cstheme="minorHAnsi"/>
          <w:i/>
          <w:color w:val="1D1D1B"/>
          <w:w w:val="105"/>
          <w:sz w:val="20"/>
          <w:szCs w:val="20"/>
        </w:rPr>
      </w:pPr>
      <w:r w:rsidRPr="00C21F84">
        <w:rPr>
          <w:rFonts w:asciiTheme="minorHAnsi" w:hAnsiTheme="minorHAnsi" w:cstheme="minorHAnsi"/>
          <w:b/>
          <w:sz w:val="20"/>
          <w:szCs w:val="20"/>
        </w:rPr>
        <w:t>P</w:t>
      </w:r>
      <w:r w:rsidR="00B37F41" w:rsidRPr="00C21F84">
        <w:rPr>
          <w:rFonts w:asciiTheme="minorHAnsi" w:hAnsiTheme="minorHAnsi" w:cstheme="minorHAnsi"/>
          <w:b/>
          <w:sz w:val="20"/>
          <w:szCs w:val="20"/>
        </w:rPr>
        <w:t>oznámka pro média:</w:t>
      </w:r>
      <w:r w:rsidR="00B37F41" w:rsidRPr="00C21F84">
        <w:rPr>
          <w:rFonts w:asciiTheme="minorHAnsi" w:hAnsiTheme="minorHAnsi" w:cstheme="minorHAnsi"/>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Indexy</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je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možné</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volně</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spacing w:val="2"/>
          <w:w w:val="105"/>
          <w:sz w:val="20"/>
          <w:szCs w:val="20"/>
        </w:rPr>
        <w:t>publikovat</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pouze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s</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označením</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spacing w:val="-3"/>
          <w:w w:val="105"/>
          <w:sz w:val="20"/>
          <w:szCs w:val="20"/>
        </w:rPr>
        <w:t>(</w:t>
      </w:r>
      <w:r w:rsidR="00B37F41" w:rsidRPr="00C21F84">
        <w:rPr>
          <w:rFonts w:asciiTheme="minorHAnsi" w:hAnsiTheme="minorHAnsi" w:cstheme="minorHAnsi"/>
          <w:i/>
          <w:color w:val="1D1D1B"/>
          <w:spacing w:val="-3"/>
          <w:w w:val="105"/>
          <w:sz w:val="20"/>
          <w:szCs w:val="20"/>
        </w:rPr>
        <w:t>např.</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Broker</w:t>
      </w:r>
      <w:r w:rsidR="00B37F41" w:rsidRPr="00C21F84">
        <w:rPr>
          <w:rFonts w:asciiTheme="minorHAnsi" w:hAnsiTheme="minorHAnsi" w:cstheme="minorHAnsi"/>
          <w:i/>
          <w:color w:val="1D1D1B"/>
          <w:spacing w:val="-9"/>
          <w:w w:val="105"/>
          <w:sz w:val="20"/>
          <w:szCs w:val="20"/>
        </w:rPr>
        <w:t xml:space="preserve"> </w:t>
      </w:r>
      <w:r w:rsidR="00B37F41" w:rsidRPr="00C21F84">
        <w:rPr>
          <w:rFonts w:asciiTheme="minorHAnsi" w:hAnsiTheme="minorHAnsi" w:cstheme="minorHAnsi"/>
          <w:i/>
          <w:color w:val="1D1D1B"/>
          <w:w w:val="105"/>
          <w:sz w:val="20"/>
          <w:szCs w:val="20"/>
        </w:rPr>
        <w:t>Consulting</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index hypot</w:t>
      </w:r>
      <w:r w:rsidR="00830CE8" w:rsidRPr="00C21F84">
        <w:rPr>
          <w:rFonts w:asciiTheme="minorHAnsi" w:hAnsiTheme="minorHAnsi" w:cstheme="minorHAnsi"/>
          <w:i/>
          <w:color w:val="1D1D1B"/>
          <w:w w:val="105"/>
          <w:sz w:val="20"/>
          <w:szCs w:val="20"/>
        </w:rPr>
        <w:t>e</w:t>
      </w:r>
      <w:r w:rsidR="00B37F41" w:rsidRPr="00C21F84">
        <w:rPr>
          <w:rFonts w:asciiTheme="minorHAnsi" w:hAnsiTheme="minorHAnsi" w:cstheme="minorHAnsi"/>
          <w:i/>
          <w:color w:val="1D1D1B"/>
          <w:w w:val="105"/>
          <w:sz w:val="20"/>
          <w:szCs w:val="20"/>
        </w:rPr>
        <w:t xml:space="preserve">čních úvěrů). Více informací najdete též na webu </w:t>
      </w:r>
      <w:r w:rsidR="00B37F41" w:rsidRPr="00C21F84">
        <w:rPr>
          <w:rStyle w:val="Hypertextovodkaz"/>
          <w:rFonts w:asciiTheme="minorHAnsi" w:hAnsiTheme="minorHAnsi" w:cstheme="minorHAnsi"/>
          <w:i/>
          <w:w w:val="105"/>
          <w:sz w:val="20"/>
          <w:szCs w:val="20"/>
        </w:rPr>
        <w:t>https://www.bcas.cz/onas/pro-media/</w:t>
      </w:r>
      <w:r w:rsidR="00B37F41" w:rsidRPr="00C21F84">
        <w:rPr>
          <w:rFonts w:asciiTheme="minorHAnsi" w:hAnsiTheme="minorHAnsi" w:cstheme="minorHAnsi"/>
          <w:i/>
          <w:color w:val="1D1D1B"/>
          <w:w w:val="105"/>
          <w:sz w:val="20"/>
          <w:szCs w:val="20"/>
        </w:rPr>
        <w:t xml:space="preserve">. </w:t>
      </w:r>
    </w:p>
    <w:p w14:paraId="0BBC87EC" w14:textId="77777777" w:rsidR="001C22FE" w:rsidRPr="00C21F84" w:rsidRDefault="001C22FE" w:rsidP="001C22FE">
      <w:pPr>
        <w:rPr>
          <w:rFonts w:asciiTheme="minorHAnsi" w:hAnsiTheme="minorHAnsi" w:cstheme="minorHAnsi"/>
          <w:b/>
          <w:color w:val="FF0000"/>
          <w:w w:val="105"/>
          <w:sz w:val="20"/>
          <w:szCs w:val="20"/>
        </w:rPr>
      </w:pPr>
    </w:p>
    <w:p w14:paraId="72ED1D97" w14:textId="126A9B30" w:rsidR="001C22FE" w:rsidRPr="00C21F84" w:rsidRDefault="001C22FE" w:rsidP="007B1851">
      <w:pPr>
        <w:rPr>
          <w:rFonts w:asciiTheme="minorHAnsi" w:hAnsiTheme="minorHAnsi" w:cstheme="minorHAnsi"/>
          <w:b/>
          <w:color w:val="1D1D1B"/>
          <w:w w:val="105"/>
          <w:sz w:val="20"/>
          <w:szCs w:val="20"/>
        </w:rPr>
      </w:pPr>
      <w:r w:rsidRPr="00C21F84">
        <w:rPr>
          <w:rFonts w:asciiTheme="minorHAnsi" w:hAnsiTheme="minorHAnsi" w:cstheme="minorHAnsi"/>
          <w:b/>
          <w:color w:val="FF0000"/>
          <w:w w:val="105"/>
          <w:sz w:val="20"/>
          <w:szCs w:val="20"/>
        </w:rPr>
        <w:t>Broker Consulting Indexy je nyní možné sledovat v interaktivní formě na webu</w:t>
      </w:r>
      <w:r w:rsidRPr="00C21F84">
        <w:rPr>
          <w:rFonts w:asciiTheme="minorHAnsi" w:hAnsiTheme="minorHAnsi" w:cstheme="minorHAnsi"/>
          <w:color w:val="1D1D1B"/>
          <w:w w:val="105"/>
          <w:sz w:val="20"/>
          <w:szCs w:val="20"/>
        </w:rPr>
        <w:t>. Zde lze zároveň exportovat zdrojová data ke grafům. Vice dostupné na odkaze</w:t>
      </w:r>
      <w:r w:rsidRPr="00C21F84">
        <w:rPr>
          <w:rFonts w:asciiTheme="minorHAnsi" w:hAnsiTheme="minorHAnsi" w:cstheme="minorHAnsi"/>
          <w:b/>
          <w:color w:val="1D1D1B"/>
          <w:w w:val="105"/>
          <w:sz w:val="20"/>
          <w:szCs w:val="20"/>
        </w:rPr>
        <w:t xml:space="preserve">: </w:t>
      </w:r>
      <w:hyperlink r:id="rId30" w:history="1">
        <w:r w:rsidRPr="00C21F84">
          <w:rPr>
            <w:rStyle w:val="Hypertextovodkaz"/>
            <w:rFonts w:asciiTheme="minorHAnsi" w:hAnsiTheme="minorHAnsi" w:cstheme="minorHAnsi"/>
            <w:b/>
            <w:w w:val="105"/>
            <w:sz w:val="20"/>
            <w:szCs w:val="20"/>
          </w:rPr>
          <w:t>https://www.bcas.cz/o-nas/broker-consulting-index-hypotecnich-uveru/</w:t>
        </w:r>
      </w:hyperlink>
      <w:r w:rsidRPr="00C21F84">
        <w:rPr>
          <w:rFonts w:asciiTheme="minorHAnsi" w:hAnsiTheme="minorHAnsi" w:cstheme="minorHAnsi"/>
          <w:b/>
          <w:color w:val="1D1D1B"/>
          <w:w w:val="105"/>
          <w:sz w:val="20"/>
          <w:szCs w:val="20"/>
        </w:rPr>
        <w:t xml:space="preserve">. </w:t>
      </w:r>
    </w:p>
    <w:p w14:paraId="7DE80F01" w14:textId="5F0A8380" w:rsidR="00CA1806" w:rsidRPr="00C21F84" w:rsidRDefault="00CA1806" w:rsidP="00B27178">
      <w:pPr>
        <w:jc w:val="both"/>
        <w:rPr>
          <w:rFonts w:asciiTheme="minorHAnsi" w:eastAsia="Calibri" w:hAnsiTheme="minorHAnsi" w:cstheme="minorHAnsi"/>
          <w:b/>
          <w:bCs/>
          <w:noProof/>
          <w:sz w:val="20"/>
          <w:szCs w:val="20"/>
        </w:rPr>
      </w:pPr>
    </w:p>
    <w:p w14:paraId="7C1907C0" w14:textId="1D2EC938" w:rsidR="00D60D98" w:rsidRPr="00C21F84" w:rsidRDefault="00D60D98" w:rsidP="0029038B">
      <w:pPr>
        <w:spacing w:after="120"/>
        <w:rPr>
          <w:rFonts w:asciiTheme="minorHAnsi" w:eastAsia="Calibri" w:hAnsiTheme="minorHAnsi" w:cstheme="minorHAnsi"/>
          <w:b/>
          <w:bCs/>
          <w:noProof/>
          <w:sz w:val="20"/>
          <w:szCs w:val="20"/>
        </w:rPr>
      </w:pPr>
      <w:r w:rsidRPr="00C21F84">
        <w:rPr>
          <w:rFonts w:asciiTheme="minorHAnsi" w:eastAsia="Calibri" w:hAnsiTheme="minorHAnsi" w:cstheme="minorHAnsi"/>
          <w:b/>
          <w:bCs/>
          <w:noProof/>
          <w:sz w:val="20"/>
          <w:szCs w:val="20"/>
        </w:rPr>
        <w:t>Kontakt pro média:</w:t>
      </w:r>
    </w:p>
    <w:p w14:paraId="459105C8" w14:textId="19390DF7" w:rsidR="00692610" w:rsidRPr="00C21F84" w:rsidRDefault="0029038B" w:rsidP="00C07D5F">
      <w:pPr>
        <w:rPr>
          <w:rFonts w:asciiTheme="minorHAnsi" w:eastAsia="Calibri" w:hAnsiTheme="minorHAnsi" w:cstheme="minorHAnsi"/>
          <w:bCs/>
          <w:noProof/>
          <w:sz w:val="20"/>
          <w:szCs w:val="20"/>
          <w:lang w:bidi="ar-SA"/>
        </w:rPr>
      </w:pPr>
      <w:r>
        <w:rPr>
          <w:rFonts w:asciiTheme="minorHAnsi" w:eastAsia="Calibri" w:hAnsiTheme="minorHAnsi" w:cstheme="minorHAnsi"/>
          <w:bCs/>
          <w:noProof/>
          <w:sz w:val="20"/>
          <w:szCs w:val="20"/>
        </w:rPr>
        <w:lastRenderedPageBreak/>
        <w:t>Lenka Kuželová</w:t>
      </w:r>
    </w:p>
    <w:p w14:paraId="1DBDA364" w14:textId="46DCE93E" w:rsidR="005F2383" w:rsidRPr="00C21F84" w:rsidRDefault="00692610" w:rsidP="00C07D5F">
      <w:pPr>
        <w:pStyle w:val="Bezmezer"/>
        <w:rPr>
          <w:rFonts w:eastAsia="Calibri" w:cstheme="minorHAnsi"/>
          <w:noProof/>
          <w:sz w:val="20"/>
          <w:szCs w:val="20"/>
        </w:rPr>
      </w:pPr>
      <w:r w:rsidRPr="00C21F84">
        <w:rPr>
          <w:rFonts w:eastAsia="Calibri" w:cstheme="minorHAnsi"/>
          <w:noProof/>
          <w:sz w:val="20"/>
          <w:szCs w:val="20"/>
        </w:rPr>
        <w:t xml:space="preserve">Specialistka PR </w:t>
      </w:r>
    </w:p>
    <w:p w14:paraId="2CCB0CE9" w14:textId="7017C754" w:rsidR="0029038B" w:rsidRDefault="0029038B" w:rsidP="0029038B">
      <w:pPr>
        <w:pStyle w:val="Bezmezer"/>
        <w:rPr>
          <w:rFonts w:eastAsia="F015TEELig" w:cstheme="minorHAnsi"/>
          <w:sz w:val="21"/>
          <w:szCs w:val="21"/>
        </w:rPr>
      </w:pPr>
      <w:r>
        <w:rPr>
          <w:rFonts w:eastAsia="F015TEELig" w:cstheme="minorHAnsi"/>
          <w:sz w:val="21"/>
          <w:szCs w:val="21"/>
        </w:rPr>
        <w:t>Mobil:</w:t>
      </w:r>
      <w:r w:rsidR="00203BB5">
        <w:rPr>
          <w:rFonts w:eastAsia="F015TEELig" w:cstheme="minorHAnsi"/>
          <w:sz w:val="21"/>
          <w:szCs w:val="21"/>
        </w:rPr>
        <w:t xml:space="preserve"> +420 731 929 990</w:t>
      </w:r>
      <w:r w:rsidRPr="00AD79CC">
        <w:rPr>
          <w:rFonts w:eastAsia="F015TEELig" w:cstheme="minorHAnsi"/>
          <w:sz w:val="21"/>
          <w:szCs w:val="21"/>
        </w:rPr>
        <w:t xml:space="preserve">, </w:t>
      </w:r>
    </w:p>
    <w:p w14:paraId="46F484FA" w14:textId="2D9E4BB4" w:rsidR="0029038B" w:rsidRPr="00AD79CC" w:rsidRDefault="0029038B" w:rsidP="0029038B">
      <w:pPr>
        <w:pStyle w:val="Bezmezer"/>
        <w:rPr>
          <w:rFonts w:eastAsia="F015TEELig" w:cstheme="minorHAnsi"/>
          <w:sz w:val="21"/>
          <w:szCs w:val="21"/>
        </w:rPr>
      </w:pPr>
      <w:r w:rsidRPr="00AD79CC">
        <w:rPr>
          <w:rFonts w:eastAsia="F015TEELig" w:cstheme="minorHAnsi"/>
          <w:sz w:val="21"/>
          <w:szCs w:val="21"/>
        </w:rPr>
        <w:t>e-mail:</w:t>
      </w:r>
      <w:r w:rsidRPr="00AD79CC">
        <w:rPr>
          <w:rFonts w:eastAsia="Calibri" w:cstheme="minorHAnsi"/>
          <w:noProof/>
          <w:sz w:val="21"/>
          <w:szCs w:val="21"/>
        </w:rPr>
        <w:t xml:space="preserve"> </w:t>
      </w:r>
      <w:hyperlink r:id="rId31"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025F1B2F" w14:textId="28790D00" w:rsidR="00D60D98" w:rsidRPr="00C21F84" w:rsidRDefault="00D60D98" w:rsidP="0029038B">
      <w:pPr>
        <w:pStyle w:val="Bezmezer"/>
        <w:rPr>
          <w:rFonts w:eastAsia="Calibri" w:cstheme="minorHAnsi"/>
          <w:noProof/>
          <w:sz w:val="20"/>
          <w:szCs w:val="20"/>
        </w:rPr>
      </w:pPr>
    </w:p>
    <w:sectPr w:rsidR="00D60D98" w:rsidRPr="00C21F8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FFC03" w14:textId="77777777" w:rsidR="00F9003B" w:rsidRDefault="00F9003B">
      <w:r>
        <w:separator/>
      </w:r>
    </w:p>
  </w:endnote>
  <w:endnote w:type="continuationSeparator" w:id="0">
    <w:p w14:paraId="61903023" w14:textId="77777777" w:rsidR="00F9003B" w:rsidRDefault="00F90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015TEELig">
    <w:altName w:val="Times New Roman"/>
    <w:charset w:val="EE"/>
    <w:family w:val="auto"/>
    <w:pitch w:val="variable"/>
    <w:sig w:usb0="00000001" w:usb1="00002048" w:usb2="00000000" w:usb3="00000000" w:csb0="00000083" w:csb1="00000000"/>
  </w:font>
  <w:font w:name="Calibri">
    <w:panose1 w:val="020F0502020204030204"/>
    <w:charset w:val="EE"/>
    <w:family w:val="swiss"/>
    <w:pitch w:val="variable"/>
    <w:sig w:usb0="E4002EFF" w:usb1="C200247B" w:usb2="00000009" w:usb3="00000000" w:csb0="000001FF"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844E" w14:textId="77777777" w:rsidR="00182E22" w:rsidRDefault="00182E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F9003B"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4A4742"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F9003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4A4742"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F9003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4A4742"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FC255" w14:textId="77777777" w:rsidR="00182E22" w:rsidRDefault="00182E2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13303" w14:textId="77777777" w:rsidR="00F9003B" w:rsidRDefault="00F9003B">
      <w:r>
        <w:separator/>
      </w:r>
    </w:p>
  </w:footnote>
  <w:footnote w:type="continuationSeparator" w:id="0">
    <w:p w14:paraId="3773F870" w14:textId="77777777" w:rsidR="00F9003B" w:rsidRDefault="00F90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9F15" w14:textId="77777777" w:rsidR="00182E22" w:rsidRDefault="00182E2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7443AD" w:rsidRDefault="00D80B6D" w:rsidP="00E95698">
    <w:pPr>
      <w:tabs>
        <w:tab w:val="left" w:pos="8633"/>
      </w:tabs>
      <w:spacing w:before="80"/>
      <w:ind w:firstLine="2880"/>
      <w:rPr>
        <w:rFonts w:asciiTheme="minorHAnsi" w:hAnsiTheme="minorHAnsi" w:cstheme="minorHAnsi"/>
        <w:sz w:val="52"/>
      </w:rPr>
    </w:pPr>
    <w:r w:rsidRPr="007443A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7443A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7443AD">
      <w:rPr>
        <w:rFonts w:asciiTheme="minorHAnsi" w:hAnsiTheme="minorHAnsi" w:cstheme="minorHAnsi"/>
        <w:color w:val="1D1D1B"/>
        <w:sz w:val="48"/>
      </w:rPr>
      <w:t xml:space="preserve">BROKER CONSULTING </w:t>
    </w:r>
    <w:r w:rsidRPr="007443AD">
      <w:rPr>
        <w:rFonts w:asciiTheme="minorHAnsi" w:hAnsiTheme="minorHAnsi" w:cstheme="minorHAnsi"/>
        <w:color w:val="CD1719"/>
        <w:sz w:val="52"/>
      </w:rPr>
      <w:t>INDEX</w:t>
    </w:r>
  </w:p>
  <w:p w14:paraId="2B920E62"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E83C" w14:textId="77777777" w:rsidR="00182E22" w:rsidRDefault="00182E2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7443AD" w:rsidRDefault="009F59EE" w:rsidP="009F59EE">
    <w:pPr>
      <w:pStyle w:val="Nadpis2"/>
      <w:ind w:left="1440" w:firstLine="720"/>
      <w:rPr>
        <w:rFonts w:asciiTheme="minorHAnsi" w:hAnsiTheme="minorHAnsi" w:cstheme="minorHAnsi"/>
      </w:rPr>
    </w:pPr>
    <w:r w:rsidRPr="007443AD">
      <w:rPr>
        <w:rFonts w:asciiTheme="minorHAnsi" w:hAnsiTheme="minorHAnsi" w:cstheme="minorHAnsi"/>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7443AD">
      <w:rPr>
        <w:rFonts w:asciiTheme="minorHAnsi" w:hAnsiTheme="minorHAnsi" w:cstheme="minorHAnsi"/>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7443AD">
      <w:rPr>
        <w:rFonts w:asciiTheme="minorHAnsi" w:hAnsiTheme="minorHAnsi" w:cstheme="minorHAnsi"/>
        <w:color w:val="1D1D1B"/>
      </w:rPr>
      <w:t>BROKER CONSULTING</w:t>
    </w:r>
  </w:p>
  <w:p w14:paraId="3FF270D6" w14:textId="6799F236" w:rsidR="00D40C89" w:rsidRPr="007443AD" w:rsidRDefault="009F59EE" w:rsidP="00D40C89">
    <w:pPr>
      <w:spacing w:before="85"/>
      <w:ind w:left="1440" w:firstLine="720"/>
      <w:rPr>
        <w:rFonts w:asciiTheme="minorHAnsi" w:hAnsiTheme="minorHAnsi" w:cstheme="minorHAnsi"/>
        <w:color w:val="E52713"/>
        <w:sz w:val="28"/>
        <w:szCs w:val="28"/>
      </w:rPr>
    </w:pPr>
    <w:r w:rsidRPr="007443AD">
      <w:rPr>
        <w:rFonts w:asciiTheme="minorHAnsi" w:hAnsiTheme="minorHAnsi" w:cstheme="minorHAnsi"/>
        <w:color w:val="E52713"/>
        <w:sz w:val="28"/>
        <w:szCs w:val="28"/>
      </w:rPr>
      <w:t xml:space="preserve">INDEX </w:t>
    </w:r>
    <w:r w:rsidR="002A1185" w:rsidRPr="007443AD">
      <w:rPr>
        <w:rFonts w:asciiTheme="minorHAnsi" w:hAnsiTheme="minorHAnsi" w:cstheme="minorHAnsi"/>
        <w:color w:val="E52713"/>
        <w:sz w:val="28"/>
        <w:szCs w:val="28"/>
      </w:rPr>
      <w:t>HYPOTEČNÍCH ÚVĚRŮ</w:t>
    </w:r>
    <w:r w:rsidR="00D40C89" w:rsidRPr="007443AD">
      <w:rPr>
        <w:rFonts w:asciiTheme="minorHAnsi" w:hAnsiTheme="minorHAnsi" w:cstheme="minorHAnsi"/>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44BEA"/>
    <w:multiLevelType w:val="hybridMultilevel"/>
    <w:tmpl w:val="1A8CC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823025E"/>
    <w:multiLevelType w:val="hybridMultilevel"/>
    <w:tmpl w:val="ECCE2D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FE52180"/>
    <w:multiLevelType w:val="hybridMultilevel"/>
    <w:tmpl w:val="CA92D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48631C5"/>
    <w:multiLevelType w:val="hybridMultilevel"/>
    <w:tmpl w:val="37368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5" w15:restartNumberingAfterBreak="0">
    <w:nsid w:val="3A62021C"/>
    <w:multiLevelType w:val="hybridMultilevel"/>
    <w:tmpl w:val="40EC06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45325D01"/>
    <w:multiLevelType w:val="hybridMultilevel"/>
    <w:tmpl w:val="20B04784"/>
    <w:lvl w:ilvl="0" w:tplc="67E89344">
      <w:start w:val="6"/>
      <w:numFmt w:val="bullet"/>
      <w:lvlText w:val="-"/>
      <w:lvlJc w:val="left"/>
      <w:pPr>
        <w:ind w:left="720" w:hanging="360"/>
      </w:pPr>
      <w:rPr>
        <w:rFonts w:ascii="Arial" w:eastAsia="F015TEELi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5D60C79"/>
    <w:multiLevelType w:val="hybridMultilevel"/>
    <w:tmpl w:val="E6EEC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914760E"/>
    <w:multiLevelType w:val="hybridMultilevel"/>
    <w:tmpl w:val="7B56E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9E675A0"/>
    <w:multiLevelType w:val="hybridMultilevel"/>
    <w:tmpl w:val="B462C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2B60605"/>
    <w:multiLevelType w:val="hybridMultilevel"/>
    <w:tmpl w:val="482ABF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9"/>
  </w:num>
  <w:num w:numId="5">
    <w:abstractNumId w:val="10"/>
  </w:num>
  <w:num w:numId="6">
    <w:abstractNumId w:val="6"/>
  </w:num>
  <w:num w:numId="7">
    <w:abstractNumId w:val="12"/>
  </w:num>
  <w:num w:numId="8">
    <w:abstractNumId w:val="3"/>
  </w:num>
  <w:num w:numId="9">
    <w:abstractNumId w:val="8"/>
  </w:num>
  <w:num w:numId="10">
    <w:abstractNumId w:val="5"/>
  </w:num>
  <w:num w:numId="11">
    <w:abstractNumId w:val="11"/>
  </w:num>
  <w:num w:numId="12">
    <w:abstractNumId w:val="8"/>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306F"/>
    <w:rsid w:val="00004919"/>
    <w:rsid w:val="00005B61"/>
    <w:rsid w:val="00010EBF"/>
    <w:rsid w:val="00011DF6"/>
    <w:rsid w:val="000120DC"/>
    <w:rsid w:val="00014FB5"/>
    <w:rsid w:val="0001597B"/>
    <w:rsid w:val="000164D5"/>
    <w:rsid w:val="00020EC7"/>
    <w:rsid w:val="0002230E"/>
    <w:rsid w:val="000226F3"/>
    <w:rsid w:val="000262B1"/>
    <w:rsid w:val="00026348"/>
    <w:rsid w:val="00026F23"/>
    <w:rsid w:val="000277AC"/>
    <w:rsid w:val="00027C83"/>
    <w:rsid w:val="0003028F"/>
    <w:rsid w:val="00030E97"/>
    <w:rsid w:val="00032A79"/>
    <w:rsid w:val="00032D94"/>
    <w:rsid w:val="0003332D"/>
    <w:rsid w:val="00033FD7"/>
    <w:rsid w:val="000374D7"/>
    <w:rsid w:val="00037DAF"/>
    <w:rsid w:val="000400E4"/>
    <w:rsid w:val="000412FA"/>
    <w:rsid w:val="0004477D"/>
    <w:rsid w:val="0004487D"/>
    <w:rsid w:val="00044EC5"/>
    <w:rsid w:val="00045D86"/>
    <w:rsid w:val="00046AF6"/>
    <w:rsid w:val="0004776E"/>
    <w:rsid w:val="0005085B"/>
    <w:rsid w:val="0005423A"/>
    <w:rsid w:val="00057F54"/>
    <w:rsid w:val="000611E3"/>
    <w:rsid w:val="00061BF6"/>
    <w:rsid w:val="00065C6C"/>
    <w:rsid w:val="00067DFF"/>
    <w:rsid w:val="00070652"/>
    <w:rsid w:val="00074B2B"/>
    <w:rsid w:val="000766E7"/>
    <w:rsid w:val="00080E7A"/>
    <w:rsid w:val="00080EB3"/>
    <w:rsid w:val="00081616"/>
    <w:rsid w:val="000823D3"/>
    <w:rsid w:val="000823D6"/>
    <w:rsid w:val="00082D29"/>
    <w:rsid w:val="0008331F"/>
    <w:rsid w:val="000845CA"/>
    <w:rsid w:val="000851AC"/>
    <w:rsid w:val="000853D4"/>
    <w:rsid w:val="00087894"/>
    <w:rsid w:val="000878FB"/>
    <w:rsid w:val="0009257D"/>
    <w:rsid w:val="00092AEE"/>
    <w:rsid w:val="00092BB7"/>
    <w:rsid w:val="00092C6B"/>
    <w:rsid w:val="00094C16"/>
    <w:rsid w:val="00096425"/>
    <w:rsid w:val="00096ECA"/>
    <w:rsid w:val="0009776B"/>
    <w:rsid w:val="000A080B"/>
    <w:rsid w:val="000A3E94"/>
    <w:rsid w:val="000A6181"/>
    <w:rsid w:val="000A6CF9"/>
    <w:rsid w:val="000B11A5"/>
    <w:rsid w:val="000B187C"/>
    <w:rsid w:val="000B6DD9"/>
    <w:rsid w:val="000B6E1B"/>
    <w:rsid w:val="000C181E"/>
    <w:rsid w:val="000C2DA6"/>
    <w:rsid w:val="000C5541"/>
    <w:rsid w:val="000C6D26"/>
    <w:rsid w:val="000C7564"/>
    <w:rsid w:val="000D0013"/>
    <w:rsid w:val="000D0B6F"/>
    <w:rsid w:val="000D14E2"/>
    <w:rsid w:val="000D17B9"/>
    <w:rsid w:val="000D2CFC"/>
    <w:rsid w:val="000D4AFB"/>
    <w:rsid w:val="000D6DDC"/>
    <w:rsid w:val="000D6E9B"/>
    <w:rsid w:val="000D7158"/>
    <w:rsid w:val="000E01C2"/>
    <w:rsid w:val="000E0639"/>
    <w:rsid w:val="000E19B2"/>
    <w:rsid w:val="000E1C76"/>
    <w:rsid w:val="000E3D86"/>
    <w:rsid w:val="000E568C"/>
    <w:rsid w:val="000E5D32"/>
    <w:rsid w:val="000E6E14"/>
    <w:rsid w:val="000F092E"/>
    <w:rsid w:val="000F4B6C"/>
    <w:rsid w:val="000F50BC"/>
    <w:rsid w:val="000F6249"/>
    <w:rsid w:val="000F6EBE"/>
    <w:rsid w:val="00101CEC"/>
    <w:rsid w:val="001027D6"/>
    <w:rsid w:val="00103109"/>
    <w:rsid w:val="00105248"/>
    <w:rsid w:val="00106E26"/>
    <w:rsid w:val="001115A2"/>
    <w:rsid w:val="001117DE"/>
    <w:rsid w:val="00111C28"/>
    <w:rsid w:val="00113603"/>
    <w:rsid w:val="001153E3"/>
    <w:rsid w:val="00115555"/>
    <w:rsid w:val="00117AE4"/>
    <w:rsid w:val="00120113"/>
    <w:rsid w:val="001214E7"/>
    <w:rsid w:val="00122208"/>
    <w:rsid w:val="00122CEB"/>
    <w:rsid w:val="00123136"/>
    <w:rsid w:val="0012361F"/>
    <w:rsid w:val="00124353"/>
    <w:rsid w:val="00125B97"/>
    <w:rsid w:val="0012657A"/>
    <w:rsid w:val="00126BEC"/>
    <w:rsid w:val="00127234"/>
    <w:rsid w:val="001278B4"/>
    <w:rsid w:val="0013044E"/>
    <w:rsid w:val="00131A69"/>
    <w:rsid w:val="001327CE"/>
    <w:rsid w:val="00132E53"/>
    <w:rsid w:val="00136115"/>
    <w:rsid w:val="00136D8D"/>
    <w:rsid w:val="00137003"/>
    <w:rsid w:val="0013717C"/>
    <w:rsid w:val="00140987"/>
    <w:rsid w:val="001421B4"/>
    <w:rsid w:val="00144C0E"/>
    <w:rsid w:val="00145622"/>
    <w:rsid w:val="001516CA"/>
    <w:rsid w:val="001524FB"/>
    <w:rsid w:val="00154308"/>
    <w:rsid w:val="00154AC2"/>
    <w:rsid w:val="0015559F"/>
    <w:rsid w:val="00156082"/>
    <w:rsid w:val="00156C9D"/>
    <w:rsid w:val="00160686"/>
    <w:rsid w:val="00160E1C"/>
    <w:rsid w:val="00161352"/>
    <w:rsid w:val="00161830"/>
    <w:rsid w:val="001620E3"/>
    <w:rsid w:val="00162553"/>
    <w:rsid w:val="00162D8E"/>
    <w:rsid w:val="00164598"/>
    <w:rsid w:val="0016482C"/>
    <w:rsid w:val="0016556A"/>
    <w:rsid w:val="001675AF"/>
    <w:rsid w:val="0016771F"/>
    <w:rsid w:val="0017296F"/>
    <w:rsid w:val="001734B4"/>
    <w:rsid w:val="00174317"/>
    <w:rsid w:val="00175545"/>
    <w:rsid w:val="001767A5"/>
    <w:rsid w:val="00176E93"/>
    <w:rsid w:val="00177C18"/>
    <w:rsid w:val="00182A92"/>
    <w:rsid w:val="00182E22"/>
    <w:rsid w:val="00187310"/>
    <w:rsid w:val="00187A96"/>
    <w:rsid w:val="00192716"/>
    <w:rsid w:val="00194831"/>
    <w:rsid w:val="00194B5D"/>
    <w:rsid w:val="001A0A5C"/>
    <w:rsid w:val="001A10BF"/>
    <w:rsid w:val="001A1A56"/>
    <w:rsid w:val="001A2D08"/>
    <w:rsid w:val="001A32C3"/>
    <w:rsid w:val="001A54DD"/>
    <w:rsid w:val="001A5AC8"/>
    <w:rsid w:val="001A61A5"/>
    <w:rsid w:val="001A7D2F"/>
    <w:rsid w:val="001B1E41"/>
    <w:rsid w:val="001B2A07"/>
    <w:rsid w:val="001B2C03"/>
    <w:rsid w:val="001B3B31"/>
    <w:rsid w:val="001B4F4B"/>
    <w:rsid w:val="001B501B"/>
    <w:rsid w:val="001B58E7"/>
    <w:rsid w:val="001B6694"/>
    <w:rsid w:val="001B6D7A"/>
    <w:rsid w:val="001B7936"/>
    <w:rsid w:val="001C22FE"/>
    <w:rsid w:val="001C2FDD"/>
    <w:rsid w:val="001D015A"/>
    <w:rsid w:val="001D30C7"/>
    <w:rsid w:val="001D33DB"/>
    <w:rsid w:val="001D33FA"/>
    <w:rsid w:val="001D36F0"/>
    <w:rsid w:val="001D3DFC"/>
    <w:rsid w:val="001D42DB"/>
    <w:rsid w:val="001D45F5"/>
    <w:rsid w:val="001D505E"/>
    <w:rsid w:val="001D5EFC"/>
    <w:rsid w:val="001E02C2"/>
    <w:rsid w:val="001E0A89"/>
    <w:rsid w:val="001E13C0"/>
    <w:rsid w:val="001E1597"/>
    <w:rsid w:val="001E4209"/>
    <w:rsid w:val="001F1D14"/>
    <w:rsid w:val="001F2399"/>
    <w:rsid w:val="001F4D74"/>
    <w:rsid w:val="001F7194"/>
    <w:rsid w:val="001F71BA"/>
    <w:rsid w:val="001F7577"/>
    <w:rsid w:val="0020178D"/>
    <w:rsid w:val="002019F3"/>
    <w:rsid w:val="0020207A"/>
    <w:rsid w:val="00202F22"/>
    <w:rsid w:val="00203BB5"/>
    <w:rsid w:val="00203BD4"/>
    <w:rsid w:val="002046F4"/>
    <w:rsid w:val="00206E92"/>
    <w:rsid w:val="00207D22"/>
    <w:rsid w:val="00212C2E"/>
    <w:rsid w:val="0021395D"/>
    <w:rsid w:val="002141AF"/>
    <w:rsid w:val="00216B81"/>
    <w:rsid w:val="00216F2E"/>
    <w:rsid w:val="00217E92"/>
    <w:rsid w:val="00220529"/>
    <w:rsid w:val="002220C9"/>
    <w:rsid w:val="00223FFD"/>
    <w:rsid w:val="00224032"/>
    <w:rsid w:val="00224AF1"/>
    <w:rsid w:val="00224C0C"/>
    <w:rsid w:val="00224E6E"/>
    <w:rsid w:val="00225CEC"/>
    <w:rsid w:val="00225D70"/>
    <w:rsid w:val="00232B0D"/>
    <w:rsid w:val="00233BF3"/>
    <w:rsid w:val="00233DE0"/>
    <w:rsid w:val="00233E40"/>
    <w:rsid w:val="002368F3"/>
    <w:rsid w:val="00236A37"/>
    <w:rsid w:val="00240576"/>
    <w:rsid w:val="00241313"/>
    <w:rsid w:val="00241AA2"/>
    <w:rsid w:val="00241DC1"/>
    <w:rsid w:val="0024212A"/>
    <w:rsid w:val="00242669"/>
    <w:rsid w:val="00243384"/>
    <w:rsid w:val="002447CA"/>
    <w:rsid w:val="0025080B"/>
    <w:rsid w:val="0025183C"/>
    <w:rsid w:val="00251F32"/>
    <w:rsid w:val="0025264B"/>
    <w:rsid w:val="00252DB1"/>
    <w:rsid w:val="00253ACF"/>
    <w:rsid w:val="00253C9E"/>
    <w:rsid w:val="00253E73"/>
    <w:rsid w:val="0025428A"/>
    <w:rsid w:val="002555D2"/>
    <w:rsid w:val="00257294"/>
    <w:rsid w:val="00257978"/>
    <w:rsid w:val="002619DC"/>
    <w:rsid w:val="00263E2B"/>
    <w:rsid w:val="00266D10"/>
    <w:rsid w:val="002676E8"/>
    <w:rsid w:val="00267705"/>
    <w:rsid w:val="00270B59"/>
    <w:rsid w:val="00270DB3"/>
    <w:rsid w:val="002717C9"/>
    <w:rsid w:val="0027235F"/>
    <w:rsid w:val="00274782"/>
    <w:rsid w:val="0027691A"/>
    <w:rsid w:val="00277D20"/>
    <w:rsid w:val="00280730"/>
    <w:rsid w:val="0028081F"/>
    <w:rsid w:val="00281C61"/>
    <w:rsid w:val="00281DB8"/>
    <w:rsid w:val="00285767"/>
    <w:rsid w:val="0028607C"/>
    <w:rsid w:val="002863CE"/>
    <w:rsid w:val="0029038B"/>
    <w:rsid w:val="0029566F"/>
    <w:rsid w:val="002961B5"/>
    <w:rsid w:val="00296B24"/>
    <w:rsid w:val="00297291"/>
    <w:rsid w:val="002A1185"/>
    <w:rsid w:val="002A208F"/>
    <w:rsid w:val="002A498A"/>
    <w:rsid w:val="002A61B7"/>
    <w:rsid w:val="002A6312"/>
    <w:rsid w:val="002B01AF"/>
    <w:rsid w:val="002B094E"/>
    <w:rsid w:val="002B1E20"/>
    <w:rsid w:val="002B2A94"/>
    <w:rsid w:val="002B2C8C"/>
    <w:rsid w:val="002B3C6D"/>
    <w:rsid w:val="002B4265"/>
    <w:rsid w:val="002B4919"/>
    <w:rsid w:val="002B4B98"/>
    <w:rsid w:val="002B6F4E"/>
    <w:rsid w:val="002B7650"/>
    <w:rsid w:val="002C06E2"/>
    <w:rsid w:val="002C0E94"/>
    <w:rsid w:val="002C26EB"/>
    <w:rsid w:val="002C6C42"/>
    <w:rsid w:val="002C7D70"/>
    <w:rsid w:val="002D179B"/>
    <w:rsid w:val="002D23B9"/>
    <w:rsid w:val="002D3534"/>
    <w:rsid w:val="002D49F7"/>
    <w:rsid w:val="002D63BF"/>
    <w:rsid w:val="002D64A2"/>
    <w:rsid w:val="002E0400"/>
    <w:rsid w:val="002E0B58"/>
    <w:rsid w:val="002E103D"/>
    <w:rsid w:val="002E1A01"/>
    <w:rsid w:val="002E1A0D"/>
    <w:rsid w:val="002E6173"/>
    <w:rsid w:val="002E6DB6"/>
    <w:rsid w:val="002F002B"/>
    <w:rsid w:val="002F0163"/>
    <w:rsid w:val="002F06AC"/>
    <w:rsid w:val="002F06DF"/>
    <w:rsid w:val="002F09BA"/>
    <w:rsid w:val="002F46B0"/>
    <w:rsid w:val="002F485A"/>
    <w:rsid w:val="002F5550"/>
    <w:rsid w:val="002F62C4"/>
    <w:rsid w:val="002F7818"/>
    <w:rsid w:val="002F7EC2"/>
    <w:rsid w:val="003006A5"/>
    <w:rsid w:val="003015E0"/>
    <w:rsid w:val="0030207B"/>
    <w:rsid w:val="00303778"/>
    <w:rsid w:val="00303A6E"/>
    <w:rsid w:val="003046FE"/>
    <w:rsid w:val="0030751A"/>
    <w:rsid w:val="00307CF8"/>
    <w:rsid w:val="00307E95"/>
    <w:rsid w:val="00307FEB"/>
    <w:rsid w:val="003128F8"/>
    <w:rsid w:val="00313D42"/>
    <w:rsid w:val="00320D67"/>
    <w:rsid w:val="00322E5E"/>
    <w:rsid w:val="00323B17"/>
    <w:rsid w:val="003243A6"/>
    <w:rsid w:val="003247B0"/>
    <w:rsid w:val="0032734F"/>
    <w:rsid w:val="00330918"/>
    <w:rsid w:val="003310D8"/>
    <w:rsid w:val="0033296E"/>
    <w:rsid w:val="003337A9"/>
    <w:rsid w:val="0033431C"/>
    <w:rsid w:val="0033488F"/>
    <w:rsid w:val="00340E70"/>
    <w:rsid w:val="00342F85"/>
    <w:rsid w:val="00347557"/>
    <w:rsid w:val="00347A8D"/>
    <w:rsid w:val="00352286"/>
    <w:rsid w:val="00352435"/>
    <w:rsid w:val="003529EF"/>
    <w:rsid w:val="003537B4"/>
    <w:rsid w:val="00355366"/>
    <w:rsid w:val="003555BB"/>
    <w:rsid w:val="003623C4"/>
    <w:rsid w:val="003629B6"/>
    <w:rsid w:val="00362BFF"/>
    <w:rsid w:val="003640C8"/>
    <w:rsid w:val="00364C11"/>
    <w:rsid w:val="00371225"/>
    <w:rsid w:val="003721AD"/>
    <w:rsid w:val="003747F7"/>
    <w:rsid w:val="00376086"/>
    <w:rsid w:val="003761D9"/>
    <w:rsid w:val="00380608"/>
    <w:rsid w:val="00380E0A"/>
    <w:rsid w:val="0038171D"/>
    <w:rsid w:val="00382546"/>
    <w:rsid w:val="00382EAD"/>
    <w:rsid w:val="00383B9A"/>
    <w:rsid w:val="00383DC5"/>
    <w:rsid w:val="00385EED"/>
    <w:rsid w:val="003864EF"/>
    <w:rsid w:val="00386A43"/>
    <w:rsid w:val="00390B58"/>
    <w:rsid w:val="00391166"/>
    <w:rsid w:val="00394851"/>
    <w:rsid w:val="00395F41"/>
    <w:rsid w:val="003967DF"/>
    <w:rsid w:val="0039717A"/>
    <w:rsid w:val="003A0F06"/>
    <w:rsid w:val="003A156E"/>
    <w:rsid w:val="003A291C"/>
    <w:rsid w:val="003A3DE2"/>
    <w:rsid w:val="003A4860"/>
    <w:rsid w:val="003A4D47"/>
    <w:rsid w:val="003A6435"/>
    <w:rsid w:val="003A7D32"/>
    <w:rsid w:val="003B0E4F"/>
    <w:rsid w:val="003B1966"/>
    <w:rsid w:val="003B221E"/>
    <w:rsid w:val="003B5B25"/>
    <w:rsid w:val="003B60CA"/>
    <w:rsid w:val="003B7BDD"/>
    <w:rsid w:val="003C0CBE"/>
    <w:rsid w:val="003C1344"/>
    <w:rsid w:val="003C3421"/>
    <w:rsid w:val="003C3E1A"/>
    <w:rsid w:val="003C5D0A"/>
    <w:rsid w:val="003D1987"/>
    <w:rsid w:val="003D3431"/>
    <w:rsid w:val="003D3AE8"/>
    <w:rsid w:val="003D69A7"/>
    <w:rsid w:val="003E1308"/>
    <w:rsid w:val="003F07E8"/>
    <w:rsid w:val="003F472F"/>
    <w:rsid w:val="003F79EC"/>
    <w:rsid w:val="00400129"/>
    <w:rsid w:val="004005D9"/>
    <w:rsid w:val="00400A5A"/>
    <w:rsid w:val="004048C6"/>
    <w:rsid w:val="00407AE9"/>
    <w:rsid w:val="004120C7"/>
    <w:rsid w:val="0041257F"/>
    <w:rsid w:val="00412690"/>
    <w:rsid w:val="0042193A"/>
    <w:rsid w:val="0042205E"/>
    <w:rsid w:val="004221E4"/>
    <w:rsid w:val="0042337E"/>
    <w:rsid w:val="004267DE"/>
    <w:rsid w:val="00430ABD"/>
    <w:rsid w:val="00431312"/>
    <w:rsid w:val="00431631"/>
    <w:rsid w:val="00431E50"/>
    <w:rsid w:val="00432FD5"/>
    <w:rsid w:val="00434883"/>
    <w:rsid w:val="00434C5D"/>
    <w:rsid w:val="004350F6"/>
    <w:rsid w:val="00435115"/>
    <w:rsid w:val="0044076C"/>
    <w:rsid w:val="00441028"/>
    <w:rsid w:val="004426E8"/>
    <w:rsid w:val="00444432"/>
    <w:rsid w:val="00445D0A"/>
    <w:rsid w:val="00450DBC"/>
    <w:rsid w:val="0045177C"/>
    <w:rsid w:val="00451896"/>
    <w:rsid w:val="00451B7B"/>
    <w:rsid w:val="0045292A"/>
    <w:rsid w:val="004540ED"/>
    <w:rsid w:val="00454843"/>
    <w:rsid w:val="004564BC"/>
    <w:rsid w:val="004565C7"/>
    <w:rsid w:val="00460176"/>
    <w:rsid w:val="00461D55"/>
    <w:rsid w:val="004627B9"/>
    <w:rsid w:val="00464BF1"/>
    <w:rsid w:val="00465D68"/>
    <w:rsid w:val="00465E53"/>
    <w:rsid w:val="00466329"/>
    <w:rsid w:val="00473219"/>
    <w:rsid w:val="004767D2"/>
    <w:rsid w:val="00477DCC"/>
    <w:rsid w:val="00477FFA"/>
    <w:rsid w:val="004813B2"/>
    <w:rsid w:val="00481D66"/>
    <w:rsid w:val="00482B7B"/>
    <w:rsid w:val="00483579"/>
    <w:rsid w:val="004835F4"/>
    <w:rsid w:val="004836B2"/>
    <w:rsid w:val="00486C22"/>
    <w:rsid w:val="00486F3F"/>
    <w:rsid w:val="00487B6B"/>
    <w:rsid w:val="004919CC"/>
    <w:rsid w:val="004928CB"/>
    <w:rsid w:val="00492941"/>
    <w:rsid w:val="00495AFF"/>
    <w:rsid w:val="00495E14"/>
    <w:rsid w:val="00496183"/>
    <w:rsid w:val="004975D0"/>
    <w:rsid w:val="004A08FC"/>
    <w:rsid w:val="004A3439"/>
    <w:rsid w:val="004A4742"/>
    <w:rsid w:val="004B1364"/>
    <w:rsid w:val="004B2C5B"/>
    <w:rsid w:val="004B5104"/>
    <w:rsid w:val="004B5797"/>
    <w:rsid w:val="004B5B94"/>
    <w:rsid w:val="004B6304"/>
    <w:rsid w:val="004B64B3"/>
    <w:rsid w:val="004B6AF3"/>
    <w:rsid w:val="004C0179"/>
    <w:rsid w:val="004C0905"/>
    <w:rsid w:val="004C0CEF"/>
    <w:rsid w:val="004C0D41"/>
    <w:rsid w:val="004C10F1"/>
    <w:rsid w:val="004C3F71"/>
    <w:rsid w:val="004C61F5"/>
    <w:rsid w:val="004D14C1"/>
    <w:rsid w:val="004D2C46"/>
    <w:rsid w:val="004D3578"/>
    <w:rsid w:val="004D4D9F"/>
    <w:rsid w:val="004D6BA6"/>
    <w:rsid w:val="004E13F9"/>
    <w:rsid w:val="004E2983"/>
    <w:rsid w:val="004E2ED7"/>
    <w:rsid w:val="004E3BA4"/>
    <w:rsid w:val="004E4E81"/>
    <w:rsid w:val="004E4E9F"/>
    <w:rsid w:val="004E5FED"/>
    <w:rsid w:val="004E67DB"/>
    <w:rsid w:val="004F1558"/>
    <w:rsid w:val="004F1934"/>
    <w:rsid w:val="004F1E84"/>
    <w:rsid w:val="00500925"/>
    <w:rsid w:val="005013FE"/>
    <w:rsid w:val="005042D1"/>
    <w:rsid w:val="00506098"/>
    <w:rsid w:val="00506161"/>
    <w:rsid w:val="0050659B"/>
    <w:rsid w:val="00506889"/>
    <w:rsid w:val="00510050"/>
    <w:rsid w:val="00512D6B"/>
    <w:rsid w:val="00512FF6"/>
    <w:rsid w:val="005153F7"/>
    <w:rsid w:val="0052216B"/>
    <w:rsid w:val="005224C1"/>
    <w:rsid w:val="0052338B"/>
    <w:rsid w:val="00523D4C"/>
    <w:rsid w:val="00524713"/>
    <w:rsid w:val="005275F9"/>
    <w:rsid w:val="00530F68"/>
    <w:rsid w:val="00531355"/>
    <w:rsid w:val="0053153F"/>
    <w:rsid w:val="00532F2D"/>
    <w:rsid w:val="005339D0"/>
    <w:rsid w:val="00534E75"/>
    <w:rsid w:val="00536954"/>
    <w:rsid w:val="005379BC"/>
    <w:rsid w:val="00540606"/>
    <w:rsid w:val="00541870"/>
    <w:rsid w:val="0054297E"/>
    <w:rsid w:val="005436EC"/>
    <w:rsid w:val="005447C5"/>
    <w:rsid w:val="00544A37"/>
    <w:rsid w:val="005455AF"/>
    <w:rsid w:val="005455B0"/>
    <w:rsid w:val="005504A7"/>
    <w:rsid w:val="0055263D"/>
    <w:rsid w:val="00552E2B"/>
    <w:rsid w:val="0055303C"/>
    <w:rsid w:val="00553369"/>
    <w:rsid w:val="00553731"/>
    <w:rsid w:val="00554574"/>
    <w:rsid w:val="0055553F"/>
    <w:rsid w:val="0056150F"/>
    <w:rsid w:val="005678E0"/>
    <w:rsid w:val="005729F4"/>
    <w:rsid w:val="00572E82"/>
    <w:rsid w:val="005754C3"/>
    <w:rsid w:val="00575630"/>
    <w:rsid w:val="00575C7F"/>
    <w:rsid w:val="00576417"/>
    <w:rsid w:val="00576F58"/>
    <w:rsid w:val="00576F5E"/>
    <w:rsid w:val="005773B2"/>
    <w:rsid w:val="00577D19"/>
    <w:rsid w:val="0058062A"/>
    <w:rsid w:val="005834AE"/>
    <w:rsid w:val="00585920"/>
    <w:rsid w:val="0058666A"/>
    <w:rsid w:val="00586BEF"/>
    <w:rsid w:val="005875EC"/>
    <w:rsid w:val="00590434"/>
    <w:rsid w:val="00594050"/>
    <w:rsid w:val="0059432A"/>
    <w:rsid w:val="0059452A"/>
    <w:rsid w:val="005956E9"/>
    <w:rsid w:val="005963CF"/>
    <w:rsid w:val="005A0ABD"/>
    <w:rsid w:val="005A0BC9"/>
    <w:rsid w:val="005A163F"/>
    <w:rsid w:val="005A2195"/>
    <w:rsid w:val="005A2637"/>
    <w:rsid w:val="005A37E5"/>
    <w:rsid w:val="005A4497"/>
    <w:rsid w:val="005A5BBA"/>
    <w:rsid w:val="005A5F08"/>
    <w:rsid w:val="005A60B4"/>
    <w:rsid w:val="005A7A64"/>
    <w:rsid w:val="005B0719"/>
    <w:rsid w:val="005B0E8E"/>
    <w:rsid w:val="005B1D33"/>
    <w:rsid w:val="005B2E22"/>
    <w:rsid w:val="005B31D7"/>
    <w:rsid w:val="005B485C"/>
    <w:rsid w:val="005B4E77"/>
    <w:rsid w:val="005B5427"/>
    <w:rsid w:val="005B56F7"/>
    <w:rsid w:val="005B5CA8"/>
    <w:rsid w:val="005B680B"/>
    <w:rsid w:val="005B6889"/>
    <w:rsid w:val="005B68FA"/>
    <w:rsid w:val="005B7492"/>
    <w:rsid w:val="005B7E46"/>
    <w:rsid w:val="005C0C18"/>
    <w:rsid w:val="005C0D63"/>
    <w:rsid w:val="005C2088"/>
    <w:rsid w:val="005C41F6"/>
    <w:rsid w:val="005C48C1"/>
    <w:rsid w:val="005C7059"/>
    <w:rsid w:val="005D189A"/>
    <w:rsid w:val="005D4DA7"/>
    <w:rsid w:val="005D585C"/>
    <w:rsid w:val="005D6963"/>
    <w:rsid w:val="005E3212"/>
    <w:rsid w:val="005E45D8"/>
    <w:rsid w:val="005E4855"/>
    <w:rsid w:val="005E7AEF"/>
    <w:rsid w:val="005F18D4"/>
    <w:rsid w:val="005F2383"/>
    <w:rsid w:val="005F23F9"/>
    <w:rsid w:val="005F44A0"/>
    <w:rsid w:val="005F48A6"/>
    <w:rsid w:val="005F57A1"/>
    <w:rsid w:val="005F65A1"/>
    <w:rsid w:val="005F7741"/>
    <w:rsid w:val="00600788"/>
    <w:rsid w:val="00600BA3"/>
    <w:rsid w:val="00601E56"/>
    <w:rsid w:val="00605C5D"/>
    <w:rsid w:val="006106F0"/>
    <w:rsid w:val="006110E7"/>
    <w:rsid w:val="00612DC2"/>
    <w:rsid w:val="006135FD"/>
    <w:rsid w:val="00613A8D"/>
    <w:rsid w:val="00617017"/>
    <w:rsid w:val="006212F9"/>
    <w:rsid w:val="00622494"/>
    <w:rsid w:val="00624A82"/>
    <w:rsid w:val="0062747C"/>
    <w:rsid w:val="0062751F"/>
    <w:rsid w:val="0063253B"/>
    <w:rsid w:val="00633136"/>
    <w:rsid w:val="00634EC8"/>
    <w:rsid w:val="00636E70"/>
    <w:rsid w:val="0064020E"/>
    <w:rsid w:val="006410E2"/>
    <w:rsid w:val="0064160C"/>
    <w:rsid w:val="0064209A"/>
    <w:rsid w:val="00642970"/>
    <w:rsid w:val="006429DE"/>
    <w:rsid w:val="00645BA9"/>
    <w:rsid w:val="00646B73"/>
    <w:rsid w:val="00647307"/>
    <w:rsid w:val="006501CB"/>
    <w:rsid w:val="00650A3C"/>
    <w:rsid w:val="00651415"/>
    <w:rsid w:val="00651B66"/>
    <w:rsid w:val="00651B79"/>
    <w:rsid w:val="00652695"/>
    <w:rsid w:val="006529D7"/>
    <w:rsid w:val="00652DCE"/>
    <w:rsid w:val="006545F8"/>
    <w:rsid w:val="00654F8C"/>
    <w:rsid w:val="00656312"/>
    <w:rsid w:val="0066135D"/>
    <w:rsid w:val="00661A5F"/>
    <w:rsid w:val="00663C36"/>
    <w:rsid w:val="00667012"/>
    <w:rsid w:val="00673DDB"/>
    <w:rsid w:val="00675F3B"/>
    <w:rsid w:val="0067671B"/>
    <w:rsid w:val="006768F0"/>
    <w:rsid w:val="00676C10"/>
    <w:rsid w:val="00677078"/>
    <w:rsid w:val="006775B7"/>
    <w:rsid w:val="00677C07"/>
    <w:rsid w:val="006831FB"/>
    <w:rsid w:val="00684F62"/>
    <w:rsid w:val="0068617E"/>
    <w:rsid w:val="00686E01"/>
    <w:rsid w:val="00687107"/>
    <w:rsid w:val="00692610"/>
    <w:rsid w:val="006939E4"/>
    <w:rsid w:val="00693A07"/>
    <w:rsid w:val="00695DE8"/>
    <w:rsid w:val="006978DE"/>
    <w:rsid w:val="00697A40"/>
    <w:rsid w:val="00697F28"/>
    <w:rsid w:val="006A0BD0"/>
    <w:rsid w:val="006A150C"/>
    <w:rsid w:val="006A2F6C"/>
    <w:rsid w:val="006A3BE2"/>
    <w:rsid w:val="006A3E85"/>
    <w:rsid w:val="006A6601"/>
    <w:rsid w:val="006B0A42"/>
    <w:rsid w:val="006B19DF"/>
    <w:rsid w:val="006B2EA9"/>
    <w:rsid w:val="006B3A13"/>
    <w:rsid w:val="006B3AF2"/>
    <w:rsid w:val="006B3CB5"/>
    <w:rsid w:val="006B3E83"/>
    <w:rsid w:val="006C0A70"/>
    <w:rsid w:val="006C2008"/>
    <w:rsid w:val="006C2696"/>
    <w:rsid w:val="006C4076"/>
    <w:rsid w:val="006C4193"/>
    <w:rsid w:val="006C61E8"/>
    <w:rsid w:val="006D01AF"/>
    <w:rsid w:val="006D1884"/>
    <w:rsid w:val="006D1E56"/>
    <w:rsid w:val="006D65EC"/>
    <w:rsid w:val="006E074A"/>
    <w:rsid w:val="006E1C67"/>
    <w:rsid w:val="006E26DC"/>
    <w:rsid w:val="006E52B8"/>
    <w:rsid w:val="006E675F"/>
    <w:rsid w:val="006E68CA"/>
    <w:rsid w:val="006F32FB"/>
    <w:rsid w:val="006F3E66"/>
    <w:rsid w:val="00700FD6"/>
    <w:rsid w:val="00705D83"/>
    <w:rsid w:val="0071201C"/>
    <w:rsid w:val="00712177"/>
    <w:rsid w:val="00712983"/>
    <w:rsid w:val="00713CD7"/>
    <w:rsid w:val="00714847"/>
    <w:rsid w:val="00715C09"/>
    <w:rsid w:val="00717F9B"/>
    <w:rsid w:val="00720037"/>
    <w:rsid w:val="00720CD3"/>
    <w:rsid w:val="0072112F"/>
    <w:rsid w:val="007253C3"/>
    <w:rsid w:val="00730047"/>
    <w:rsid w:val="0073009C"/>
    <w:rsid w:val="007316BB"/>
    <w:rsid w:val="00731B6F"/>
    <w:rsid w:val="00731E05"/>
    <w:rsid w:val="00736FB9"/>
    <w:rsid w:val="00737562"/>
    <w:rsid w:val="007424FC"/>
    <w:rsid w:val="007443AD"/>
    <w:rsid w:val="007540ED"/>
    <w:rsid w:val="00754B1D"/>
    <w:rsid w:val="00754D27"/>
    <w:rsid w:val="00756671"/>
    <w:rsid w:val="0075719A"/>
    <w:rsid w:val="00762254"/>
    <w:rsid w:val="0076333E"/>
    <w:rsid w:val="00764BFF"/>
    <w:rsid w:val="00767284"/>
    <w:rsid w:val="00771B91"/>
    <w:rsid w:val="007737E3"/>
    <w:rsid w:val="007748DA"/>
    <w:rsid w:val="0077685A"/>
    <w:rsid w:val="00776A31"/>
    <w:rsid w:val="0078013F"/>
    <w:rsid w:val="007802A4"/>
    <w:rsid w:val="007824F4"/>
    <w:rsid w:val="0078345F"/>
    <w:rsid w:val="00783AB1"/>
    <w:rsid w:val="00784109"/>
    <w:rsid w:val="00785356"/>
    <w:rsid w:val="00785FC5"/>
    <w:rsid w:val="0078631B"/>
    <w:rsid w:val="00786A1E"/>
    <w:rsid w:val="00787417"/>
    <w:rsid w:val="0078760B"/>
    <w:rsid w:val="00791A2B"/>
    <w:rsid w:val="00792EE9"/>
    <w:rsid w:val="0079355A"/>
    <w:rsid w:val="00794BD8"/>
    <w:rsid w:val="00795445"/>
    <w:rsid w:val="0079572A"/>
    <w:rsid w:val="00795D79"/>
    <w:rsid w:val="0079732B"/>
    <w:rsid w:val="007A1121"/>
    <w:rsid w:val="007A1122"/>
    <w:rsid w:val="007A15A6"/>
    <w:rsid w:val="007A2531"/>
    <w:rsid w:val="007A278E"/>
    <w:rsid w:val="007B0955"/>
    <w:rsid w:val="007B11F2"/>
    <w:rsid w:val="007B1851"/>
    <w:rsid w:val="007B232E"/>
    <w:rsid w:val="007B358E"/>
    <w:rsid w:val="007B3C38"/>
    <w:rsid w:val="007B5E2F"/>
    <w:rsid w:val="007B6635"/>
    <w:rsid w:val="007C0099"/>
    <w:rsid w:val="007C2AD1"/>
    <w:rsid w:val="007C37DF"/>
    <w:rsid w:val="007C6288"/>
    <w:rsid w:val="007C6507"/>
    <w:rsid w:val="007D05D4"/>
    <w:rsid w:val="007D06A5"/>
    <w:rsid w:val="007D085C"/>
    <w:rsid w:val="007D0908"/>
    <w:rsid w:val="007D1100"/>
    <w:rsid w:val="007D2280"/>
    <w:rsid w:val="007D3EF7"/>
    <w:rsid w:val="007D6B5F"/>
    <w:rsid w:val="007D6FC5"/>
    <w:rsid w:val="007E0367"/>
    <w:rsid w:val="007E1111"/>
    <w:rsid w:val="007E1865"/>
    <w:rsid w:val="007E22D6"/>
    <w:rsid w:val="007E5614"/>
    <w:rsid w:val="007F0754"/>
    <w:rsid w:val="007F3198"/>
    <w:rsid w:val="007F36AF"/>
    <w:rsid w:val="007F515C"/>
    <w:rsid w:val="007F5D81"/>
    <w:rsid w:val="008009B8"/>
    <w:rsid w:val="00800CEA"/>
    <w:rsid w:val="00807AD4"/>
    <w:rsid w:val="008104E0"/>
    <w:rsid w:val="00812DCE"/>
    <w:rsid w:val="0081387C"/>
    <w:rsid w:val="00817296"/>
    <w:rsid w:val="00817512"/>
    <w:rsid w:val="00822194"/>
    <w:rsid w:val="00822D26"/>
    <w:rsid w:val="008245C1"/>
    <w:rsid w:val="008269F5"/>
    <w:rsid w:val="00830105"/>
    <w:rsid w:val="0083053E"/>
    <w:rsid w:val="00830CE8"/>
    <w:rsid w:val="008317F6"/>
    <w:rsid w:val="00831B5E"/>
    <w:rsid w:val="00831F36"/>
    <w:rsid w:val="0083256C"/>
    <w:rsid w:val="0083338E"/>
    <w:rsid w:val="00833A44"/>
    <w:rsid w:val="0083519D"/>
    <w:rsid w:val="00843016"/>
    <w:rsid w:val="00844420"/>
    <w:rsid w:val="00845A34"/>
    <w:rsid w:val="00846E1E"/>
    <w:rsid w:val="00850445"/>
    <w:rsid w:val="00850C6E"/>
    <w:rsid w:val="008543C2"/>
    <w:rsid w:val="008546D7"/>
    <w:rsid w:val="0085594F"/>
    <w:rsid w:val="0085766D"/>
    <w:rsid w:val="008630EC"/>
    <w:rsid w:val="00864888"/>
    <w:rsid w:val="00866791"/>
    <w:rsid w:val="00866B63"/>
    <w:rsid w:val="00870EAA"/>
    <w:rsid w:val="00874FE0"/>
    <w:rsid w:val="008769D5"/>
    <w:rsid w:val="008800A1"/>
    <w:rsid w:val="008824B5"/>
    <w:rsid w:val="00882EE9"/>
    <w:rsid w:val="00883131"/>
    <w:rsid w:val="008834B2"/>
    <w:rsid w:val="00883A3E"/>
    <w:rsid w:val="008848CF"/>
    <w:rsid w:val="00885B2F"/>
    <w:rsid w:val="008866ED"/>
    <w:rsid w:val="008868A5"/>
    <w:rsid w:val="0089080A"/>
    <w:rsid w:val="00890A80"/>
    <w:rsid w:val="008926E5"/>
    <w:rsid w:val="008926F3"/>
    <w:rsid w:val="00892DB3"/>
    <w:rsid w:val="00893533"/>
    <w:rsid w:val="00894FAD"/>
    <w:rsid w:val="008955F6"/>
    <w:rsid w:val="008957C5"/>
    <w:rsid w:val="00896014"/>
    <w:rsid w:val="0089614B"/>
    <w:rsid w:val="00896556"/>
    <w:rsid w:val="00896BE6"/>
    <w:rsid w:val="00896FD6"/>
    <w:rsid w:val="00897BD9"/>
    <w:rsid w:val="008A04D3"/>
    <w:rsid w:val="008A0C76"/>
    <w:rsid w:val="008A20CA"/>
    <w:rsid w:val="008A4605"/>
    <w:rsid w:val="008A618B"/>
    <w:rsid w:val="008A663F"/>
    <w:rsid w:val="008B05F2"/>
    <w:rsid w:val="008B0636"/>
    <w:rsid w:val="008B1531"/>
    <w:rsid w:val="008B2EE5"/>
    <w:rsid w:val="008B3C82"/>
    <w:rsid w:val="008B41E0"/>
    <w:rsid w:val="008B5C5C"/>
    <w:rsid w:val="008B64C9"/>
    <w:rsid w:val="008C1795"/>
    <w:rsid w:val="008C4597"/>
    <w:rsid w:val="008C4B0D"/>
    <w:rsid w:val="008C7511"/>
    <w:rsid w:val="008C75D3"/>
    <w:rsid w:val="008C79A2"/>
    <w:rsid w:val="008D01F6"/>
    <w:rsid w:val="008D1E94"/>
    <w:rsid w:val="008D373A"/>
    <w:rsid w:val="008D484C"/>
    <w:rsid w:val="008D53F2"/>
    <w:rsid w:val="008D68A5"/>
    <w:rsid w:val="008E19F3"/>
    <w:rsid w:val="008E3B44"/>
    <w:rsid w:val="008E58ED"/>
    <w:rsid w:val="008E6712"/>
    <w:rsid w:val="008E6AA0"/>
    <w:rsid w:val="008F0A7A"/>
    <w:rsid w:val="008F2226"/>
    <w:rsid w:val="008F25C5"/>
    <w:rsid w:val="008F4980"/>
    <w:rsid w:val="008F6707"/>
    <w:rsid w:val="008F6AAF"/>
    <w:rsid w:val="008F715C"/>
    <w:rsid w:val="008F7A61"/>
    <w:rsid w:val="00900951"/>
    <w:rsid w:val="00901813"/>
    <w:rsid w:val="00903020"/>
    <w:rsid w:val="00906176"/>
    <w:rsid w:val="0090637E"/>
    <w:rsid w:val="00906E67"/>
    <w:rsid w:val="00914002"/>
    <w:rsid w:val="00915ADA"/>
    <w:rsid w:val="009161BE"/>
    <w:rsid w:val="009161F5"/>
    <w:rsid w:val="00917F21"/>
    <w:rsid w:val="009213AE"/>
    <w:rsid w:val="009222C9"/>
    <w:rsid w:val="00922BC9"/>
    <w:rsid w:val="0092316F"/>
    <w:rsid w:val="00926825"/>
    <w:rsid w:val="009268FC"/>
    <w:rsid w:val="00926A98"/>
    <w:rsid w:val="00932625"/>
    <w:rsid w:val="00932ACD"/>
    <w:rsid w:val="00933256"/>
    <w:rsid w:val="009340FD"/>
    <w:rsid w:val="00934141"/>
    <w:rsid w:val="009344C2"/>
    <w:rsid w:val="009345C9"/>
    <w:rsid w:val="0093538A"/>
    <w:rsid w:val="00941295"/>
    <w:rsid w:val="009434D0"/>
    <w:rsid w:val="0094705C"/>
    <w:rsid w:val="009514FE"/>
    <w:rsid w:val="00952F66"/>
    <w:rsid w:val="00957B41"/>
    <w:rsid w:val="00961519"/>
    <w:rsid w:val="00962FD2"/>
    <w:rsid w:val="009632AA"/>
    <w:rsid w:val="009644A2"/>
    <w:rsid w:val="00967162"/>
    <w:rsid w:val="009715F0"/>
    <w:rsid w:val="00971DE7"/>
    <w:rsid w:val="00973C62"/>
    <w:rsid w:val="0097419E"/>
    <w:rsid w:val="00974A97"/>
    <w:rsid w:val="009751D1"/>
    <w:rsid w:val="0097696C"/>
    <w:rsid w:val="00977B41"/>
    <w:rsid w:val="00977D76"/>
    <w:rsid w:val="009808FE"/>
    <w:rsid w:val="00982987"/>
    <w:rsid w:val="00985386"/>
    <w:rsid w:val="00990318"/>
    <w:rsid w:val="0099489F"/>
    <w:rsid w:val="00994B64"/>
    <w:rsid w:val="009955B3"/>
    <w:rsid w:val="00996D72"/>
    <w:rsid w:val="009A455E"/>
    <w:rsid w:val="009A4D99"/>
    <w:rsid w:val="009A53B7"/>
    <w:rsid w:val="009A544A"/>
    <w:rsid w:val="009A69B1"/>
    <w:rsid w:val="009A6CDB"/>
    <w:rsid w:val="009B0A81"/>
    <w:rsid w:val="009B0CA9"/>
    <w:rsid w:val="009B301F"/>
    <w:rsid w:val="009B52C2"/>
    <w:rsid w:val="009B604B"/>
    <w:rsid w:val="009B7073"/>
    <w:rsid w:val="009B7913"/>
    <w:rsid w:val="009C063D"/>
    <w:rsid w:val="009C0ECA"/>
    <w:rsid w:val="009C283B"/>
    <w:rsid w:val="009C2B04"/>
    <w:rsid w:val="009C3544"/>
    <w:rsid w:val="009C45BA"/>
    <w:rsid w:val="009D2D28"/>
    <w:rsid w:val="009D4B75"/>
    <w:rsid w:val="009D6924"/>
    <w:rsid w:val="009D7AFB"/>
    <w:rsid w:val="009E055E"/>
    <w:rsid w:val="009E0C76"/>
    <w:rsid w:val="009E1258"/>
    <w:rsid w:val="009E22C3"/>
    <w:rsid w:val="009E250D"/>
    <w:rsid w:val="009E2724"/>
    <w:rsid w:val="009E2833"/>
    <w:rsid w:val="009E317D"/>
    <w:rsid w:val="009E3B52"/>
    <w:rsid w:val="009E3D89"/>
    <w:rsid w:val="009E5B43"/>
    <w:rsid w:val="009E6B59"/>
    <w:rsid w:val="009F097B"/>
    <w:rsid w:val="009F0DD5"/>
    <w:rsid w:val="009F2CB2"/>
    <w:rsid w:val="009F2CEE"/>
    <w:rsid w:val="009F3A56"/>
    <w:rsid w:val="009F59EE"/>
    <w:rsid w:val="009F5CD5"/>
    <w:rsid w:val="009F66D0"/>
    <w:rsid w:val="00A02D45"/>
    <w:rsid w:val="00A0581C"/>
    <w:rsid w:val="00A069E2"/>
    <w:rsid w:val="00A073C7"/>
    <w:rsid w:val="00A07431"/>
    <w:rsid w:val="00A07A9F"/>
    <w:rsid w:val="00A11B93"/>
    <w:rsid w:val="00A11C90"/>
    <w:rsid w:val="00A12821"/>
    <w:rsid w:val="00A12DE6"/>
    <w:rsid w:val="00A14FC9"/>
    <w:rsid w:val="00A15C79"/>
    <w:rsid w:val="00A204D6"/>
    <w:rsid w:val="00A2066F"/>
    <w:rsid w:val="00A21C37"/>
    <w:rsid w:val="00A23C45"/>
    <w:rsid w:val="00A25B10"/>
    <w:rsid w:val="00A26B19"/>
    <w:rsid w:val="00A331C7"/>
    <w:rsid w:val="00A33653"/>
    <w:rsid w:val="00A36260"/>
    <w:rsid w:val="00A36D79"/>
    <w:rsid w:val="00A37A20"/>
    <w:rsid w:val="00A37AD0"/>
    <w:rsid w:val="00A4508B"/>
    <w:rsid w:val="00A4618A"/>
    <w:rsid w:val="00A53205"/>
    <w:rsid w:val="00A5429B"/>
    <w:rsid w:val="00A553A9"/>
    <w:rsid w:val="00A61F80"/>
    <w:rsid w:val="00A62566"/>
    <w:rsid w:val="00A62CCA"/>
    <w:rsid w:val="00A641DB"/>
    <w:rsid w:val="00A6536F"/>
    <w:rsid w:val="00A65B9D"/>
    <w:rsid w:val="00A70932"/>
    <w:rsid w:val="00A719A5"/>
    <w:rsid w:val="00A72732"/>
    <w:rsid w:val="00A72A74"/>
    <w:rsid w:val="00A72F83"/>
    <w:rsid w:val="00A7372B"/>
    <w:rsid w:val="00A74A1E"/>
    <w:rsid w:val="00A7509B"/>
    <w:rsid w:val="00A7796E"/>
    <w:rsid w:val="00A77F44"/>
    <w:rsid w:val="00A803EF"/>
    <w:rsid w:val="00A86656"/>
    <w:rsid w:val="00A87B14"/>
    <w:rsid w:val="00A93638"/>
    <w:rsid w:val="00A95DA9"/>
    <w:rsid w:val="00A97D07"/>
    <w:rsid w:val="00AA0737"/>
    <w:rsid w:val="00AA218A"/>
    <w:rsid w:val="00AA48E7"/>
    <w:rsid w:val="00AB0673"/>
    <w:rsid w:val="00AB3D30"/>
    <w:rsid w:val="00AB4596"/>
    <w:rsid w:val="00AB4794"/>
    <w:rsid w:val="00AB4842"/>
    <w:rsid w:val="00AB7BAF"/>
    <w:rsid w:val="00AB7CCF"/>
    <w:rsid w:val="00AC29B9"/>
    <w:rsid w:val="00AC2D2E"/>
    <w:rsid w:val="00AC614D"/>
    <w:rsid w:val="00AC7F1C"/>
    <w:rsid w:val="00AD0F3F"/>
    <w:rsid w:val="00AD2AC3"/>
    <w:rsid w:val="00AD4EA3"/>
    <w:rsid w:val="00AD7FC9"/>
    <w:rsid w:val="00AE05ED"/>
    <w:rsid w:val="00AE44CB"/>
    <w:rsid w:val="00AE55D4"/>
    <w:rsid w:val="00AE72D7"/>
    <w:rsid w:val="00AF05BB"/>
    <w:rsid w:val="00AF1038"/>
    <w:rsid w:val="00AF113B"/>
    <w:rsid w:val="00AF2633"/>
    <w:rsid w:val="00AF74AF"/>
    <w:rsid w:val="00B01F39"/>
    <w:rsid w:val="00B037AF"/>
    <w:rsid w:val="00B05862"/>
    <w:rsid w:val="00B05A4B"/>
    <w:rsid w:val="00B07D3B"/>
    <w:rsid w:val="00B11974"/>
    <w:rsid w:val="00B1264B"/>
    <w:rsid w:val="00B12CF8"/>
    <w:rsid w:val="00B15519"/>
    <w:rsid w:val="00B15922"/>
    <w:rsid w:val="00B2198E"/>
    <w:rsid w:val="00B244B9"/>
    <w:rsid w:val="00B24985"/>
    <w:rsid w:val="00B27178"/>
    <w:rsid w:val="00B277DA"/>
    <w:rsid w:val="00B30A9E"/>
    <w:rsid w:val="00B3265A"/>
    <w:rsid w:val="00B32817"/>
    <w:rsid w:val="00B33E8E"/>
    <w:rsid w:val="00B346ED"/>
    <w:rsid w:val="00B36901"/>
    <w:rsid w:val="00B37F41"/>
    <w:rsid w:val="00B4245F"/>
    <w:rsid w:val="00B43ABC"/>
    <w:rsid w:val="00B4468E"/>
    <w:rsid w:val="00B470FB"/>
    <w:rsid w:val="00B479EB"/>
    <w:rsid w:val="00B507D2"/>
    <w:rsid w:val="00B51125"/>
    <w:rsid w:val="00B52CDF"/>
    <w:rsid w:val="00B5755F"/>
    <w:rsid w:val="00B65A3B"/>
    <w:rsid w:val="00B66DE0"/>
    <w:rsid w:val="00B7263A"/>
    <w:rsid w:val="00B72652"/>
    <w:rsid w:val="00B8133C"/>
    <w:rsid w:val="00B815A3"/>
    <w:rsid w:val="00B85C55"/>
    <w:rsid w:val="00B85CBF"/>
    <w:rsid w:val="00B90B23"/>
    <w:rsid w:val="00B91CEE"/>
    <w:rsid w:val="00B94777"/>
    <w:rsid w:val="00B9592E"/>
    <w:rsid w:val="00B95BB2"/>
    <w:rsid w:val="00B95EBA"/>
    <w:rsid w:val="00B96E03"/>
    <w:rsid w:val="00B97985"/>
    <w:rsid w:val="00BA0BC1"/>
    <w:rsid w:val="00BA1D82"/>
    <w:rsid w:val="00BA1FA3"/>
    <w:rsid w:val="00BA23D8"/>
    <w:rsid w:val="00BA27DA"/>
    <w:rsid w:val="00BA2A8A"/>
    <w:rsid w:val="00BA4230"/>
    <w:rsid w:val="00BA45FD"/>
    <w:rsid w:val="00BA5B9C"/>
    <w:rsid w:val="00BA7722"/>
    <w:rsid w:val="00BB4512"/>
    <w:rsid w:val="00BB4D49"/>
    <w:rsid w:val="00BB51F4"/>
    <w:rsid w:val="00BB56EB"/>
    <w:rsid w:val="00BB58F0"/>
    <w:rsid w:val="00BB6439"/>
    <w:rsid w:val="00BB675F"/>
    <w:rsid w:val="00BC133F"/>
    <w:rsid w:val="00BC1530"/>
    <w:rsid w:val="00BC19C9"/>
    <w:rsid w:val="00BC1D75"/>
    <w:rsid w:val="00BC1D83"/>
    <w:rsid w:val="00BD05E4"/>
    <w:rsid w:val="00BD0936"/>
    <w:rsid w:val="00BD11E2"/>
    <w:rsid w:val="00BD17B0"/>
    <w:rsid w:val="00BD3267"/>
    <w:rsid w:val="00BD3715"/>
    <w:rsid w:val="00BD4630"/>
    <w:rsid w:val="00BD4EBD"/>
    <w:rsid w:val="00BD59F0"/>
    <w:rsid w:val="00BD5A47"/>
    <w:rsid w:val="00BD5DB4"/>
    <w:rsid w:val="00BD6E76"/>
    <w:rsid w:val="00BD702E"/>
    <w:rsid w:val="00BE07F9"/>
    <w:rsid w:val="00BE1A13"/>
    <w:rsid w:val="00BE6717"/>
    <w:rsid w:val="00BF1148"/>
    <w:rsid w:val="00BF1811"/>
    <w:rsid w:val="00BF36AE"/>
    <w:rsid w:val="00BF4092"/>
    <w:rsid w:val="00BF44A8"/>
    <w:rsid w:val="00BF44F1"/>
    <w:rsid w:val="00BF4CD9"/>
    <w:rsid w:val="00BF688B"/>
    <w:rsid w:val="00C00EEF"/>
    <w:rsid w:val="00C02E39"/>
    <w:rsid w:val="00C0301A"/>
    <w:rsid w:val="00C04F1A"/>
    <w:rsid w:val="00C05CCC"/>
    <w:rsid w:val="00C07088"/>
    <w:rsid w:val="00C07D5F"/>
    <w:rsid w:val="00C07F35"/>
    <w:rsid w:val="00C15993"/>
    <w:rsid w:val="00C17C49"/>
    <w:rsid w:val="00C21F84"/>
    <w:rsid w:val="00C22B1C"/>
    <w:rsid w:val="00C23E32"/>
    <w:rsid w:val="00C24B73"/>
    <w:rsid w:val="00C2555B"/>
    <w:rsid w:val="00C26D3E"/>
    <w:rsid w:val="00C30EA3"/>
    <w:rsid w:val="00C31E67"/>
    <w:rsid w:val="00C325BB"/>
    <w:rsid w:val="00C33A4A"/>
    <w:rsid w:val="00C356C0"/>
    <w:rsid w:val="00C36E55"/>
    <w:rsid w:val="00C36EF8"/>
    <w:rsid w:val="00C4086A"/>
    <w:rsid w:val="00C42CA5"/>
    <w:rsid w:val="00C42FAF"/>
    <w:rsid w:val="00C456DD"/>
    <w:rsid w:val="00C47408"/>
    <w:rsid w:val="00C47E7D"/>
    <w:rsid w:val="00C52DA0"/>
    <w:rsid w:val="00C53031"/>
    <w:rsid w:val="00C568D7"/>
    <w:rsid w:val="00C56AD1"/>
    <w:rsid w:val="00C60BBC"/>
    <w:rsid w:val="00C61552"/>
    <w:rsid w:val="00C61D61"/>
    <w:rsid w:val="00C6365D"/>
    <w:rsid w:val="00C6644B"/>
    <w:rsid w:val="00C668FF"/>
    <w:rsid w:val="00C67861"/>
    <w:rsid w:val="00C70A05"/>
    <w:rsid w:val="00C726D8"/>
    <w:rsid w:val="00C7532A"/>
    <w:rsid w:val="00C7663D"/>
    <w:rsid w:val="00C779DC"/>
    <w:rsid w:val="00C80ADA"/>
    <w:rsid w:val="00C81DF4"/>
    <w:rsid w:val="00C83132"/>
    <w:rsid w:val="00C85FFE"/>
    <w:rsid w:val="00C864DC"/>
    <w:rsid w:val="00C908E5"/>
    <w:rsid w:val="00C9118F"/>
    <w:rsid w:val="00C9156E"/>
    <w:rsid w:val="00C947C0"/>
    <w:rsid w:val="00C947CE"/>
    <w:rsid w:val="00C95072"/>
    <w:rsid w:val="00C95F04"/>
    <w:rsid w:val="00C97E6F"/>
    <w:rsid w:val="00CA079E"/>
    <w:rsid w:val="00CA135D"/>
    <w:rsid w:val="00CA1722"/>
    <w:rsid w:val="00CA1806"/>
    <w:rsid w:val="00CA22D8"/>
    <w:rsid w:val="00CA5872"/>
    <w:rsid w:val="00CA78F9"/>
    <w:rsid w:val="00CA7CAF"/>
    <w:rsid w:val="00CB0499"/>
    <w:rsid w:val="00CB06F8"/>
    <w:rsid w:val="00CB08B5"/>
    <w:rsid w:val="00CB18B1"/>
    <w:rsid w:val="00CB2736"/>
    <w:rsid w:val="00CB38CA"/>
    <w:rsid w:val="00CB5712"/>
    <w:rsid w:val="00CB6969"/>
    <w:rsid w:val="00CB6F2B"/>
    <w:rsid w:val="00CB7254"/>
    <w:rsid w:val="00CC0CB0"/>
    <w:rsid w:val="00CC1067"/>
    <w:rsid w:val="00CC1EF3"/>
    <w:rsid w:val="00CC3D3D"/>
    <w:rsid w:val="00CC3DF9"/>
    <w:rsid w:val="00CC65C5"/>
    <w:rsid w:val="00CC73AB"/>
    <w:rsid w:val="00CD0325"/>
    <w:rsid w:val="00CD104A"/>
    <w:rsid w:val="00CD12BC"/>
    <w:rsid w:val="00CD32FA"/>
    <w:rsid w:val="00CD3324"/>
    <w:rsid w:val="00CD46EA"/>
    <w:rsid w:val="00CD4A18"/>
    <w:rsid w:val="00CD575C"/>
    <w:rsid w:val="00CD6257"/>
    <w:rsid w:val="00CD6E1E"/>
    <w:rsid w:val="00CD7A9C"/>
    <w:rsid w:val="00CE0770"/>
    <w:rsid w:val="00CE0BEA"/>
    <w:rsid w:val="00CE1E44"/>
    <w:rsid w:val="00CE37D5"/>
    <w:rsid w:val="00CE5086"/>
    <w:rsid w:val="00CE6C6E"/>
    <w:rsid w:val="00CE76FD"/>
    <w:rsid w:val="00CE7991"/>
    <w:rsid w:val="00CF177F"/>
    <w:rsid w:val="00CF2033"/>
    <w:rsid w:val="00CF5DF2"/>
    <w:rsid w:val="00CF6C98"/>
    <w:rsid w:val="00D0061B"/>
    <w:rsid w:val="00D012CF"/>
    <w:rsid w:val="00D016C3"/>
    <w:rsid w:val="00D01832"/>
    <w:rsid w:val="00D01DC0"/>
    <w:rsid w:val="00D02C28"/>
    <w:rsid w:val="00D02E81"/>
    <w:rsid w:val="00D0526B"/>
    <w:rsid w:val="00D07AA2"/>
    <w:rsid w:val="00D07C86"/>
    <w:rsid w:val="00D1081A"/>
    <w:rsid w:val="00D15569"/>
    <w:rsid w:val="00D15619"/>
    <w:rsid w:val="00D15A44"/>
    <w:rsid w:val="00D160DE"/>
    <w:rsid w:val="00D21C96"/>
    <w:rsid w:val="00D30074"/>
    <w:rsid w:val="00D30854"/>
    <w:rsid w:val="00D31127"/>
    <w:rsid w:val="00D320FC"/>
    <w:rsid w:val="00D333B4"/>
    <w:rsid w:val="00D3359F"/>
    <w:rsid w:val="00D35FF4"/>
    <w:rsid w:val="00D40C89"/>
    <w:rsid w:val="00D41337"/>
    <w:rsid w:val="00D422E9"/>
    <w:rsid w:val="00D46E5A"/>
    <w:rsid w:val="00D47B55"/>
    <w:rsid w:val="00D47B8A"/>
    <w:rsid w:val="00D50703"/>
    <w:rsid w:val="00D51F29"/>
    <w:rsid w:val="00D531E4"/>
    <w:rsid w:val="00D53918"/>
    <w:rsid w:val="00D53C47"/>
    <w:rsid w:val="00D53E59"/>
    <w:rsid w:val="00D54A4A"/>
    <w:rsid w:val="00D55534"/>
    <w:rsid w:val="00D558AA"/>
    <w:rsid w:val="00D60057"/>
    <w:rsid w:val="00D60444"/>
    <w:rsid w:val="00D605B1"/>
    <w:rsid w:val="00D60D98"/>
    <w:rsid w:val="00D6181D"/>
    <w:rsid w:val="00D61D5F"/>
    <w:rsid w:val="00D61FAA"/>
    <w:rsid w:val="00D62038"/>
    <w:rsid w:val="00D628D2"/>
    <w:rsid w:val="00D62FEC"/>
    <w:rsid w:val="00D639EE"/>
    <w:rsid w:val="00D65C4E"/>
    <w:rsid w:val="00D6662D"/>
    <w:rsid w:val="00D67EA6"/>
    <w:rsid w:val="00D71C06"/>
    <w:rsid w:val="00D71EA0"/>
    <w:rsid w:val="00D72152"/>
    <w:rsid w:val="00D72157"/>
    <w:rsid w:val="00D721F1"/>
    <w:rsid w:val="00D73F33"/>
    <w:rsid w:val="00D74A93"/>
    <w:rsid w:val="00D76337"/>
    <w:rsid w:val="00D77A56"/>
    <w:rsid w:val="00D80B6D"/>
    <w:rsid w:val="00D80C55"/>
    <w:rsid w:val="00D80F78"/>
    <w:rsid w:val="00D8120C"/>
    <w:rsid w:val="00D84488"/>
    <w:rsid w:val="00D844C8"/>
    <w:rsid w:val="00D84B7D"/>
    <w:rsid w:val="00D84F78"/>
    <w:rsid w:val="00D8513A"/>
    <w:rsid w:val="00D85BBB"/>
    <w:rsid w:val="00D85FB4"/>
    <w:rsid w:val="00D879CA"/>
    <w:rsid w:val="00D906BE"/>
    <w:rsid w:val="00D943AD"/>
    <w:rsid w:val="00D94687"/>
    <w:rsid w:val="00D9690A"/>
    <w:rsid w:val="00DA2C91"/>
    <w:rsid w:val="00DA5316"/>
    <w:rsid w:val="00DA7B87"/>
    <w:rsid w:val="00DB0343"/>
    <w:rsid w:val="00DB079C"/>
    <w:rsid w:val="00DB342A"/>
    <w:rsid w:val="00DB3E19"/>
    <w:rsid w:val="00DB414C"/>
    <w:rsid w:val="00DB63D9"/>
    <w:rsid w:val="00DB6CA5"/>
    <w:rsid w:val="00DB7121"/>
    <w:rsid w:val="00DB7E77"/>
    <w:rsid w:val="00DC0BD6"/>
    <w:rsid w:val="00DC0F17"/>
    <w:rsid w:val="00DC30D0"/>
    <w:rsid w:val="00DC37CE"/>
    <w:rsid w:val="00DC422E"/>
    <w:rsid w:val="00DC72C4"/>
    <w:rsid w:val="00DD0B4E"/>
    <w:rsid w:val="00DD1F5E"/>
    <w:rsid w:val="00DD2DD1"/>
    <w:rsid w:val="00DD31D3"/>
    <w:rsid w:val="00DD4803"/>
    <w:rsid w:val="00DD639C"/>
    <w:rsid w:val="00DD67DA"/>
    <w:rsid w:val="00DD751E"/>
    <w:rsid w:val="00DD7940"/>
    <w:rsid w:val="00DE1840"/>
    <w:rsid w:val="00DE1B89"/>
    <w:rsid w:val="00DE40BD"/>
    <w:rsid w:val="00DE476A"/>
    <w:rsid w:val="00DE5007"/>
    <w:rsid w:val="00DE59C6"/>
    <w:rsid w:val="00DE6D0A"/>
    <w:rsid w:val="00DF26B9"/>
    <w:rsid w:val="00DF2E5A"/>
    <w:rsid w:val="00DF3A69"/>
    <w:rsid w:val="00DF4305"/>
    <w:rsid w:val="00DF4D81"/>
    <w:rsid w:val="00DF658B"/>
    <w:rsid w:val="00DF7A2F"/>
    <w:rsid w:val="00E00DC6"/>
    <w:rsid w:val="00E04B02"/>
    <w:rsid w:val="00E058A3"/>
    <w:rsid w:val="00E05E9B"/>
    <w:rsid w:val="00E05F31"/>
    <w:rsid w:val="00E07417"/>
    <w:rsid w:val="00E10ABF"/>
    <w:rsid w:val="00E130CB"/>
    <w:rsid w:val="00E148BB"/>
    <w:rsid w:val="00E151F3"/>
    <w:rsid w:val="00E1723B"/>
    <w:rsid w:val="00E17539"/>
    <w:rsid w:val="00E23A7D"/>
    <w:rsid w:val="00E244E6"/>
    <w:rsid w:val="00E2695D"/>
    <w:rsid w:val="00E27028"/>
    <w:rsid w:val="00E32995"/>
    <w:rsid w:val="00E32C50"/>
    <w:rsid w:val="00E3404F"/>
    <w:rsid w:val="00E36971"/>
    <w:rsid w:val="00E41A6D"/>
    <w:rsid w:val="00E41E9C"/>
    <w:rsid w:val="00E423C3"/>
    <w:rsid w:val="00E4323F"/>
    <w:rsid w:val="00E4469C"/>
    <w:rsid w:val="00E450AB"/>
    <w:rsid w:val="00E45E88"/>
    <w:rsid w:val="00E47059"/>
    <w:rsid w:val="00E5280E"/>
    <w:rsid w:val="00E52CEE"/>
    <w:rsid w:val="00E53A7F"/>
    <w:rsid w:val="00E54A8E"/>
    <w:rsid w:val="00E563FC"/>
    <w:rsid w:val="00E569BC"/>
    <w:rsid w:val="00E57F9B"/>
    <w:rsid w:val="00E60634"/>
    <w:rsid w:val="00E607C0"/>
    <w:rsid w:val="00E61348"/>
    <w:rsid w:val="00E6211E"/>
    <w:rsid w:val="00E6319B"/>
    <w:rsid w:val="00E6550B"/>
    <w:rsid w:val="00E65551"/>
    <w:rsid w:val="00E6726D"/>
    <w:rsid w:val="00E67A0C"/>
    <w:rsid w:val="00E70FBC"/>
    <w:rsid w:val="00E74000"/>
    <w:rsid w:val="00E7623C"/>
    <w:rsid w:val="00E773C0"/>
    <w:rsid w:val="00E80764"/>
    <w:rsid w:val="00E80FCB"/>
    <w:rsid w:val="00E81433"/>
    <w:rsid w:val="00E81C95"/>
    <w:rsid w:val="00E845C0"/>
    <w:rsid w:val="00E852A3"/>
    <w:rsid w:val="00E86628"/>
    <w:rsid w:val="00E914B7"/>
    <w:rsid w:val="00E92775"/>
    <w:rsid w:val="00E93103"/>
    <w:rsid w:val="00EA0295"/>
    <w:rsid w:val="00EA0314"/>
    <w:rsid w:val="00EA0C1C"/>
    <w:rsid w:val="00EA477A"/>
    <w:rsid w:val="00EA5CA0"/>
    <w:rsid w:val="00EA5D92"/>
    <w:rsid w:val="00EB083E"/>
    <w:rsid w:val="00EB307B"/>
    <w:rsid w:val="00EB39AA"/>
    <w:rsid w:val="00EB5354"/>
    <w:rsid w:val="00EB7780"/>
    <w:rsid w:val="00EC06DB"/>
    <w:rsid w:val="00EC2DC7"/>
    <w:rsid w:val="00EC3779"/>
    <w:rsid w:val="00EC65E8"/>
    <w:rsid w:val="00EC71DE"/>
    <w:rsid w:val="00EC7F0E"/>
    <w:rsid w:val="00ED2D1F"/>
    <w:rsid w:val="00ED58E9"/>
    <w:rsid w:val="00ED700E"/>
    <w:rsid w:val="00ED79D6"/>
    <w:rsid w:val="00EE1831"/>
    <w:rsid w:val="00EE249E"/>
    <w:rsid w:val="00EE299D"/>
    <w:rsid w:val="00EE3DAD"/>
    <w:rsid w:val="00EF2177"/>
    <w:rsid w:val="00EF2F7C"/>
    <w:rsid w:val="00EF3FC0"/>
    <w:rsid w:val="00EF42FC"/>
    <w:rsid w:val="00EF61B5"/>
    <w:rsid w:val="00F009B3"/>
    <w:rsid w:val="00F00A40"/>
    <w:rsid w:val="00F00A6E"/>
    <w:rsid w:val="00F048BE"/>
    <w:rsid w:val="00F05773"/>
    <w:rsid w:val="00F069D7"/>
    <w:rsid w:val="00F0773E"/>
    <w:rsid w:val="00F115D1"/>
    <w:rsid w:val="00F12CED"/>
    <w:rsid w:val="00F12DCE"/>
    <w:rsid w:val="00F13496"/>
    <w:rsid w:val="00F13B2F"/>
    <w:rsid w:val="00F14346"/>
    <w:rsid w:val="00F14982"/>
    <w:rsid w:val="00F163E9"/>
    <w:rsid w:val="00F22A26"/>
    <w:rsid w:val="00F23C0F"/>
    <w:rsid w:val="00F2598D"/>
    <w:rsid w:val="00F26166"/>
    <w:rsid w:val="00F26D3E"/>
    <w:rsid w:val="00F2720A"/>
    <w:rsid w:val="00F32739"/>
    <w:rsid w:val="00F32845"/>
    <w:rsid w:val="00F336A2"/>
    <w:rsid w:val="00F34643"/>
    <w:rsid w:val="00F36BA0"/>
    <w:rsid w:val="00F411C5"/>
    <w:rsid w:val="00F44AEB"/>
    <w:rsid w:val="00F45620"/>
    <w:rsid w:val="00F5304D"/>
    <w:rsid w:val="00F532E2"/>
    <w:rsid w:val="00F5470D"/>
    <w:rsid w:val="00F555FB"/>
    <w:rsid w:val="00F5638B"/>
    <w:rsid w:val="00F56493"/>
    <w:rsid w:val="00F60301"/>
    <w:rsid w:val="00F628BC"/>
    <w:rsid w:val="00F628FC"/>
    <w:rsid w:val="00F7033F"/>
    <w:rsid w:val="00F70DD4"/>
    <w:rsid w:val="00F7277F"/>
    <w:rsid w:val="00F72E32"/>
    <w:rsid w:val="00F73B85"/>
    <w:rsid w:val="00F747EC"/>
    <w:rsid w:val="00F76218"/>
    <w:rsid w:val="00F829B7"/>
    <w:rsid w:val="00F82DF0"/>
    <w:rsid w:val="00F84A4F"/>
    <w:rsid w:val="00F84ACE"/>
    <w:rsid w:val="00F8617B"/>
    <w:rsid w:val="00F863D7"/>
    <w:rsid w:val="00F9003B"/>
    <w:rsid w:val="00F9173C"/>
    <w:rsid w:val="00F94474"/>
    <w:rsid w:val="00F975AD"/>
    <w:rsid w:val="00FA05C2"/>
    <w:rsid w:val="00FA2D1E"/>
    <w:rsid w:val="00FA35EB"/>
    <w:rsid w:val="00FA6EE9"/>
    <w:rsid w:val="00FB18D0"/>
    <w:rsid w:val="00FB2241"/>
    <w:rsid w:val="00FB2315"/>
    <w:rsid w:val="00FB2ED6"/>
    <w:rsid w:val="00FB3591"/>
    <w:rsid w:val="00FB412B"/>
    <w:rsid w:val="00FB42E5"/>
    <w:rsid w:val="00FB58C3"/>
    <w:rsid w:val="00FB59EE"/>
    <w:rsid w:val="00FB5D32"/>
    <w:rsid w:val="00FB6B8F"/>
    <w:rsid w:val="00FC2522"/>
    <w:rsid w:val="00FC3C77"/>
    <w:rsid w:val="00FC5B56"/>
    <w:rsid w:val="00FD181C"/>
    <w:rsid w:val="00FD4B12"/>
    <w:rsid w:val="00FD5009"/>
    <w:rsid w:val="00FD55C9"/>
    <w:rsid w:val="00FD62DC"/>
    <w:rsid w:val="00FD64DF"/>
    <w:rsid w:val="00FD65D3"/>
    <w:rsid w:val="00FD6A70"/>
    <w:rsid w:val="00FD72F4"/>
    <w:rsid w:val="00FE06B1"/>
    <w:rsid w:val="00FE1D87"/>
    <w:rsid w:val="00FE1EC8"/>
    <w:rsid w:val="00FE3560"/>
    <w:rsid w:val="00FE3E09"/>
    <w:rsid w:val="00FE4FBF"/>
    <w:rsid w:val="00FE6961"/>
    <w:rsid w:val="00FE71EB"/>
    <w:rsid w:val="00FE78CB"/>
    <w:rsid w:val="00FF02B4"/>
    <w:rsid w:val="00FF1E5A"/>
    <w:rsid w:val="00FF6AA1"/>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 w:type="character" w:styleId="Siln">
    <w:name w:val="Strong"/>
    <w:basedOn w:val="Standardnpsmoodstavce"/>
    <w:uiPriority w:val="22"/>
    <w:qFormat/>
    <w:rsid w:val="00A55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48">
      <w:bodyDiv w:val="1"/>
      <w:marLeft w:val="0"/>
      <w:marRight w:val="0"/>
      <w:marTop w:val="0"/>
      <w:marBottom w:val="0"/>
      <w:divBdr>
        <w:top w:val="none" w:sz="0" w:space="0" w:color="auto"/>
        <w:left w:val="none" w:sz="0" w:space="0" w:color="auto"/>
        <w:bottom w:val="none" w:sz="0" w:space="0" w:color="auto"/>
        <w:right w:val="none" w:sz="0" w:space="0" w:color="auto"/>
      </w:divBdr>
    </w:div>
    <w:div w:id="26149915">
      <w:bodyDiv w:val="1"/>
      <w:marLeft w:val="0"/>
      <w:marRight w:val="0"/>
      <w:marTop w:val="0"/>
      <w:marBottom w:val="0"/>
      <w:divBdr>
        <w:top w:val="none" w:sz="0" w:space="0" w:color="auto"/>
        <w:left w:val="none" w:sz="0" w:space="0" w:color="auto"/>
        <w:bottom w:val="none" w:sz="0" w:space="0" w:color="auto"/>
        <w:right w:val="none" w:sz="0" w:space="0" w:color="auto"/>
      </w:divBdr>
    </w:div>
    <w:div w:id="50732690">
      <w:bodyDiv w:val="1"/>
      <w:marLeft w:val="0"/>
      <w:marRight w:val="0"/>
      <w:marTop w:val="0"/>
      <w:marBottom w:val="0"/>
      <w:divBdr>
        <w:top w:val="none" w:sz="0" w:space="0" w:color="auto"/>
        <w:left w:val="none" w:sz="0" w:space="0" w:color="auto"/>
        <w:bottom w:val="none" w:sz="0" w:space="0" w:color="auto"/>
        <w:right w:val="none" w:sz="0" w:space="0" w:color="auto"/>
      </w:divBdr>
    </w:div>
    <w:div w:id="61872337">
      <w:bodyDiv w:val="1"/>
      <w:marLeft w:val="0"/>
      <w:marRight w:val="0"/>
      <w:marTop w:val="0"/>
      <w:marBottom w:val="0"/>
      <w:divBdr>
        <w:top w:val="none" w:sz="0" w:space="0" w:color="auto"/>
        <w:left w:val="none" w:sz="0" w:space="0" w:color="auto"/>
        <w:bottom w:val="none" w:sz="0" w:space="0" w:color="auto"/>
        <w:right w:val="none" w:sz="0" w:space="0" w:color="auto"/>
      </w:divBdr>
    </w:div>
    <w:div w:id="84084129">
      <w:bodyDiv w:val="1"/>
      <w:marLeft w:val="0"/>
      <w:marRight w:val="0"/>
      <w:marTop w:val="0"/>
      <w:marBottom w:val="0"/>
      <w:divBdr>
        <w:top w:val="none" w:sz="0" w:space="0" w:color="auto"/>
        <w:left w:val="none" w:sz="0" w:space="0" w:color="auto"/>
        <w:bottom w:val="none" w:sz="0" w:space="0" w:color="auto"/>
        <w:right w:val="none" w:sz="0" w:space="0" w:color="auto"/>
      </w:divBdr>
    </w:div>
    <w:div w:id="95486990">
      <w:bodyDiv w:val="1"/>
      <w:marLeft w:val="0"/>
      <w:marRight w:val="0"/>
      <w:marTop w:val="0"/>
      <w:marBottom w:val="0"/>
      <w:divBdr>
        <w:top w:val="none" w:sz="0" w:space="0" w:color="auto"/>
        <w:left w:val="none" w:sz="0" w:space="0" w:color="auto"/>
        <w:bottom w:val="none" w:sz="0" w:space="0" w:color="auto"/>
        <w:right w:val="none" w:sz="0" w:space="0" w:color="auto"/>
      </w:divBdr>
    </w:div>
    <w:div w:id="116265840">
      <w:bodyDiv w:val="1"/>
      <w:marLeft w:val="0"/>
      <w:marRight w:val="0"/>
      <w:marTop w:val="0"/>
      <w:marBottom w:val="0"/>
      <w:divBdr>
        <w:top w:val="none" w:sz="0" w:space="0" w:color="auto"/>
        <w:left w:val="none" w:sz="0" w:space="0" w:color="auto"/>
        <w:bottom w:val="none" w:sz="0" w:space="0" w:color="auto"/>
        <w:right w:val="none" w:sz="0" w:space="0" w:color="auto"/>
      </w:divBdr>
    </w:div>
    <w:div w:id="136192622">
      <w:bodyDiv w:val="1"/>
      <w:marLeft w:val="0"/>
      <w:marRight w:val="0"/>
      <w:marTop w:val="0"/>
      <w:marBottom w:val="0"/>
      <w:divBdr>
        <w:top w:val="none" w:sz="0" w:space="0" w:color="auto"/>
        <w:left w:val="none" w:sz="0" w:space="0" w:color="auto"/>
        <w:bottom w:val="none" w:sz="0" w:space="0" w:color="auto"/>
        <w:right w:val="none" w:sz="0" w:space="0" w:color="auto"/>
      </w:divBdr>
    </w:div>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192810600">
      <w:bodyDiv w:val="1"/>
      <w:marLeft w:val="0"/>
      <w:marRight w:val="0"/>
      <w:marTop w:val="0"/>
      <w:marBottom w:val="0"/>
      <w:divBdr>
        <w:top w:val="none" w:sz="0" w:space="0" w:color="auto"/>
        <w:left w:val="none" w:sz="0" w:space="0" w:color="auto"/>
        <w:bottom w:val="none" w:sz="0" w:space="0" w:color="auto"/>
        <w:right w:val="none" w:sz="0" w:space="0" w:color="auto"/>
      </w:divBdr>
    </w:div>
    <w:div w:id="215357708">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05037334">
      <w:bodyDiv w:val="1"/>
      <w:marLeft w:val="0"/>
      <w:marRight w:val="0"/>
      <w:marTop w:val="0"/>
      <w:marBottom w:val="0"/>
      <w:divBdr>
        <w:top w:val="none" w:sz="0" w:space="0" w:color="auto"/>
        <w:left w:val="none" w:sz="0" w:space="0" w:color="auto"/>
        <w:bottom w:val="none" w:sz="0" w:space="0" w:color="auto"/>
        <w:right w:val="none" w:sz="0" w:space="0" w:color="auto"/>
      </w:divBdr>
    </w:div>
    <w:div w:id="482889103">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24488455">
      <w:bodyDiv w:val="1"/>
      <w:marLeft w:val="0"/>
      <w:marRight w:val="0"/>
      <w:marTop w:val="0"/>
      <w:marBottom w:val="0"/>
      <w:divBdr>
        <w:top w:val="none" w:sz="0" w:space="0" w:color="auto"/>
        <w:left w:val="none" w:sz="0" w:space="0" w:color="auto"/>
        <w:bottom w:val="none" w:sz="0" w:space="0" w:color="auto"/>
        <w:right w:val="none" w:sz="0" w:space="0" w:color="auto"/>
      </w:divBdr>
    </w:div>
    <w:div w:id="539055257">
      <w:bodyDiv w:val="1"/>
      <w:marLeft w:val="0"/>
      <w:marRight w:val="0"/>
      <w:marTop w:val="0"/>
      <w:marBottom w:val="0"/>
      <w:divBdr>
        <w:top w:val="none" w:sz="0" w:space="0" w:color="auto"/>
        <w:left w:val="none" w:sz="0" w:space="0" w:color="auto"/>
        <w:bottom w:val="none" w:sz="0" w:space="0" w:color="auto"/>
        <w:right w:val="none" w:sz="0" w:space="0" w:color="auto"/>
      </w:divBdr>
    </w:div>
    <w:div w:id="580876104">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05581828">
      <w:bodyDiv w:val="1"/>
      <w:marLeft w:val="0"/>
      <w:marRight w:val="0"/>
      <w:marTop w:val="0"/>
      <w:marBottom w:val="0"/>
      <w:divBdr>
        <w:top w:val="none" w:sz="0" w:space="0" w:color="auto"/>
        <w:left w:val="none" w:sz="0" w:space="0" w:color="auto"/>
        <w:bottom w:val="none" w:sz="0" w:space="0" w:color="auto"/>
        <w:right w:val="none" w:sz="0" w:space="0" w:color="auto"/>
      </w:divBdr>
    </w:div>
    <w:div w:id="641467723">
      <w:bodyDiv w:val="1"/>
      <w:marLeft w:val="0"/>
      <w:marRight w:val="0"/>
      <w:marTop w:val="0"/>
      <w:marBottom w:val="0"/>
      <w:divBdr>
        <w:top w:val="none" w:sz="0" w:space="0" w:color="auto"/>
        <w:left w:val="none" w:sz="0" w:space="0" w:color="auto"/>
        <w:bottom w:val="none" w:sz="0" w:space="0" w:color="auto"/>
        <w:right w:val="none" w:sz="0" w:space="0" w:color="auto"/>
      </w:divBdr>
    </w:div>
    <w:div w:id="645667381">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675570253">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742989099">
      <w:bodyDiv w:val="1"/>
      <w:marLeft w:val="0"/>
      <w:marRight w:val="0"/>
      <w:marTop w:val="0"/>
      <w:marBottom w:val="0"/>
      <w:divBdr>
        <w:top w:val="none" w:sz="0" w:space="0" w:color="auto"/>
        <w:left w:val="none" w:sz="0" w:space="0" w:color="auto"/>
        <w:bottom w:val="none" w:sz="0" w:space="0" w:color="auto"/>
        <w:right w:val="none" w:sz="0" w:space="0" w:color="auto"/>
      </w:divBdr>
    </w:div>
    <w:div w:id="753823787">
      <w:bodyDiv w:val="1"/>
      <w:marLeft w:val="0"/>
      <w:marRight w:val="0"/>
      <w:marTop w:val="0"/>
      <w:marBottom w:val="0"/>
      <w:divBdr>
        <w:top w:val="none" w:sz="0" w:space="0" w:color="auto"/>
        <w:left w:val="none" w:sz="0" w:space="0" w:color="auto"/>
        <w:bottom w:val="none" w:sz="0" w:space="0" w:color="auto"/>
        <w:right w:val="none" w:sz="0" w:space="0" w:color="auto"/>
      </w:divBdr>
    </w:div>
    <w:div w:id="758216359">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867060497">
      <w:bodyDiv w:val="1"/>
      <w:marLeft w:val="0"/>
      <w:marRight w:val="0"/>
      <w:marTop w:val="0"/>
      <w:marBottom w:val="0"/>
      <w:divBdr>
        <w:top w:val="none" w:sz="0" w:space="0" w:color="auto"/>
        <w:left w:val="none" w:sz="0" w:space="0" w:color="auto"/>
        <w:bottom w:val="none" w:sz="0" w:space="0" w:color="auto"/>
        <w:right w:val="none" w:sz="0" w:space="0" w:color="auto"/>
      </w:divBdr>
    </w:div>
    <w:div w:id="899173101">
      <w:bodyDiv w:val="1"/>
      <w:marLeft w:val="0"/>
      <w:marRight w:val="0"/>
      <w:marTop w:val="0"/>
      <w:marBottom w:val="0"/>
      <w:divBdr>
        <w:top w:val="none" w:sz="0" w:space="0" w:color="auto"/>
        <w:left w:val="none" w:sz="0" w:space="0" w:color="auto"/>
        <w:bottom w:val="none" w:sz="0" w:space="0" w:color="auto"/>
        <w:right w:val="none" w:sz="0" w:space="0" w:color="auto"/>
      </w:divBdr>
    </w:div>
    <w:div w:id="904678919">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9256544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16887673">
      <w:bodyDiv w:val="1"/>
      <w:marLeft w:val="0"/>
      <w:marRight w:val="0"/>
      <w:marTop w:val="0"/>
      <w:marBottom w:val="0"/>
      <w:divBdr>
        <w:top w:val="none" w:sz="0" w:space="0" w:color="auto"/>
        <w:left w:val="none" w:sz="0" w:space="0" w:color="auto"/>
        <w:bottom w:val="none" w:sz="0" w:space="0" w:color="auto"/>
        <w:right w:val="none" w:sz="0" w:space="0" w:color="auto"/>
      </w:divBdr>
    </w:div>
    <w:div w:id="1030302275">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044792483">
      <w:bodyDiv w:val="1"/>
      <w:marLeft w:val="0"/>
      <w:marRight w:val="0"/>
      <w:marTop w:val="0"/>
      <w:marBottom w:val="0"/>
      <w:divBdr>
        <w:top w:val="none" w:sz="0" w:space="0" w:color="auto"/>
        <w:left w:val="none" w:sz="0" w:space="0" w:color="auto"/>
        <w:bottom w:val="none" w:sz="0" w:space="0" w:color="auto"/>
        <w:right w:val="none" w:sz="0" w:space="0" w:color="auto"/>
      </w:divBdr>
    </w:div>
    <w:div w:id="1056513043">
      <w:bodyDiv w:val="1"/>
      <w:marLeft w:val="0"/>
      <w:marRight w:val="0"/>
      <w:marTop w:val="0"/>
      <w:marBottom w:val="0"/>
      <w:divBdr>
        <w:top w:val="none" w:sz="0" w:space="0" w:color="auto"/>
        <w:left w:val="none" w:sz="0" w:space="0" w:color="auto"/>
        <w:bottom w:val="none" w:sz="0" w:space="0" w:color="auto"/>
        <w:right w:val="none" w:sz="0" w:space="0" w:color="auto"/>
      </w:divBdr>
    </w:div>
    <w:div w:id="1056779003">
      <w:bodyDiv w:val="1"/>
      <w:marLeft w:val="0"/>
      <w:marRight w:val="0"/>
      <w:marTop w:val="0"/>
      <w:marBottom w:val="0"/>
      <w:divBdr>
        <w:top w:val="none" w:sz="0" w:space="0" w:color="auto"/>
        <w:left w:val="none" w:sz="0" w:space="0" w:color="auto"/>
        <w:bottom w:val="none" w:sz="0" w:space="0" w:color="auto"/>
        <w:right w:val="none" w:sz="0" w:space="0" w:color="auto"/>
      </w:divBdr>
    </w:div>
    <w:div w:id="1074353678">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02065241">
      <w:bodyDiv w:val="1"/>
      <w:marLeft w:val="0"/>
      <w:marRight w:val="0"/>
      <w:marTop w:val="0"/>
      <w:marBottom w:val="0"/>
      <w:divBdr>
        <w:top w:val="none" w:sz="0" w:space="0" w:color="auto"/>
        <w:left w:val="none" w:sz="0" w:space="0" w:color="auto"/>
        <w:bottom w:val="none" w:sz="0" w:space="0" w:color="auto"/>
        <w:right w:val="none" w:sz="0" w:space="0" w:color="auto"/>
      </w:divBdr>
    </w:div>
    <w:div w:id="1128625444">
      <w:bodyDiv w:val="1"/>
      <w:marLeft w:val="0"/>
      <w:marRight w:val="0"/>
      <w:marTop w:val="0"/>
      <w:marBottom w:val="0"/>
      <w:divBdr>
        <w:top w:val="none" w:sz="0" w:space="0" w:color="auto"/>
        <w:left w:val="none" w:sz="0" w:space="0" w:color="auto"/>
        <w:bottom w:val="none" w:sz="0" w:space="0" w:color="auto"/>
        <w:right w:val="none" w:sz="0" w:space="0" w:color="auto"/>
      </w:divBdr>
    </w:div>
    <w:div w:id="1129516099">
      <w:bodyDiv w:val="1"/>
      <w:marLeft w:val="0"/>
      <w:marRight w:val="0"/>
      <w:marTop w:val="0"/>
      <w:marBottom w:val="0"/>
      <w:divBdr>
        <w:top w:val="none" w:sz="0" w:space="0" w:color="auto"/>
        <w:left w:val="none" w:sz="0" w:space="0" w:color="auto"/>
        <w:bottom w:val="none" w:sz="0" w:space="0" w:color="auto"/>
        <w:right w:val="none" w:sz="0" w:space="0" w:color="auto"/>
      </w:divBdr>
    </w:div>
    <w:div w:id="1180124350">
      <w:bodyDiv w:val="1"/>
      <w:marLeft w:val="0"/>
      <w:marRight w:val="0"/>
      <w:marTop w:val="0"/>
      <w:marBottom w:val="0"/>
      <w:divBdr>
        <w:top w:val="none" w:sz="0" w:space="0" w:color="auto"/>
        <w:left w:val="none" w:sz="0" w:space="0" w:color="auto"/>
        <w:bottom w:val="none" w:sz="0" w:space="0" w:color="auto"/>
        <w:right w:val="none" w:sz="0" w:space="0" w:color="auto"/>
      </w:divBdr>
    </w:div>
    <w:div w:id="1195076793">
      <w:bodyDiv w:val="1"/>
      <w:marLeft w:val="0"/>
      <w:marRight w:val="0"/>
      <w:marTop w:val="0"/>
      <w:marBottom w:val="0"/>
      <w:divBdr>
        <w:top w:val="none" w:sz="0" w:space="0" w:color="auto"/>
        <w:left w:val="none" w:sz="0" w:space="0" w:color="auto"/>
        <w:bottom w:val="none" w:sz="0" w:space="0" w:color="auto"/>
        <w:right w:val="none" w:sz="0" w:space="0" w:color="auto"/>
      </w:divBdr>
    </w:div>
    <w:div w:id="1202398645">
      <w:bodyDiv w:val="1"/>
      <w:marLeft w:val="0"/>
      <w:marRight w:val="0"/>
      <w:marTop w:val="0"/>
      <w:marBottom w:val="0"/>
      <w:divBdr>
        <w:top w:val="none" w:sz="0" w:space="0" w:color="auto"/>
        <w:left w:val="none" w:sz="0" w:space="0" w:color="auto"/>
        <w:bottom w:val="none" w:sz="0" w:space="0" w:color="auto"/>
        <w:right w:val="none" w:sz="0" w:space="0" w:color="auto"/>
      </w:divBdr>
    </w:div>
    <w:div w:id="1203983725">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1688971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85886793">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58702177">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394231548">
      <w:bodyDiv w:val="1"/>
      <w:marLeft w:val="0"/>
      <w:marRight w:val="0"/>
      <w:marTop w:val="0"/>
      <w:marBottom w:val="0"/>
      <w:divBdr>
        <w:top w:val="none" w:sz="0" w:space="0" w:color="auto"/>
        <w:left w:val="none" w:sz="0" w:space="0" w:color="auto"/>
        <w:bottom w:val="none" w:sz="0" w:space="0" w:color="auto"/>
        <w:right w:val="none" w:sz="0" w:space="0" w:color="auto"/>
      </w:divBdr>
    </w:div>
    <w:div w:id="1414161234">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455101792">
      <w:bodyDiv w:val="1"/>
      <w:marLeft w:val="0"/>
      <w:marRight w:val="0"/>
      <w:marTop w:val="0"/>
      <w:marBottom w:val="0"/>
      <w:divBdr>
        <w:top w:val="none" w:sz="0" w:space="0" w:color="auto"/>
        <w:left w:val="none" w:sz="0" w:space="0" w:color="auto"/>
        <w:bottom w:val="none" w:sz="0" w:space="0" w:color="auto"/>
        <w:right w:val="none" w:sz="0" w:space="0" w:color="auto"/>
      </w:divBdr>
    </w:div>
    <w:div w:id="1470200845">
      <w:bodyDiv w:val="1"/>
      <w:marLeft w:val="0"/>
      <w:marRight w:val="0"/>
      <w:marTop w:val="0"/>
      <w:marBottom w:val="0"/>
      <w:divBdr>
        <w:top w:val="none" w:sz="0" w:space="0" w:color="auto"/>
        <w:left w:val="none" w:sz="0" w:space="0" w:color="auto"/>
        <w:bottom w:val="none" w:sz="0" w:space="0" w:color="auto"/>
        <w:right w:val="none" w:sz="0" w:space="0" w:color="auto"/>
      </w:divBdr>
    </w:div>
    <w:div w:id="1490054170">
      <w:bodyDiv w:val="1"/>
      <w:marLeft w:val="0"/>
      <w:marRight w:val="0"/>
      <w:marTop w:val="0"/>
      <w:marBottom w:val="0"/>
      <w:divBdr>
        <w:top w:val="none" w:sz="0" w:space="0" w:color="auto"/>
        <w:left w:val="none" w:sz="0" w:space="0" w:color="auto"/>
        <w:bottom w:val="none" w:sz="0" w:space="0" w:color="auto"/>
        <w:right w:val="none" w:sz="0" w:space="0" w:color="auto"/>
      </w:divBdr>
      <w:divsChild>
        <w:div w:id="1384795914">
          <w:marLeft w:val="0"/>
          <w:marRight w:val="0"/>
          <w:marTop w:val="0"/>
          <w:marBottom w:val="0"/>
          <w:divBdr>
            <w:top w:val="none" w:sz="0" w:space="0" w:color="auto"/>
            <w:left w:val="none" w:sz="0" w:space="0" w:color="auto"/>
            <w:bottom w:val="none" w:sz="0" w:space="0" w:color="auto"/>
            <w:right w:val="none" w:sz="0" w:space="0" w:color="auto"/>
          </w:divBdr>
          <w:divsChild>
            <w:div w:id="1217232780">
              <w:marLeft w:val="0"/>
              <w:marRight w:val="0"/>
              <w:marTop w:val="0"/>
              <w:marBottom w:val="0"/>
              <w:divBdr>
                <w:top w:val="none" w:sz="0" w:space="0" w:color="auto"/>
                <w:left w:val="none" w:sz="0" w:space="0" w:color="auto"/>
                <w:bottom w:val="none" w:sz="0" w:space="0" w:color="auto"/>
                <w:right w:val="none" w:sz="0" w:space="0" w:color="auto"/>
              </w:divBdr>
              <w:divsChild>
                <w:div w:id="113408768">
                  <w:marLeft w:val="0"/>
                  <w:marRight w:val="0"/>
                  <w:marTop w:val="0"/>
                  <w:marBottom w:val="0"/>
                  <w:divBdr>
                    <w:top w:val="none" w:sz="0" w:space="0" w:color="auto"/>
                    <w:left w:val="none" w:sz="0" w:space="0" w:color="auto"/>
                    <w:bottom w:val="none" w:sz="0" w:space="0" w:color="auto"/>
                    <w:right w:val="none" w:sz="0" w:space="0" w:color="auto"/>
                  </w:divBdr>
                  <w:divsChild>
                    <w:div w:id="749426387">
                      <w:marLeft w:val="0"/>
                      <w:marRight w:val="0"/>
                      <w:marTop w:val="0"/>
                      <w:marBottom w:val="0"/>
                      <w:divBdr>
                        <w:top w:val="none" w:sz="0" w:space="0" w:color="auto"/>
                        <w:left w:val="none" w:sz="0" w:space="0" w:color="auto"/>
                        <w:bottom w:val="none" w:sz="0" w:space="0" w:color="auto"/>
                        <w:right w:val="none" w:sz="0" w:space="0" w:color="auto"/>
                      </w:divBdr>
                      <w:divsChild>
                        <w:div w:id="780342244">
                          <w:marLeft w:val="0"/>
                          <w:marRight w:val="0"/>
                          <w:marTop w:val="0"/>
                          <w:marBottom w:val="0"/>
                          <w:divBdr>
                            <w:top w:val="none" w:sz="0" w:space="0" w:color="auto"/>
                            <w:left w:val="none" w:sz="0" w:space="0" w:color="auto"/>
                            <w:bottom w:val="none" w:sz="0" w:space="0" w:color="auto"/>
                            <w:right w:val="none" w:sz="0" w:space="0" w:color="auto"/>
                          </w:divBdr>
                          <w:divsChild>
                            <w:div w:id="5698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4053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554586075">
      <w:bodyDiv w:val="1"/>
      <w:marLeft w:val="0"/>
      <w:marRight w:val="0"/>
      <w:marTop w:val="0"/>
      <w:marBottom w:val="0"/>
      <w:divBdr>
        <w:top w:val="none" w:sz="0" w:space="0" w:color="auto"/>
        <w:left w:val="none" w:sz="0" w:space="0" w:color="auto"/>
        <w:bottom w:val="none" w:sz="0" w:space="0" w:color="auto"/>
        <w:right w:val="none" w:sz="0" w:space="0" w:color="auto"/>
      </w:divBdr>
    </w:div>
    <w:div w:id="1608388277">
      <w:bodyDiv w:val="1"/>
      <w:marLeft w:val="0"/>
      <w:marRight w:val="0"/>
      <w:marTop w:val="0"/>
      <w:marBottom w:val="0"/>
      <w:divBdr>
        <w:top w:val="none" w:sz="0" w:space="0" w:color="auto"/>
        <w:left w:val="none" w:sz="0" w:space="0" w:color="auto"/>
        <w:bottom w:val="none" w:sz="0" w:space="0" w:color="auto"/>
        <w:right w:val="none" w:sz="0" w:space="0" w:color="auto"/>
      </w:divBdr>
      <w:divsChild>
        <w:div w:id="1517228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041497">
      <w:bodyDiv w:val="1"/>
      <w:marLeft w:val="0"/>
      <w:marRight w:val="0"/>
      <w:marTop w:val="0"/>
      <w:marBottom w:val="0"/>
      <w:divBdr>
        <w:top w:val="none" w:sz="0" w:space="0" w:color="auto"/>
        <w:left w:val="none" w:sz="0" w:space="0" w:color="auto"/>
        <w:bottom w:val="none" w:sz="0" w:space="0" w:color="auto"/>
        <w:right w:val="none" w:sz="0" w:space="0" w:color="auto"/>
      </w:divBdr>
    </w:div>
    <w:div w:id="1630546794">
      <w:bodyDiv w:val="1"/>
      <w:marLeft w:val="0"/>
      <w:marRight w:val="0"/>
      <w:marTop w:val="0"/>
      <w:marBottom w:val="0"/>
      <w:divBdr>
        <w:top w:val="none" w:sz="0" w:space="0" w:color="auto"/>
        <w:left w:val="none" w:sz="0" w:space="0" w:color="auto"/>
        <w:bottom w:val="none" w:sz="0" w:space="0" w:color="auto"/>
        <w:right w:val="none" w:sz="0" w:space="0" w:color="auto"/>
      </w:divBdr>
    </w:div>
    <w:div w:id="1644502417">
      <w:bodyDiv w:val="1"/>
      <w:marLeft w:val="0"/>
      <w:marRight w:val="0"/>
      <w:marTop w:val="0"/>
      <w:marBottom w:val="0"/>
      <w:divBdr>
        <w:top w:val="none" w:sz="0" w:space="0" w:color="auto"/>
        <w:left w:val="none" w:sz="0" w:space="0" w:color="auto"/>
        <w:bottom w:val="none" w:sz="0" w:space="0" w:color="auto"/>
        <w:right w:val="none" w:sz="0" w:space="0" w:color="auto"/>
      </w:divBdr>
    </w:div>
    <w:div w:id="1690334217">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12606406">
      <w:bodyDiv w:val="1"/>
      <w:marLeft w:val="0"/>
      <w:marRight w:val="0"/>
      <w:marTop w:val="0"/>
      <w:marBottom w:val="0"/>
      <w:divBdr>
        <w:top w:val="none" w:sz="0" w:space="0" w:color="auto"/>
        <w:left w:val="none" w:sz="0" w:space="0" w:color="auto"/>
        <w:bottom w:val="none" w:sz="0" w:space="0" w:color="auto"/>
        <w:right w:val="none" w:sz="0" w:space="0" w:color="auto"/>
      </w:divBdr>
    </w:div>
    <w:div w:id="1726222585">
      <w:bodyDiv w:val="1"/>
      <w:marLeft w:val="0"/>
      <w:marRight w:val="0"/>
      <w:marTop w:val="0"/>
      <w:marBottom w:val="0"/>
      <w:divBdr>
        <w:top w:val="none" w:sz="0" w:space="0" w:color="auto"/>
        <w:left w:val="none" w:sz="0" w:space="0" w:color="auto"/>
        <w:bottom w:val="none" w:sz="0" w:space="0" w:color="auto"/>
        <w:right w:val="none" w:sz="0" w:space="0" w:color="auto"/>
      </w:divBdr>
    </w:div>
    <w:div w:id="173311247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754204180">
      <w:bodyDiv w:val="1"/>
      <w:marLeft w:val="0"/>
      <w:marRight w:val="0"/>
      <w:marTop w:val="0"/>
      <w:marBottom w:val="0"/>
      <w:divBdr>
        <w:top w:val="none" w:sz="0" w:space="0" w:color="auto"/>
        <w:left w:val="none" w:sz="0" w:space="0" w:color="auto"/>
        <w:bottom w:val="none" w:sz="0" w:space="0" w:color="auto"/>
        <w:right w:val="none" w:sz="0" w:space="0" w:color="auto"/>
      </w:divBdr>
    </w:div>
    <w:div w:id="1761415458">
      <w:bodyDiv w:val="1"/>
      <w:marLeft w:val="0"/>
      <w:marRight w:val="0"/>
      <w:marTop w:val="0"/>
      <w:marBottom w:val="0"/>
      <w:divBdr>
        <w:top w:val="none" w:sz="0" w:space="0" w:color="auto"/>
        <w:left w:val="none" w:sz="0" w:space="0" w:color="auto"/>
        <w:bottom w:val="none" w:sz="0" w:space="0" w:color="auto"/>
        <w:right w:val="none" w:sz="0" w:space="0" w:color="auto"/>
      </w:divBdr>
    </w:div>
    <w:div w:id="1840151224">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1899173014">
      <w:bodyDiv w:val="1"/>
      <w:marLeft w:val="0"/>
      <w:marRight w:val="0"/>
      <w:marTop w:val="0"/>
      <w:marBottom w:val="0"/>
      <w:divBdr>
        <w:top w:val="none" w:sz="0" w:space="0" w:color="auto"/>
        <w:left w:val="none" w:sz="0" w:space="0" w:color="auto"/>
        <w:bottom w:val="none" w:sz="0" w:space="0" w:color="auto"/>
        <w:right w:val="none" w:sz="0" w:space="0" w:color="auto"/>
      </w:divBdr>
    </w:div>
    <w:div w:id="1917864358">
      <w:bodyDiv w:val="1"/>
      <w:marLeft w:val="0"/>
      <w:marRight w:val="0"/>
      <w:marTop w:val="0"/>
      <w:marBottom w:val="0"/>
      <w:divBdr>
        <w:top w:val="none" w:sz="0" w:space="0" w:color="auto"/>
        <w:left w:val="none" w:sz="0" w:space="0" w:color="auto"/>
        <w:bottom w:val="none" w:sz="0" w:space="0" w:color="auto"/>
        <w:right w:val="none" w:sz="0" w:space="0" w:color="auto"/>
      </w:divBdr>
    </w:div>
    <w:div w:id="1929188920">
      <w:bodyDiv w:val="1"/>
      <w:marLeft w:val="0"/>
      <w:marRight w:val="0"/>
      <w:marTop w:val="0"/>
      <w:marBottom w:val="0"/>
      <w:divBdr>
        <w:top w:val="none" w:sz="0" w:space="0" w:color="auto"/>
        <w:left w:val="none" w:sz="0" w:space="0" w:color="auto"/>
        <w:bottom w:val="none" w:sz="0" w:space="0" w:color="auto"/>
        <w:right w:val="none" w:sz="0" w:space="0" w:color="auto"/>
      </w:divBdr>
    </w:div>
    <w:div w:id="1944800775">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080667806">
      <w:bodyDiv w:val="1"/>
      <w:marLeft w:val="0"/>
      <w:marRight w:val="0"/>
      <w:marTop w:val="0"/>
      <w:marBottom w:val="0"/>
      <w:divBdr>
        <w:top w:val="none" w:sz="0" w:space="0" w:color="auto"/>
        <w:left w:val="none" w:sz="0" w:space="0" w:color="auto"/>
        <w:bottom w:val="none" w:sz="0" w:space="0" w:color="auto"/>
        <w:right w:val="none" w:sz="0" w:space="0" w:color="auto"/>
      </w:divBdr>
    </w:div>
    <w:div w:id="2095472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roker.Consulting/"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okpointy.cz" TargetMode="External"/><Relationship Id="rId19" Type="http://schemas.openxmlformats.org/officeDocument/2006/relationships/footer" Target="footer1.xml"/><Relationship Id="rId31" Type="http://schemas.openxmlformats.org/officeDocument/2006/relationships/hyperlink" Target="mailto:lenka.kuzelova@bcas.cz" TargetMode="Externa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www.bcas.cz/o-nas/broker-consulting-index-hypotecnich-uveru/"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ADFF9-B014-45E2-80F0-50899719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1128</Words>
  <Characters>6661</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7</cp:revision>
  <cp:lastPrinted>2023-03-06T11:31:00Z</cp:lastPrinted>
  <dcterms:created xsi:type="dcterms:W3CDTF">2026-01-27T09:32:00Z</dcterms:created>
  <dcterms:modified xsi:type="dcterms:W3CDTF">2026-02-03T06:37:00Z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