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4F7B2A" w14:textId="62E24A5B"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46DADFA7" w14:textId="77777777" w:rsidR="00F63179" w:rsidRPr="005B7E46" w:rsidRDefault="00F63179" w:rsidP="00F63179">
      <w:pPr>
        <w:jc w:val="both"/>
        <w:rPr>
          <w:rFonts w:asciiTheme="minorHAnsi" w:hAnsiTheme="minorHAnsi" w:cstheme="minorHAnsi"/>
          <w:sz w:val="20"/>
          <w:szCs w:val="20"/>
        </w:rPr>
      </w:pPr>
    </w:p>
    <w:p w14:paraId="7A912C88" w14:textId="1D6FBE11" w:rsidR="005A1EE0" w:rsidRDefault="00F63179" w:rsidP="005541A6">
      <w:pPr>
        <w:jc w:val="both"/>
        <w:rPr>
          <w:rFonts w:asciiTheme="minorHAnsi" w:hAnsiTheme="minorHAnsi" w:cstheme="minorHAnsi"/>
          <w:sz w:val="20"/>
          <w:szCs w:val="20"/>
          <w:lang w:val="de-DE"/>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DA68D5">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Pr>
          <w:rFonts w:asciiTheme="minorHAnsi" w:hAnsiTheme="minorHAnsi" w:cstheme="minorHAnsi"/>
          <w:sz w:val="20"/>
          <w:szCs w:val="20"/>
        </w:rPr>
        <w:t xml:space="preserve">) </w:t>
      </w:r>
      <w:r w:rsidR="005A1EE0">
        <w:rPr>
          <w:rFonts w:asciiTheme="minorHAnsi" w:hAnsiTheme="minorHAnsi" w:cstheme="minorHAnsi"/>
          <w:sz w:val="20"/>
          <w:szCs w:val="20"/>
        </w:rPr>
        <w:t>na více než 110 obchodních místech pod názvy</w:t>
      </w:r>
      <w:r>
        <w:rPr>
          <w:rFonts w:asciiTheme="minorHAnsi" w:hAnsiTheme="minorHAnsi" w:cstheme="minorHAnsi"/>
          <w:sz w:val="20"/>
          <w:szCs w:val="20"/>
        </w:rPr>
        <w:t xml:space="preserve"> Broker Point Premium</w:t>
      </w:r>
      <w:r w:rsidR="005A1EE0">
        <w:rPr>
          <w:rFonts w:asciiTheme="minorHAnsi" w:hAnsiTheme="minorHAnsi" w:cstheme="minorHAnsi"/>
          <w:sz w:val="20"/>
          <w:szCs w:val="20"/>
        </w:rPr>
        <w:t xml:space="preserve"> nebo Broker Point. Společnost uvedla na český a</w:t>
      </w:r>
      <w:r w:rsidRPr="005B7E46">
        <w:rPr>
          <w:rFonts w:asciiTheme="minorHAnsi" w:hAnsiTheme="minorHAnsi" w:cstheme="minorHAnsi"/>
          <w:sz w:val="20"/>
          <w:szCs w:val="20"/>
        </w:rPr>
        <w:t xml:space="preserve"> slovenský trh řadu inovací. Jednalo se například o investice do otevřených podílových fondů se zamykáním zisků nebo unikátní produkty životního dopojištění, které umožňují pojistit smrt a inv</w:t>
      </w:r>
      <w:r w:rsidR="005A1EE0">
        <w:rPr>
          <w:rFonts w:asciiTheme="minorHAnsi" w:hAnsiTheme="minorHAnsi" w:cstheme="minorHAnsi"/>
          <w:sz w:val="20"/>
          <w:szCs w:val="20"/>
        </w:rPr>
        <w:t>aliditu za zlomek obvyklých cen</w:t>
      </w:r>
      <w:r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9"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w:t>
      </w:r>
      <w:hyperlink r:id="rId10" w:history="1">
        <w:r w:rsidRPr="005B7E46">
          <w:rPr>
            <w:rStyle w:val="Hypertextovodkaz"/>
            <w:rFonts w:asciiTheme="minorHAnsi" w:hAnsiTheme="minorHAnsi" w:cstheme="minorHAnsi"/>
            <w:color w:val="auto"/>
            <w:sz w:val="20"/>
            <w:szCs w:val="20"/>
          </w:rPr>
          <w:t>LinkedIN</w:t>
        </w:r>
      </w:hyperlink>
      <w:r w:rsidRPr="005B7E46">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1"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2"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712E396C" w14:textId="77777777" w:rsidR="005A1EE0" w:rsidRDefault="005A1EE0" w:rsidP="00E54C6F">
      <w:pPr>
        <w:spacing w:after="120"/>
        <w:jc w:val="center"/>
        <w:rPr>
          <w:rFonts w:asciiTheme="minorHAnsi" w:hAnsiTheme="minorHAnsi" w:cstheme="minorHAnsi"/>
          <w:b/>
          <w:color w:val="000000" w:themeColor="text1"/>
          <w:sz w:val="32"/>
          <w:szCs w:val="32"/>
        </w:rPr>
      </w:pPr>
    </w:p>
    <w:p w14:paraId="754C4A66" w14:textId="07B5C143" w:rsidR="009E6D78" w:rsidRDefault="00E64583" w:rsidP="00B15353">
      <w:pPr>
        <w:pStyle w:val="Nadpis1"/>
        <w:jc w:val="center"/>
        <w:rPr>
          <w:rFonts w:asciiTheme="minorHAnsi" w:hAnsiTheme="minorHAnsi" w:cstheme="minorHAnsi"/>
          <w:b/>
          <w:sz w:val="28"/>
          <w:szCs w:val="28"/>
        </w:rPr>
      </w:pPr>
      <w:r w:rsidRPr="00B15353">
        <w:rPr>
          <w:rFonts w:asciiTheme="minorHAnsi" w:hAnsiTheme="minorHAnsi" w:cstheme="minorHAnsi"/>
          <w:b/>
          <w:sz w:val="28"/>
          <w:szCs w:val="28"/>
        </w:rPr>
        <w:lastRenderedPageBreak/>
        <w:t>Průměrná cena povinného ručení v prosinci mírně klesla</w:t>
      </w:r>
    </w:p>
    <w:p w14:paraId="62C3E588" w14:textId="77777777" w:rsidR="00B15353" w:rsidRPr="00B15353" w:rsidRDefault="00B15353" w:rsidP="00B15353">
      <w:pPr>
        <w:pStyle w:val="Nadpis1"/>
        <w:jc w:val="center"/>
        <w:rPr>
          <w:rFonts w:asciiTheme="minorHAnsi" w:hAnsiTheme="minorHAnsi" w:cstheme="minorHAnsi"/>
          <w:b/>
          <w:color w:val="000000" w:themeColor="text1"/>
          <w:sz w:val="28"/>
          <w:szCs w:val="28"/>
          <w:lang w:val="de-DE"/>
        </w:rPr>
      </w:pPr>
    </w:p>
    <w:p w14:paraId="631FD780" w14:textId="75127FFB" w:rsidR="005C6C1D" w:rsidRPr="006F7B58" w:rsidRDefault="006F7B58" w:rsidP="005C6C1D">
      <w:pPr>
        <w:pStyle w:val="Odstavecseseznamem"/>
        <w:numPr>
          <w:ilvl w:val="0"/>
          <w:numId w:val="24"/>
        </w:numPr>
        <w:ind w:left="357" w:right="40" w:hanging="357"/>
        <w:jc w:val="both"/>
        <w:rPr>
          <w:rFonts w:asciiTheme="minorHAnsi" w:hAnsiTheme="minorHAnsi" w:cstheme="minorHAnsi"/>
          <w:b/>
          <w:color w:val="000000" w:themeColor="text1"/>
          <w:sz w:val="21"/>
          <w:szCs w:val="21"/>
        </w:rPr>
      </w:pPr>
      <w:r w:rsidRPr="006F7B58">
        <w:rPr>
          <w:rStyle w:val="Siln"/>
          <w:rFonts w:asciiTheme="minorHAnsi" w:hAnsiTheme="minorHAnsi" w:cstheme="minorHAnsi"/>
          <w:sz w:val="21"/>
          <w:szCs w:val="21"/>
        </w:rPr>
        <w:t xml:space="preserve">Broker Consulting Index povinného ručení v prosinci </w:t>
      </w:r>
      <w:proofErr w:type="gramStart"/>
      <w:r w:rsidRPr="006F7B58">
        <w:rPr>
          <w:rStyle w:val="Siln"/>
          <w:rFonts w:asciiTheme="minorHAnsi" w:hAnsiTheme="minorHAnsi" w:cstheme="minorHAnsi"/>
          <w:sz w:val="21"/>
          <w:szCs w:val="21"/>
        </w:rPr>
        <w:t>klesl</w:t>
      </w:r>
      <w:r w:rsidRPr="006F7B58">
        <w:rPr>
          <w:rFonts w:asciiTheme="minorHAnsi" w:hAnsiTheme="minorHAnsi" w:cstheme="minorHAnsi"/>
          <w:b/>
          <w:sz w:val="21"/>
          <w:szCs w:val="21"/>
        </w:rPr>
        <w:t xml:space="preserve"> z 7 302</w:t>
      </w:r>
      <w:proofErr w:type="gramEnd"/>
      <w:r w:rsidRPr="006F7B58">
        <w:rPr>
          <w:rFonts w:asciiTheme="minorHAnsi" w:hAnsiTheme="minorHAnsi" w:cstheme="minorHAnsi"/>
          <w:b/>
          <w:sz w:val="21"/>
          <w:szCs w:val="21"/>
        </w:rPr>
        <w:t xml:space="preserve"> Kč na 7 257 Kč.</w:t>
      </w:r>
    </w:p>
    <w:p w14:paraId="1F438A4D" w14:textId="4386876E" w:rsidR="00736701" w:rsidRPr="006F7B58" w:rsidRDefault="006F7B58" w:rsidP="00E54C6F">
      <w:pPr>
        <w:pStyle w:val="Odstavecseseznamem"/>
        <w:numPr>
          <w:ilvl w:val="0"/>
          <w:numId w:val="24"/>
        </w:numPr>
        <w:ind w:left="357" w:right="40" w:hanging="357"/>
        <w:jc w:val="both"/>
        <w:rPr>
          <w:rFonts w:asciiTheme="minorHAnsi" w:hAnsiTheme="minorHAnsi" w:cstheme="minorHAnsi"/>
          <w:b/>
          <w:color w:val="000000" w:themeColor="text1"/>
          <w:sz w:val="21"/>
          <w:szCs w:val="21"/>
        </w:rPr>
      </w:pPr>
      <w:r w:rsidRPr="006F7B58">
        <w:rPr>
          <w:rFonts w:asciiTheme="minorHAnsi" w:hAnsiTheme="minorHAnsi" w:cstheme="minorHAnsi"/>
          <w:b/>
          <w:sz w:val="21"/>
          <w:szCs w:val="21"/>
        </w:rPr>
        <w:t>Meziměsíčně se hodnota POVIndexu snížila o 45 Kč.</w:t>
      </w:r>
    </w:p>
    <w:p w14:paraId="640D9C2D" w14:textId="1EF357B7" w:rsidR="00A41322" w:rsidRPr="006F7B58" w:rsidRDefault="006F7B58" w:rsidP="00A41322">
      <w:pPr>
        <w:pStyle w:val="Odstavecseseznamem"/>
        <w:numPr>
          <w:ilvl w:val="0"/>
          <w:numId w:val="24"/>
        </w:numPr>
        <w:ind w:left="357" w:right="40" w:hanging="357"/>
        <w:jc w:val="both"/>
        <w:rPr>
          <w:rFonts w:asciiTheme="minorHAnsi" w:hAnsiTheme="minorHAnsi" w:cstheme="minorHAnsi"/>
          <w:b/>
          <w:color w:val="000000" w:themeColor="text1"/>
          <w:sz w:val="21"/>
          <w:szCs w:val="21"/>
        </w:rPr>
      </w:pPr>
      <w:r w:rsidRPr="006F7B58">
        <w:rPr>
          <w:rStyle w:val="Siln"/>
          <w:rFonts w:asciiTheme="minorHAnsi" w:hAnsiTheme="minorHAnsi" w:cstheme="minorHAnsi"/>
          <w:sz w:val="21"/>
          <w:szCs w:val="21"/>
        </w:rPr>
        <w:t>Zimní období zvyšuje riziko škod na vozidle</w:t>
      </w:r>
      <w:r w:rsidRPr="006F7B58">
        <w:rPr>
          <w:rFonts w:asciiTheme="minorHAnsi" w:hAnsiTheme="minorHAnsi" w:cstheme="minorHAnsi"/>
          <w:b/>
          <w:sz w:val="21"/>
          <w:szCs w:val="21"/>
        </w:rPr>
        <w:t xml:space="preserve">, proto </w:t>
      </w:r>
      <w:r>
        <w:rPr>
          <w:rFonts w:asciiTheme="minorHAnsi" w:hAnsiTheme="minorHAnsi" w:cstheme="minorHAnsi"/>
          <w:b/>
          <w:sz w:val="21"/>
          <w:szCs w:val="21"/>
        </w:rPr>
        <w:t>je vhodné zkontrolovat</w:t>
      </w:r>
      <w:r w:rsidRPr="006F7B58">
        <w:rPr>
          <w:rFonts w:asciiTheme="minorHAnsi" w:hAnsiTheme="minorHAnsi" w:cstheme="minorHAnsi"/>
          <w:b/>
          <w:sz w:val="21"/>
          <w:szCs w:val="21"/>
        </w:rPr>
        <w:t xml:space="preserve"> pojištění.</w:t>
      </w:r>
    </w:p>
    <w:p w14:paraId="6B78B9C5" w14:textId="32286013" w:rsidR="00E64583" w:rsidRPr="006F7B58" w:rsidRDefault="003516FF" w:rsidP="005C6C1D">
      <w:pPr>
        <w:widowControl/>
        <w:autoSpaceDE/>
        <w:autoSpaceDN/>
        <w:spacing w:before="100" w:beforeAutospacing="1" w:after="100" w:afterAutospacing="1"/>
        <w:jc w:val="both"/>
        <w:rPr>
          <w:rFonts w:asciiTheme="minorHAnsi" w:hAnsiTheme="minorHAnsi" w:cstheme="minorHAnsi"/>
          <w:b/>
        </w:rPr>
      </w:pPr>
      <w:r>
        <w:rPr>
          <w:rFonts w:asciiTheme="minorHAnsi" w:hAnsiTheme="minorHAnsi" w:cstheme="minorHAnsi"/>
          <w:i/>
        </w:rPr>
        <w:t>Praha, 21</w:t>
      </w:r>
      <w:bookmarkStart w:id="0" w:name="_GoBack"/>
      <w:bookmarkEnd w:id="0"/>
      <w:r w:rsidR="006446C1" w:rsidRPr="00B15353">
        <w:rPr>
          <w:rFonts w:asciiTheme="minorHAnsi" w:hAnsiTheme="minorHAnsi" w:cstheme="minorHAnsi"/>
          <w:i/>
        </w:rPr>
        <w:t>. ledna</w:t>
      </w:r>
      <w:r w:rsidR="00861492" w:rsidRPr="00B15353">
        <w:rPr>
          <w:rFonts w:asciiTheme="minorHAnsi" w:hAnsiTheme="minorHAnsi" w:cstheme="minorHAnsi"/>
          <w:i/>
        </w:rPr>
        <w:t xml:space="preserve"> 2025 –</w:t>
      </w:r>
      <w:r w:rsidR="00861492" w:rsidRPr="00B15353">
        <w:rPr>
          <w:rFonts w:asciiTheme="minorHAnsi" w:hAnsiTheme="minorHAnsi" w:cstheme="minorHAnsi"/>
          <w:b/>
        </w:rPr>
        <w:t xml:space="preserve"> </w:t>
      </w:r>
      <w:r w:rsidR="00E64583" w:rsidRPr="00B15353">
        <w:rPr>
          <w:rFonts w:asciiTheme="minorHAnsi" w:hAnsiTheme="minorHAnsi" w:cstheme="minorHAnsi"/>
          <w:b/>
        </w:rPr>
        <w:t>Broker Consulting Index povinného ručení, který pravidelně sleduje vývoj průměrných nákladů na zákonné pojištění vozidel pro řidiče bez pojistné historie, v prosinci mírně klesl. Zatímco v listopadu dosahovala jeho hodnota 7 302 Kč, v prosinci činí 7 257 Kč.</w:t>
      </w:r>
      <w:r w:rsidR="00B15353" w:rsidRPr="00B15353">
        <w:t xml:space="preserve"> </w:t>
      </w:r>
      <w:r w:rsidR="00B15353" w:rsidRPr="006F7B58">
        <w:rPr>
          <w:rFonts w:asciiTheme="minorHAnsi" w:hAnsiTheme="minorHAnsi" w:cstheme="minorHAnsi"/>
          <w:b/>
        </w:rPr>
        <w:t>Provoz v zimních podmínkách klade vyšší nároky nejen na technický stav vozidla, ale i na správně nastavené pojištění. Řidičům se proto vyplatí ověřit nastavení smlouvy, především limity a rozsah krytí.</w:t>
      </w:r>
    </w:p>
    <w:p w14:paraId="5E6F93EC" w14:textId="706213EB" w:rsidR="00024582" w:rsidRDefault="00024582" w:rsidP="005C6C1D">
      <w:pPr>
        <w:widowControl/>
        <w:autoSpaceDE/>
        <w:autoSpaceDN/>
        <w:spacing w:before="100" w:beforeAutospacing="1" w:after="100" w:afterAutospacing="1"/>
        <w:jc w:val="both"/>
        <w:rPr>
          <w:rFonts w:asciiTheme="minorHAnsi" w:hAnsiTheme="minorHAnsi" w:cstheme="minorHAnsi"/>
          <w:b/>
        </w:rPr>
      </w:pPr>
      <w:r w:rsidRPr="00B15353">
        <w:rPr>
          <w:rFonts w:asciiTheme="minorHAnsi" w:hAnsiTheme="minorHAnsi" w:cstheme="minorHAnsi"/>
          <w:i/>
        </w:rPr>
        <w:t xml:space="preserve">„Rozdíly mezi nabídkami povinného ručení vznikají především v limitech plnění, rozsahu asistenčních služeb a v tom, jaké situace pojištění skutečně kryje. Právě v zimním období, kdy jsou cesty často zledovatělé, zasněžené a hůře průjezdné, dává smysl zkontrolovat, zda pojištění odpovídá našim skutečným potřebám,“ </w:t>
      </w:r>
      <w:r w:rsidRPr="00B15353">
        <w:rPr>
          <w:rFonts w:asciiTheme="minorHAnsi" w:hAnsiTheme="minorHAnsi" w:cstheme="minorHAnsi"/>
        </w:rPr>
        <w:t xml:space="preserve">říká </w:t>
      </w:r>
      <w:r w:rsidRPr="00B15353">
        <w:rPr>
          <w:rFonts w:asciiTheme="minorHAnsi" w:hAnsiTheme="minorHAnsi" w:cstheme="minorHAnsi"/>
          <w:b/>
        </w:rPr>
        <w:t>Jiří Váchal, analytik neživotního pojištění společnosti Broker Consulting.</w:t>
      </w:r>
    </w:p>
    <w:p w14:paraId="7DA317AD" w14:textId="6AA8512A" w:rsidR="00006CE3" w:rsidRPr="00006CE3" w:rsidRDefault="00006CE3" w:rsidP="005C6C1D">
      <w:pPr>
        <w:widowControl/>
        <w:autoSpaceDE/>
        <w:autoSpaceDN/>
        <w:spacing w:before="100" w:beforeAutospacing="1" w:after="100" w:afterAutospacing="1"/>
        <w:jc w:val="both"/>
        <w:rPr>
          <w:rFonts w:asciiTheme="minorHAnsi" w:hAnsiTheme="minorHAnsi" w:cstheme="minorHAnsi"/>
          <w:b/>
        </w:rPr>
      </w:pPr>
      <w:r w:rsidRPr="00006CE3">
        <w:rPr>
          <w:rFonts w:asciiTheme="minorHAnsi" w:hAnsiTheme="minorHAnsi" w:cstheme="minorHAnsi"/>
        </w:rPr>
        <w:t>V Praze se průměrná cena povinného ručení v prosinci snížila z listopadových 8 018 Kč na 7 968 Kč. Ve středočeském Benešově došlo rovněž k mírnému poklesu, a to z 6 585 Kč na 6 546 Kč. Regionální data tak potvrzují, že i na lokální úrovni se ceny vyvíjejí bez výraznějších výkyvů a změny zůstávají v řádu desítek korun.</w:t>
      </w:r>
    </w:p>
    <w:p w14:paraId="34A3DCFA" w14:textId="5ADB49E0" w:rsidR="00024582" w:rsidRPr="00B15353" w:rsidRDefault="00A40F39" w:rsidP="005C6C1D">
      <w:pPr>
        <w:widowControl/>
        <w:autoSpaceDE/>
        <w:autoSpaceDN/>
        <w:spacing w:before="100" w:beforeAutospacing="1" w:after="100" w:afterAutospacing="1"/>
        <w:jc w:val="both"/>
        <w:rPr>
          <w:rFonts w:asciiTheme="minorHAnsi" w:hAnsiTheme="minorHAnsi" w:cstheme="minorHAnsi"/>
        </w:rPr>
      </w:pPr>
      <w:r w:rsidRPr="00B15353">
        <w:rPr>
          <w:rFonts w:asciiTheme="minorHAnsi" w:hAnsiTheme="minorHAnsi" w:cstheme="minorHAnsi"/>
        </w:rPr>
        <w:t>Při pohledu na posledních pět let je vidět, že se cena za tento typ pojištění postupně zvyšovala. V prosinci 2021 zaznamenal Broker Consulting Index hodnotu 6 463 Kč, v roce 2022 pak vzrostla na 6 725 Kč a v prosinci 2023 na 7 137 Kč. V prosinci 2024 se index dostal nejvýš za sledované období – na 7 898 Kč. Letošní prosinec však přinesl obrat v dosavadním vývoji, když hodnota indexu klesla na 7 257 Kč.</w:t>
      </w:r>
    </w:p>
    <w:p w14:paraId="3A217517" w14:textId="3D04459F" w:rsidR="00563088" w:rsidRPr="00DD1126" w:rsidRDefault="00331193" w:rsidP="00563088">
      <w:pPr>
        <w:spacing w:before="100" w:beforeAutospacing="1" w:after="100" w:afterAutospacing="1"/>
        <w:jc w:val="both"/>
        <w:rPr>
          <w:rFonts w:asciiTheme="minorHAnsi" w:hAnsiTheme="minorHAnsi" w:cstheme="minorHAnsi"/>
        </w:rPr>
      </w:pPr>
      <w:r>
        <w:rPr>
          <w:rFonts w:asciiTheme="minorHAnsi" w:hAnsiTheme="minorHAnsi" w:cstheme="minorHAnsi"/>
          <w:noProof/>
          <w:lang w:bidi="ar-SA"/>
        </w:rPr>
        <w:drawing>
          <wp:inline distT="0" distB="0" distL="0" distR="0" wp14:anchorId="67EFB2D6" wp14:editId="76DE18F7">
            <wp:extent cx="6654165" cy="29857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_k_vyvoji.png"/>
                    <pic:cNvPicPr/>
                  </pic:nvPicPr>
                  <pic:blipFill>
                    <a:blip r:embed="rId13">
                      <a:extLst>
                        <a:ext uri="{28A0092B-C50C-407E-A947-70E740481C1C}">
                          <a14:useLocalDpi xmlns:a14="http://schemas.microsoft.com/office/drawing/2010/main" val="0"/>
                        </a:ext>
                      </a:extLst>
                    </a:blip>
                    <a:stretch>
                      <a:fillRect/>
                    </a:stretch>
                  </pic:blipFill>
                  <pic:spPr>
                    <a:xfrm>
                      <a:off x="0" y="0"/>
                      <a:ext cx="6654165" cy="2985770"/>
                    </a:xfrm>
                    <a:prstGeom prst="rect">
                      <a:avLst/>
                    </a:prstGeom>
                  </pic:spPr>
                </pic:pic>
              </a:graphicData>
            </a:graphic>
          </wp:inline>
        </w:drawing>
      </w:r>
    </w:p>
    <w:p w14:paraId="1EB02B2D" w14:textId="3542EF07" w:rsidR="00317F08" w:rsidRPr="006F7B58" w:rsidRDefault="00B15353" w:rsidP="006F7B58">
      <w:pPr>
        <w:pStyle w:val="Nadpis3"/>
        <w:ind w:left="0"/>
        <w:jc w:val="left"/>
        <w:rPr>
          <w:rFonts w:asciiTheme="minorHAnsi" w:hAnsiTheme="minorHAnsi" w:cstheme="minorHAnsi"/>
          <w:b/>
        </w:rPr>
      </w:pPr>
      <w:r w:rsidRPr="006F7B58">
        <w:rPr>
          <w:rFonts w:asciiTheme="minorHAnsi" w:hAnsiTheme="minorHAnsi" w:cstheme="minorHAnsi"/>
          <w:b/>
        </w:rPr>
        <w:t>Zima za volantem: proč se vyplatí zkontrolovat pojištění</w:t>
      </w:r>
    </w:p>
    <w:p w14:paraId="11322018" w14:textId="3F2F66F6" w:rsidR="00B15353" w:rsidRPr="00B15353" w:rsidRDefault="00B15353" w:rsidP="00946F6E">
      <w:pPr>
        <w:widowControl/>
        <w:autoSpaceDE/>
        <w:autoSpaceDN/>
        <w:spacing w:before="100" w:beforeAutospacing="1" w:after="100" w:afterAutospacing="1"/>
        <w:jc w:val="both"/>
        <w:rPr>
          <w:rFonts w:asciiTheme="minorHAnsi" w:eastAsia="Times New Roman" w:hAnsiTheme="minorHAnsi" w:cstheme="minorHAnsi"/>
          <w:lang w:bidi="ar-SA"/>
        </w:rPr>
      </w:pPr>
      <w:r w:rsidRPr="00B15353">
        <w:rPr>
          <w:rFonts w:asciiTheme="minorHAnsi" w:hAnsiTheme="minorHAnsi" w:cstheme="minorHAnsi"/>
        </w:rPr>
        <w:lastRenderedPageBreak/>
        <w:t>Zimní období klade vyšší nár</w:t>
      </w:r>
      <w:r w:rsidR="00DD1126">
        <w:rPr>
          <w:rFonts w:asciiTheme="minorHAnsi" w:hAnsiTheme="minorHAnsi" w:cstheme="minorHAnsi"/>
        </w:rPr>
        <w:t>oky nejen na technický stav vozidla</w:t>
      </w:r>
      <w:r w:rsidRPr="00B15353">
        <w:rPr>
          <w:rFonts w:asciiTheme="minorHAnsi" w:hAnsiTheme="minorHAnsi" w:cstheme="minorHAnsi"/>
        </w:rPr>
        <w:t>, ale i na správně nastavené pojištění</w:t>
      </w:r>
      <w:r w:rsidRPr="00B15353">
        <w:rPr>
          <w:rFonts w:asciiTheme="minorHAnsi" w:eastAsia="Times New Roman" w:hAnsiTheme="minorHAnsi" w:cstheme="minorHAnsi"/>
          <w:lang w:bidi="ar-SA"/>
        </w:rPr>
        <w:t>. Vedle povinného ručení se vyplatí zkontrolovat také havarijní p</w:t>
      </w:r>
      <w:r w:rsidR="00DD1126">
        <w:rPr>
          <w:rFonts w:asciiTheme="minorHAnsi" w:eastAsia="Times New Roman" w:hAnsiTheme="minorHAnsi" w:cstheme="minorHAnsi"/>
          <w:lang w:bidi="ar-SA"/>
        </w:rPr>
        <w:t xml:space="preserve">ojištění </w:t>
      </w:r>
      <w:r w:rsidRPr="00B15353">
        <w:rPr>
          <w:rFonts w:asciiTheme="minorHAnsi" w:eastAsia="Times New Roman" w:hAnsiTheme="minorHAnsi" w:cstheme="minorHAnsi"/>
          <w:lang w:bidi="ar-SA"/>
        </w:rPr>
        <w:t>a především jejich rozsah. Právě v zimním provozu, kdy jsou silnice často zledovatělé nebo zasněžené, může sehrát důležitou roli výše limitů, dostupnost asistenčních služeb nebo krytí škod způsobených počasím.</w:t>
      </w:r>
    </w:p>
    <w:p w14:paraId="59F38AAB" w14:textId="77777777" w:rsidR="00946F6E" w:rsidRDefault="00B15353" w:rsidP="00946F6E">
      <w:pPr>
        <w:widowControl/>
        <w:autoSpaceDE/>
        <w:autoSpaceDN/>
        <w:spacing w:before="100" w:beforeAutospacing="1" w:after="100" w:afterAutospacing="1"/>
        <w:jc w:val="both"/>
        <w:rPr>
          <w:rFonts w:asciiTheme="minorHAnsi" w:eastAsia="Times New Roman" w:hAnsiTheme="minorHAnsi" w:cstheme="minorHAnsi"/>
          <w:lang w:bidi="ar-SA"/>
        </w:rPr>
      </w:pPr>
      <w:r w:rsidRPr="00B15353">
        <w:rPr>
          <w:rFonts w:asciiTheme="minorHAnsi" w:eastAsia="Times New Roman" w:hAnsiTheme="minorHAnsi" w:cstheme="minorHAnsi"/>
          <w:lang w:bidi="ar-SA"/>
        </w:rPr>
        <w:t>Při cestách do hor se navíc zvyšuje riziko škod, jako je pád stromů, vichřice, krupobití nebo laviny. Škody na vozidle se v těchto případech mohou rychle vyšplhat do desítek i stovek tisíc korun, a právě tehdy se ukáže rozdíl mezi základním krytím a pojištěním doplněným o vhodná připojištění.</w:t>
      </w:r>
    </w:p>
    <w:p w14:paraId="0AAF7CE1" w14:textId="29D2815E" w:rsidR="00B15353" w:rsidRPr="00B15353" w:rsidRDefault="00946F6E" w:rsidP="00946F6E">
      <w:pPr>
        <w:widowControl/>
        <w:autoSpaceDE/>
        <w:autoSpaceDN/>
        <w:spacing w:before="100" w:beforeAutospacing="1" w:after="100" w:afterAutospacing="1"/>
        <w:jc w:val="both"/>
        <w:rPr>
          <w:rFonts w:asciiTheme="minorHAnsi" w:eastAsia="Times New Roman" w:hAnsiTheme="minorHAnsi" w:cstheme="minorHAnsi"/>
          <w:lang w:bidi="ar-SA"/>
        </w:rPr>
      </w:pPr>
      <w:r w:rsidRPr="00946F6E">
        <w:rPr>
          <w:rFonts w:asciiTheme="minorHAnsi" w:eastAsia="Times New Roman" w:hAnsiTheme="minorHAnsi" w:cstheme="minorHAnsi"/>
          <w:i/>
          <w:lang w:bidi="ar-SA"/>
        </w:rPr>
        <w:t>„</w:t>
      </w:r>
      <w:r w:rsidR="00B15353" w:rsidRPr="00B15353">
        <w:rPr>
          <w:rFonts w:asciiTheme="minorHAnsi" w:eastAsia="Times New Roman" w:hAnsiTheme="minorHAnsi" w:cstheme="minorHAnsi"/>
          <w:i/>
          <w:lang w:bidi="ar-SA"/>
        </w:rPr>
        <w:t>Pokud míříte do zahraničí, nemělo by chybět ani kvalitní cestovní pojištění, které zajistí nejen klidný pobyt, ale i řešení případných komplikací na cestě a bezpečný návrat domů. Vyznat se v nabídce pojišťoven a správně nastavit pojištění podle plánované cesty a reálných rizik není vždy jednoduché, proto se vypla</w:t>
      </w:r>
      <w:r w:rsidRPr="00946F6E">
        <w:rPr>
          <w:rFonts w:asciiTheme="minorHAnsi" w:eastAsia="Times New Roman" w:hAnsiTheme="minorHAnsi" w:cstheme="minorHAnsi"/>
          <w:i/>
          <w:lang w:bidi="ar-SA"/>
        </w:rPr>
        <w:t>tí vše konzultovat s odborníkem,“</w:t>
      </w:r>
      <w:r>
        <w:rPr>
          <w:rFonts w:asciiTheme="minorHAnsi" w:eastAsia="Times New Roman" w:hAnsiTheme="minorHAnsi" w:cstheme="minorHAnsi"/>
          <w:lang w:bidi="ar-SA"/>
        </w:rPr>
        <w:t xml:space="preserve"> uzavírá </w:t>
      </w:r>
      <w:r w:rsidRPr="00946F6E">
        <w:rPr>
          <w:rFonts w:asciiTheme="minorHAnsi" w:eastAsia="Times New Roman" w:hAnsiTheme="minorHAnsi" w:cstheme="minorHAnsi"/>
          <w:b/>
          <w:lang w:bidi="ar-SA"/>
        </w:rPr>
        <w:t>Jiří Váchal</w:t>
      </w:r>
      <w:r w:rsidR="006F7B58">
        <w:rPr>
          <w:rFonts w:asciiTheme="minorHAnsi" w:eastAsia="Times New Roman" w:hAnsiTheme="minorHAnsi" w:cstheme="minorHAnsi"/>
          <w:b/>
          <w:lang w:bidi="ar-SA"/>
        </w:rPr>
        <w:t xml:space="preserve"> ze společnosti Broker Consulting. </w:t>
      </w:r>
    </w:p>
    <w:p w14:paraId="4E7F8CBF" w14:textId="77777777" w:rsidR="00B20F7B" w:rsidRPr="00AD79CC" w:rsidRDefault="00B20F7B" w:rsidP="00342E0B">
      <w:pPr>
        <w:pBdr>
          <w:top w:val="single" w:sz="4" w:space="1" w:color="auto"/>
        </w:pBdr>
        <w:spacing w:before="120"/>
        <w:jc w:val="both"/>
        <w:rPr>
          <w:rFonts w:asciiTheme="minorHAnsi" w:hAnsiTheme="minorHAnsi" w:cstheme="minorHAnsi"/>
          <w:color w:val="000000" w:themeColor="text1"/>
          <w:sz w:val="21"/>
          <w:szCs w:val="21"/>
        </w:rPr>
      </w:pPr>
      <w:r w:rsidRPr="00AD79CC">
        <w:rPr>
          <w:rFonts w:asciiTheme="minorHAnsi" w:hAnsiTheme="minorHAnsi" w:cstheme="minorHAnsi"/>
          <w:color w:val="000000" w:themeColor="text1"/>
          <w:sz w:val="21"/>
          <w:szCs w:val="21"/>
        </w:rPr>
        <w:t>POVIndex byl poprvé spuštěn v srpnu roku 2019. Od svého počátku sleduje vývoj nákladů na povinné ručení pro řidiče bez historie, ať už se jedná o nového řidiče, nebo o řidiče, který donedávna užíval služební vozidlo. Broker Consulting POVIndex je počítán odlišnou metodikou, než jako používá ČKP. 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056704B7" w14:textId="10689440" w:rsidR="00B20F7B" w:rsidRDefault="00B20F7B" w:rsidP="00342E0B">
      <w:pPr>
        <w:pStyle w:val="Zkladntext"/>
        <w:spacing w:before="240" w:line="237" w:lineRule="auto"/>
        <w:jc w:val="both"/>
        <w:rPr>
          <w:rFonts w:asciiTheme="minorHAnsi" w:hAnsiTheme="minorHAnsi" w:cstheme="minorHAnsi"/>
          <w:sz w:val="21"/>
          <w:szCs w:val="21"/>
        </w:rPr>
      </w:pPr>
      <w:r w:rsidRPr="00AD79CC">
        <w:rPr>
          <w:rFonts w:asciiTheme="minorHAnsi" w:hAnsiTheme="minorHAnsi" w:cstheme="minorHAnsi"/>
          <w:b/>
          <w:sz w:val="21"/>
          <w:szCs w:val="21"/>
        </w:rPr>
        <w:t>Broker Consulting POVIndex</w:t>
      </w:r>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10097972" w14:textId="6F8C2698" w:rsidR="00342E0B" w:rsidRDefault="00B24DBE" w:rsidP="00AD2933">
      <w:pPr>
        <w:rPr>
          <w:rFonts w:asciiTheme="minorHAnsi" w:hAnsiTheme="minorHAnsi" w:cstheme="minorHAnsi"/>
          <w:color w:val="1D1D1B"/>
          <w:w w:val="105"/>
          <w:sz w:val="21"/>
          <w:szCs w:val="21"/>
        </w:rPr>
      </w:pPr>
      <w:r w:rsidRPr="00AD79CC">
        <w:rPr>
          <w:rFonts w:asciiTheme="minorHAnsi" w:hAnsiTheme="minorHAnsi" w:cstheme="minorHAnsi"/>
          <w:b/>
          <w:color w:val="FF0000"/>
          <w:w w:val="105"/>
          <w:sz w:val="21"/>
          <w:szCs w:val="21"/>
        </w:rPr>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hyperlink r:id="rId14" w:history="1">
        <w:r w:rsidR="00342E0B" w:rsidRPr="00C3366E">
          <w:rPr>
            <w:rStyle w:val="Hypertextovodkaz"/>
            <w:rFonts w:asciiTheme="minorHAnsi" w:hAnsiTheme="minorHAnsi" w:cstheme="minorHAnsi"/>
            <w:w w:val="105"/>
            <w:sz w:val="21"/>
            <w:szCs w:val="21"/>
          </w:rPr>
          <w:t>https://bcas.cz/pro-media/detail-indexu-broker-consulting-povindex</w:t>
        </w:r>
      </w:hyperlink>
    </w:p>
    <w:p w14:paraId="6C52618D" w14:textId="64258FC6" w:rsidR="00B24DBE" w:rsidRPr="00AD79CC" w:rsidRDefault="00BB27FC" w:rsidP="00AD2933">
      <w:pPr>
        <w:rPr>
          <w:rStyle w:val="Hypertextovodkaz"/>
          <w:rFonts w:asciiTheme="minorHAnsi" w:hAnsiTheme="minorHAnsi" w:cstheme="minorHAnsi"/>
          <w:w w:val="105"/>
          <w:sz w:val="21"/>
          <w:szCs w:val="21"/>
        </w:rPr>
      </w:pPr>
      <w:r w:rsidRPr="00AD79CC">
        <w:rPr>
          <w:rFonts w:asciiTheme="minorHAnsi" w:hAnsiTheme="minorHAnsi" w:cstheme="minorHAnsi"/>
          <w:b/>
          <w:i/>
          <w:w w:val="105"/>
          <w:sz w:val="21"/>
          <w:szCs w:val="21"/>
        </w:rPr>
        <w:fldChar w:fldCharType="begin"/>
      </w:r>
      <w:r w:rsidRPr="00AD79CC">
        <w:rPr>
          <w:rFonts w:asciiTheme="minorHAnsi" w:hAnsiTheme="minorHAnsi" w:cstheme="minorHAnsi"/>
          <w:b/>
          <w:i/>
          <w:w w:val="105"/>
          <w:sz w:val="21"/>
          <w:szCs w:val="21"/>
        </w:rPr>
        <w:instrText xml:space="preserve"> HYPERLINK "https://www.bcas.cz/o-nas/broker-consulting-povindex/" </w:instrText>
      </w:r>
      <w:r w:rsidRPr="00AD79CC">
        <w:rPr>
          <w:rFonts w:asciiTheme="minorHAnsi" w:hAnsiTheme="minorHAnsi" w:cstheme="minorHAnsi"/>
          <w:b/>
          <w:i/>
          <w:w w:val="105"/>
          <w:sz w:val="21"/>
          <w:szCs w:val="21"/>
        </w:rPr>
        <w:fldChar w:fldCharType="separate"/>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37A10837" w:rsidR="00DE7CE1" w:rsidRPr="00AD79CC" w:rsidRDefault="00AD3D91" w:rsidP="00DE7CE1">
      <w:pPr>
        <w:pStyle w:val="Bezmezer"/>
        <w:rPr>
          <w:rFonts w:eastAsia="F015TEELig" w:cstheme="minorHAnsi"/>
          <w:sz w:val="21"/>
          <w:szCs w:val="21"/>
        </w:rPr>
      </w:pPr>
      <w:r>
        <w:rPr>
          <w:rFonts w:eastAsia="F015TEELig" w:cstheme="minorHAnsi"/>
          <w:sz w:val="21"/>
          <w:szCs w:val="21"/>
        </w:rPr>
        <w:t>Lenka Kuželová</w:t>
      </w:r>
    </w:p>
    <w:p w14:paraId="3373094C" w14:textId="6E64C468"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Specialistka PR a externí komunikace</w:t>
      </w:r>
    </w:p>
    <w:p w14:paraId="6FC0F9F5" w14:textId="72746B7C" w:rsidR="004C7BB5" w:rsidRPr="00AD79CC" w:rsidRDefault="00AD3D91" w:rsidP="00A1017F">
      <w:pPr>
        <w:pStyle w:val="Bezmezer"/>
        <w:rPr>
          <w:rFonts w:eastAsia="F015TEELig" w:cstheme="minorHAnsi"/>
          <w:sz w:val="21"/>
          <w:szCs w:val="21"/>
        </w:rPr>
      </w:pPr>
      <w:r>
        <w:rPr>
          <w:rFonts w:eastAsia="F015TEELig" w:cstheme="minorHAnsi"/>
          <w:sz w:val="21"/>
          <w:szCs w:val="21"/>
        </w:rPr>
        <w:t>Mobil: +420 731 929 990</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5"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sectPr w:rsidR="004C7BB5" w:rsidRPr="00AD79CC" w:rsidSect="006B54C7">
      <w:headerReference w:type="default" r:id="rId16"/>
      <w:footerReference w:type="default" r:id="rId17"/>
      <w:headerReference w:type="first" r:id="rId18"/>
      <w:footerReference w:type="first" r:id="rId19"/>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C0E5B" w14:textId="77777777" w:rsidR="00E50AEA" w:rsidRDefault="00E50AEA">
      <w:r>
        <w:separator/>
      </w:r>
    </w:p>
  </w:endnote>
  <w:endnote w:type="continuationSeparator" w:id="0">
    <w:p w14:paraId="78A4F3DF" w14:textId="77777777" w:rsidR="00E50AEA" w:rsidRDefault="00E5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35891DA3"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3516FF">
          <w:rPr>
            <w:rFonts w:asciiTheme="minorHAnsi" w:hAnsiTheme="minorHAnsi" w:cstheme="minorHAnsi"/>
            <w:noProof/>
            <w:sz w:val="20"/>
            <w:szCs w:val="20"/>
          </w:rPr>
          <w:t>2</w:t>
        </w:r>
        <w:r w:rsidRPr="006B54C7">
          <w:rPr>
            <w:rFonts w:asciiTheme="minorHAnsi" w:hAnsiTheme="minorHAnsi" w:cstheme="minorHAnsi"/>
            <w:sz w:val="20"/>
            <w:szCs w:val="20"/>
          </w:rPr>
          <w:fldChar w:fldCharType="end"/>
        </w:r>
        <w:r w:rsidR="0016561D">
          <w:rPr>
            <w:rFonts w:asciiTheme="minorHAnsi" w:hAnsiTheme="minorHAnsi" w:cstheme="minorHAnsi"/>
            <w:sz w:val="20"/>
            <w:szCs w:val="20"/>
          </w:rPr>
          <w:t>/4</w:t>
        </w:r>
      </w:p>
      <w:p w14:paraId="5AF2E761" w14:textId="77777777" w:rsidR="006B54C7" w:rsidRDefault="006B54C7">
        <w:pPr>
          <w:pStyle w:val="Zpat"/>
          <w:jc w:val="center"/>
        </w:pPr>
      </w:p>
      <w:p w14:paraId="21AECC00" w14:textId="52E0DABD" w:rsidR="006B54C7" w:rsidRDefault="00E50AEA">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301B3" w14:textId="77777777" w:rsidR="00E50AEA" w:rsidRDefault="00E50AEA">
      <w:r>
        <w:separator/>
      </w:r>
    </w:p>
  </w:footnote>
  <w:footnote w:type="continuationSeparator" w:id="0">
    <w:p w14:paraId="731C7A6A" w14:textId="77777777" w:rsidR="00E50AEA" w:rsidRDefault="00E50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DAF"/>
    <w:multiLevelType w:val="hybridMultilevel"/>
    <w:tmpl w:val="0DA01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4" w15:restartNumberingAfterBreak="0">
    <w:nsid w:val="0A754CF1"/>
    <w:multiLevelType w:val="hybridMultilevel"/>
    <w:tmpl w:val="F09E62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B1DC4"/>
    <w:multiLevelType w:val="hybridMultilevel"/>
    <w:tmpl w:val="1A1055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7"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8" w15:restartNumberingAfterBreak="0">
    <w:nsid w:val="3D662D9D"/>
    <w:multiLevelType w:val="multilevel"/>
    <w:tmpl w:val="2A4E4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4D5F26"/>
    <w:multiLevelType w:val="hybridMultilevel"/>
    <w:tmpl w:val="4874EE9E"/>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335BB"/>
    <w:multiLevelType w:val="hybridMultilevel"/>
    <w:tmpl w:val="2D84B016"/>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83161"/>
    <w:multiLevelType w:val="hybridMultilevel"/>
    <w:tmpl w:val="003EA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33A4CC9"/>
    <w:multiLevelType w:val="hybridMultilevel"/>
    <w:tmpl w:val="E83CD1B2"/>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4716B7F"/>
    <w:multiLevelType w:val="hybridMultilevel"/>
    <w:tmpl w:val="80BC2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C22BAC"/>
    <w:multiLevelType w:val="hybridMultilevel"/>
    <w:tmpl w:val="4CE0AA9A"/>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6"/>
  </w:num>
  <w:num w:numId="4">
    <w:abstractNumId w:val="7"/>
  </w:num>
  <w:num w:numId="5">
    <w:abstractNumId w:val="1"/>
  </w:num>
  <w:num w:numId="6">
    <w:abstractNumId w:val="28"/>
  </w:num>
  <w:num w:numId="7">
    <w:abstractNumId w:val="15"/>
  </w:num>
  <w:num w:numId="8">
    <w:abstractNumId w:val="14"/>
  </w:num>
  <w:num w:numId="9">
    <w:abstractNumId w:val="11"/>
  </w:num>
  <w:num w:numId="10">
    <w:abstractNumId w:val="13"/>
  </w:num>
  <w:num w:numId="11">
    <w:abstractNumId w:val="8"/>
  </w:num>
  <w:num w:numId="12">
    <w:abstractNumId w:val="5"/>
  </w:num>
  <w:num w:numId="13">
    <w:abstractNumId w:val="21"/>
  </w:num>
  <w:num w:numId="14">
    <w:abstractNumId w:val="34"/>
  </w:num>
  <w:num w:numId="15">
    <w:abstractNumId w:val="2"/>
  </w:num>
  <w:num w:numId="16">
    <w:abstractNumId w:val="17"/>
  </w:num>
  <w:num w:numId="17">
    <w:abstractNumId w:val="6"/>
  </w:num>
  <w:num w:numId="18">
    <w:abstractNumId w:val="12"/>
  </w:num>
  <w:num w:numId="19">
    <w:abstractNumId w:val="25"/>
  </w:num>
  <w:num w:numId="20">
    <w:abstractNumId w:val="3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9"/>
    <w:lvlOverride w:ilvl="0"/>
    <w:lvlOverride w:ilvl="1">
      <w:startOverride w:val="4"/>
    </w:lvlOverride>
    <w:lvlOverride w:ilvl="2"/>
    <w:lvlOverride w:ilvl="3"/>
    <w:lvlOverride w:ilvl="4"/>
    <w:lvlOverride w:ilvl="5"/>
    <w:lvlOverride w:ilvl="6"/>
    <w:lvlOverride w:ilvl="7"/>
    <w:lvlOverride w:ilvl="8"/>
  </w:num>
  <w:num w:numId="24">
    <w:abstractNumId w:val="27"/>
  </w:num>
  <w:num w:numId="25">
    <w:abstractNumId w:val="20"/>
  </w:num>
  <w:num w:numId="26">
    <w:abstractNumId w:val="23"/>
  </w:num>
  <w:num w:numId="27">
    <w:abstractNumId w:val="0"/>
  </w:num>
  <w:num w:numId="28">
    <w:abstractNumId w:val="31"/>
  </w:num>
  <w:num w:numId="29">
    <w:abstractNumId w:val="27"/>
  </w:num>
  <w:num w:numId="30">
    <w:abstractNumId w:val="33"/>
  </w:num>
  <w:num w:numId="31">
    <w:abstractNumId w:val="4"/>
  </w:num>
  <w:num w:numId="32">
    <w:abstractNumId w:val="19"/>
  </w:num>
  <w:num w:numId="33">
    <w:abstractNumId w:val="32"/>
  </w:num>
  <w:num w:numId="34">
    <w:abstractNumId w:val="35"/>
  </w:num>
  <w:num w:numId="35">
    <w:abstractNumId w:val="22"/>
  </w:num>
  <w:num w:numId="36">
    <w:abstractNumId w:val="9"/>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06CE3"/>
    <w:rsid w:val="00010812"/>
    <w:rsid w:val="000118E9"/>
    <w:rsid w:val="00011BB8"/>
    <w:rsid w:val="00011E95"/>
    <w:rsid w:val="00012E2F"/>
    <w:rsid w:val="00014A3B"/>
    <w:rsid w:val="000153FB"/>
    <w:rsid w:val="00015694"/>
    <w:rsid w:val="00016100"/>
    <w:rsid w:val="00024582"/>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3099"/>
    <w:rsid w:val="0005423A"/>
    <w:rsid w:val="00055470"/>
    <w:rsid w:val="0005574A"/>
    <w:rsid w:val="0005628C"/>
    <w:rsid w:val="00056BB7"/>
    <w:rsid w:val="00056ECA"/>
    <w:rsid w:val="000607B6"/>
    <w:rsid w:val="00062E18"/>
    <w:rsid w:val="00066A72"/>
    <w:rsid w:val="00067BA6"/>
    <w:rsid w:val="000705A5"/>
    <w:rsid w:val="00070D3C"/>
    <w:rsid w:val="00071274"/>
    <w:rsid w:val="0007198D"/>
    <w:rsid w:val="0007340D"/>
    <w:rsid w:val="00073462"/>
    <w:rsid w:val="00076845"/>
    <w:rsid w:val="00076C44"/>
    <w:rsid w:val="00077CC7"/>
    <w:rsid w:val="00082C13"/>
    <w:rsid w:val="0008347F"/>
    <w:rsid w:val="00083E38"/>
    <w:rsid w:val="00085EEC"/>
    <w:rsid w:val="0008656E"/>
    <w:rsid w:val="000866C0"/>
    <w:rsid w:val="00086F8F"/>
    <w:rsid w:val="00087124"/>
    <w:rsid w:val="00087ACF"/>
    <w:rsid w:val="00087D87"/>
    <w:rsid w:val="00090C9C"/>
    <w:rsid w:val="00090F2A"/>
    <w:rsid w:val="00091509"/>
    <w:rsid w:val="00094F77"/>
    <w:rsid w:val="00096AE4"/>
    <w:rsid w:val="000A06EA"/>
    <w:rsid w:val="000A170E"/>
    <w:rsid w:val="000A3637"/>
    <w:rsid w:val="000A51D0"/>
    <w:rsid w:val="000A6FB0"/>
    <w:rsid w:val="000A7437"/>
    <w:rsid w:val="000A74DD"/>
    <w:rsid w:val="000A77CE"/>
    <w:rsid w:val="000B6053"/>
    <w:rsid w:val="000C1AB4"/>
    <w:rsid w:val="000C1BE2"/>
    <w:rsid w:val="000C32B0"/>
    <w:rsid w:val="000C351D"/>
    <w:rsid w:val="000C38CB"/>
    <w:rsid w:val="000C3C4C"/>
    <w:rsid w:val="000C4DDE"/>
    <w:rsid w:val="000C53D6"/>
    <w:rsid w:val="000C5490"/>
    <w:rsid w:val="000C5B38"/>
    <w:rsid w:val="000C7119"/>
    <w:rsid w:val="000C74BD"/>
    <w:rsid w:val="000C7FAE"/>
    <w:rsid w:val="000D11FB"/>
    <w:rsid w:val="000D133F"/>
    <w:rsid w:val="000D1503"/>
    <w:rsid w:val="000D2044"/>
    <w:rsid w:val="000D2DDE"/>
    <w:rsid w:val="000D333C"/>
    <w:rsid w:val="000D6870"/>
    <w:rsid w:val="000E21D2"/>
    <w:rsid w:val="000E286C"/>
    <w:rsid w:val="000E36C6"/>
    <w:rsid w:val="000E4DDD"/>
    <w:rsid w:val="000E7086"/>
    <w:rsid w:val="000F040D"/>
    <w:rsid w:val="000F1935"/>
    <w:rsid w:val="000F47AE"/>
    <w:rsid w:val="000F56EF"/>
    <w:rsid w:val="000F6249"/>
    <w:rsid w:val="000F7DEE"/>
    <w:rsid w:val="00100869"/>
    <w:rsid w:val="00100CE7"/>
    <w:rsid w:val="00103ED8"/>
    <w:rsid w:val="0010426A"/>
    <w:rsid w:val="00104FCB"/>
    <w:rsid w:val="00106651"/>
    <w:rsid w:val="00107E00"/>
    <w:rsid w:val="00107E36"/>
    <w:rsid w:val="00112F65"/>
    <w:rsid w:val="00114392"/>
    <w:rsid w:val="00114D2B"/>
    <w:rsid w:val="00114D66"/>
    <w:rsid w:val="00114E09"/>
    <w:rsid w:val="00115CF8"/>
    <w:rsid w:val="00116173"/>
    <w:rsid w:val="00116A29"/>
    <w:rsid w:val="00117806"/>
    <w:rsid w:val="00117988"/>
    <w:rsid w:val="0012132F"/>
    <w:rsid w:val="0012539C"/>
    <w:rsid w:val="0012713E"/>
    <w:rsid w:val="0013044E"/>
    <w:rsid w:val="00131F7B"/>
    <w:rsid w:val="001338F6"/>
    <w:rsid w:val="00133BFD"/>
    <w:rsid w:val="0013512D"/>
    <w:rsid w:val="00136D21"/>
    <w:rsid w:val="00137003"/>
    <w:rsid w:val="001377A4"/>
    <w:rsid w:val="00137E3C"/>
    <w:rsid w:val="00140DA4"/>
    <w:rsid w:val="00141303"/>
    <w:rsid w:val="001434CE"/>
    <w:rsid w:val="0014388A"/>
    <w:rsid w:val="001449CB"/>
    <w:rsid w:val="00146956"/>
    <w:rsid w:val="00147427"/>
    <w:rsid w:val="00147995"/>
    <w:rsid w:val="00150500"/>
    <w:rsid w:val="00151FD6"/>
    <w:rsid w:val="00152185"/>
    <w:rsid w:val="00152EDC"/>
    <w:rsid w:val="00153161"/>
    <w:rsid w:val="00155667"/>
    <w:rsid w:val="00160060"/>
    <w:rsid w:val="001603AF"/>
    <w:rsid w:val="00164219"/>
    <w:rsid w:val="00165614"/>
    <w:rsid w:val="0016561D"/>
    <w:rsid w:val="001665AA"/>
    <w:rsid w:val="0017117C"/>
    <w:rsid w:val="001722EA"/>
    <w:rsid w:val="001727F8"/>
    <w:rsid w:val="00173C9F"/>
    <w:rsid w:val="00174065"/>
    <w:rsid w:val="00174394"/>
    <w:rsid w:val="00176EF9"/>
    <w:rsid w:val="0017797E"/>
    <w:rsid w:val="00177E6B"/>
    <w:rsid w:val="0018139F"/>
    <w:rsid w:val="00181E9B"/>
    <w:rsid w:val="00182AED"/>
    <w:rsid w:val="00183213"/>
    <w:rsid w:val="001844F8"/>
    <w:rsid w:val="0018541B"/>
    <w:rsid w:val="00186E95"/>
    <w:rsid w:val="00190C04"/>
    <w:rsid w:val="00190E10"/>
    <w:rsid w:val="00193B5D"/>
    <w:rsid w:val="001944E9"/>
    <w:rsid w:val="001945FC"/>
    <w:rsid w:val="00194628"/>
    <w:rsid w:val="00194A47"/>
    <w:rsid w:val="00197408"/>
    <w:rsid w:val="00197411"/>
    <w:rsid w:val="00197AF4"/>
    <w:rsid w:val="00197DE5"/>
    <w:rsid w:val="001A04EE"/>
    <w:rsid w:val="001A210B"/>
    <w:rsid w:val="001A269A"/>
    <w:rsid w:val="001A4DDB"/>
    <w:rsid w:val="001A54DD"/>
    <w:rsid w:val="001A6282"/>
    <w:rsid w:val="001B195D"/>
    <w:rsid w:val="001B1C05"/>
    <w:rsid w:val="001B444A"/>
    <w:rsid w:val="001B4EE4"/>
    <w:rsid w:val="001B5A35"/>
    <w:rsid w:val="001B5D34"/>
    <w:rsid w:val="001B79AC"/>
    <w:rsid w:val="001B7B44"/>
    <w:rsid w:val="001C0941"/>
    <w:rsid w:val="001C4A67"/>
    <w:rsid w:val="001C4C44"/>
    <w:rsid w:val="001D2EF2"/>
    <w:rsid w:val="001D3C90"/>
    <w:rsid w:val="001E1593"/>
    <w:rsid w:val="001E265F"/>
    <w:rsid w:val="001E2B55"/>
    <w:rsid w:val="001E2DCC"/>
    <w:rsid w:val="001E3E63"/>
    <w:rsid w:val="001E4C14"/>
    <w:rsid w:val="001E4D1C"/>
    <w:rsid w:val="001E68DE"/>
    <w:rsid w:val="001F108C"/>
    <w:rsid w:val="001F27AC"/>
    <w:rsid w:val="001F4AE1"/>
    <w:rsid w:val="001F7F2E"/>
    <w:rsid w:val="00200F89"/>
    <w:rsid w:val="002018E9"/>
    <w:rsid w:val="0020191F"/>
    <w:rsid w:val="00202BE8"/>
    <w:rsid w:val="002108A4"/>
    <w:rsid w:val="00211C5C"/>
    <w:rsid w:val="002137BD"/>
    <w:rsid w:val="00214949"/>
    <w:rsid w:val="00214E98"/>
    <w:rsid w:val="00215EF1"/>
    <w:rsid w:val="00215FFE"/>
    <w:rsid w:val="00216985"/>
    <w:rsid w:val="002174D5"/>
    <w:rsid w:val="002234A8"/>
    <w:rsid w:val="0022642E"/>
    <w:rsid w:val="00233262"/>
    <w:rsid w:val="002333DA"/>
    <w:rsid w:val="0023472C"/>
    <w:rsid w:val="00235828"/>
    <w:rsid w:val="002365F3"/>
    <w:rsid w:val="00236B96"/>
    <w:rsid w:val="00236DF8"/>
    <w:rsid w:val="00237068"/>
    <w:rsid w:val="00237B09"/>
    <w:rsid w:val="00237D4E"/>
    <w:rsid w:val="00240ABC"/>
    <w:rsid w:val="00240BAE"/>
    <w:rsid w:val="00240BD7"/>
    <w:rsid w:val="00240F71"/>
    <w:rsid w:val="00241313"/>
    <w:rsid w:val="002414C7"/>
    <w:rsid w:val="0024150C"/>
    <w:rsid w:val="00242251"/>
    <w:rsid w:val="00243E38"/>
    <w:rsid w:val="00246661"/>
    <w:rsid w:val="002506AD"/>
    <w:rsid w:val="00251CC1"/>
    <w:rsid w:val="0025264B"/>
    <w:rsid w:val="00253417"/>
    <w:rsid w:val="0025408A"/>
    <w:rsid w:val="00254F1F"/>
    <w:rsid w:val="002555B1"/>
    <w:rsid w:val="00255D9F"/>
    <w:rsid w:val="00255E96"/>
    <w:rsid w:val="00255FAB"/>
    <w:rsid w:val="00256498"/>
    <w:rsid w:val="0026064A"/>
    <w:rsid w:val="002609B2"/>
    <w:rsid w:val="00261C33"/>
    <w:rsid w:val="00261EE7"/>
    <w:rsid w:val="002620DC"/>
    <w:rsid w:val="002636B1"/>
    <w:rsid w:val="00266249"/>
    <w:rsid w:val="002665EC"/>
    <w:rsid w:val="00267A14"/>
    <w:rsid w:val="00267AB1"/>
    <w:rsid w:val="00267F28"/>
    <w:rsid w:val="00270DB3"/>
    <w:rsid w:val="00275325"/>
    <w:rsid w:val="00277E70"/>
    <w:rsid w:val="002805D4"/>
    <w:rsid w:val="0028080D"/>
    <w:rsid w:val="002812A1"/>
    <w:rsid w:val="00281378"/>
    <w:rsid w:val="0028211A"/>
    <w:rsid w:val="002912BF"/>
    <w:rsid w:val="002928FF"/>
    <w:rsid w:val="00293046"/>
    <w:rsid w:val="0029552F"/>
    <w:rsid w:val="00295CB7"/>
    <w:rsid w:val="00295DB6"/>
    <w:rsid w:val="0029614B"/>
    <w:rsid w:val="00296C74"/>
    <w:rsid w:val="002A0C59"/>
    <w:rsid w:val="002A2FB9"/>
    <w:rsid w:val="002A4AC0"/>
    <w:rsid w:val="002A7348"/>
    <w:rsid w:val="002A7AE9"/>
    <w:rsid w:val="002A7D3D"/>
    <w:rsid w:val="002A7DB8"/>
    <w:rsid w:val="002B053B"/>
    <w:rsid w:val="002B3EE0"/>
    <w:rsid w:val="002B5B4B"/>
    <w:rsid w:val="002B6A48"/>
    <w:rsid w:val="002C0392"/>
    <w:rsid w:val="002C201F"/>
    <w:rsid w:val="002C2283"/>
    <w:rsid w:val="002C635D"/>
    <w:rsid w:val="002D4E88"/>
    <w:rsid w:val="002D5492"/>
    <w:rsid w:val="002E2785"/>
    <w:rsid w:val="002E27C5"/>
    <w:rsid w:val="002E2F8E"/>
    <w:rsid w:val="002F0335"/>
    <w:rsid w:val="002F0C79"/>
    <w:rsid w:val="002F2D65"/>
    <w:rsid w:val="002F5A42"/>
    <w:rsid w:val="002F5A56"/>
    <w:rsid w:val="002F6814"/>
    <w:rsid w:val="002F68D1"/>
    <w:rsid w:val="002F7D09"/>
    <w:rsid w:val="003009FF"/>
    <w:rsid w:val="00301660"/>
    <w:rsid w:val="00302322"/>
    <w:rsid w:val="00302AE6"/>
    <w:rsid w:val="00303223"/>
    <w:rsid w:val="00303BCE"/>
    <w:rsid w:val="00303C85"/>
    <w:rsid w:val="0030477F"/>
    <w:rsid w:val="003059C9"/>
    <w:rsid w:val="00305EA9"/>
    <w:rsid w:val="00307CEB"/>
    <w:rsid w:val="00307D0F"/>
    <w:rsid w:val="00312311"/>
    <w:rsid w:val="003128F8"/>
    <w:rsid w:val="00317F08"/>
    <w:rsid w:val="003203FF"/>
    <w:rsid w:val="00321026"/>
    <w:rsid w:val="0032274C"/>
    <w:rsid w:val="00322757"/>
    <w:rsid w:val="00322BE1"/>
    <w:rsid w:val="00325CD8"/>
    <w:rsid w:val="00326268"/>
    <w:rsid w:val="00330918"/>
    <w:rsid w:val="0033104C"/>
    <w:rsid w:val="00331193"/>
    <w:rsid w:val="00334CD1"/>
    <w:rsid w:val="003404F4"/>
    <w:rsid w:val="00341A59"/>
    <w:rsid w:val="003428A4"/>
    <w:rsid w:val="00342E0B"/>
    <w:rsid w:val="003434AD"/>
    <w:rsid w:val="003450E1"/>
    <w:rsid w:val="00345D3E"/>
    <w:rsid w:val="003466B5"/>
    <w:rsid w:val="003473B3"/>
    <w:rsid w:val="00347557"/>
    <w:rsid w:val="003504FD"/>
    <w:rsid w:val="003516FF"/>
    <w:rsid w:val="00352433"/>
    <w:rsid w:val="0035286E"/>
    <w:rsid w:val="00352D61"/>
    <w:rsid w:val="00354DBF"/>
    <w:rsid w:val="00356FFC"/>
    <w:rsid w:val="00357D66"/>
    <w:rsid w:val="00361C2E"/>
    <w:rsid w:val="00362251"/>
    <w:rsid w:val="00362A5B"/>
    <w:rsid w:val="00363124"/>
    <w:rsid w:val="0037368D"/>
    <w:rsid w:val="00374B71"/>
    <w:rsid w:val="00375451"/>
    <w:rsid w:val="00375CF7"/>
    <w:rsid w:val="00381F5F"/>
    <w:rsid w:val="003830B5"/>
    <w:rsid w:val="00384B32"/>
    <w:rsid w:val="003863F0"/>
    <w:rsid w:val="00390304"/>
    <w:rsid w:val="0039102F"/>
    <w:rsid w:val="0039395A"/>
    <w:rsid w:val="00395524"/>
    <w:rsid w:val="00397D4B"/>
    <w:rsid w:val="003A4180"/>
    <w:rsid w:val="003A55CE"/>
    <w:rsid w:val="003A5CF9"/>
    <w:rsid w:val="003A76E8"/>
    <w:rsid w:val="003A7C59"/>
    <w:rsid w:val="003A7C9A"/>
    <w:rsid w:val="003B08AC"/>
    <w:rsid w:val="003B2C75"/>
    <w:rsid w:val="003B4B9E"/>
    <w:rsid w:val="003B54D9"/>
    <w:rsid w:val="003B612F"/>
    <w:rsid w:val="003B7BFE"/>
    <w:rsid w:val="003C0030"/>
    <w:rsid w:val="003C1497"/>
    <w:rsid w:val="003C42F9"/>
    <w:rsid w:val="003C4D4B"/>
    <w:rsid w:val="003C7C52"/>
    <w:rsid w:val="003D03A6"/>
    <w:rsid w:val="003D07A2"/>
    <w:rsid w:val="003D1AFF"/>
    <w:rsid w:val="003D2590"/>
    <w:rsid w:val="003D2711"/>
    <w:rsid w:val="003D2CAC"/>
    <w:rsid w:val="003D2EF0"/>
    <w:rsid w:val="003D386F"/>
    <w:rsid w:val="003D405C"/>
    <w:rsid w:val="003D43DB"/>
    <w:rsid w:val="003D4C73"/>
    <w:rsid w:val="003D556B"/>
    <w:rsid w:val="003D5718"/>
    <w:rsid w:val="003D653E"/>
    <w:rsid w:val="003E2280"/>
    <w:rsid w:val="003E2ADC"/>
    <w:rsid w:val="003E5948"/>
    <w:rsid w:val="003E5F6E"/>
    <w:rsid w:val="003E601E"/>
    <w:rsid w:val="003F0EA3"/>
    <w:rsid w:val="003F1184"/>
    <w:rsid w:val="003F38E5"/>
    <w:rsid w:val="003F5DCD"/>
    <w:rsid w:val="003F73C3"/>
    <w:rsid w:val="00400126"/>
    <w:rsid w:val="00400F75"/>
    <w:rsid w:val="00401210"/>
    <w:rsid w:val="00402AC6"/>
    <w:rsid w:val="00404CDA"/>
    <w:rsid w:val="00406B06"/>
    <w:rsid w:val="00410BF5"/>
    <w:rsid w:val="0041222E"/>
    <w:rsid w:val="0041224F"/>
    <w:rsid w:val="00412C89"/>
    <w:rsid w:val="004130A2"/>
    <w:rsid w:val="00413446"/>
    <w:rsid w:val="0041452A"/>
    <w:rsid w:val="004151E6"/>
    <w:rsid w:val="00415290"/>
    <w:rsid w:val="00415BA7"/>
    <w:rsid w:val="00416F40"/>
    <w:rsid w:val="00417A8F"/>
    <w:rsid w:val="00417E36"/>
    <w:rsid w:val="00421722"/>
    <w:rsid w:val="0042260E"/>
    <w:rsid w:val="00422B4E"/>
    <w:rsid w:val="0042312B"/>
    <w:rsid w:val="004237DE"/>
    <w:rsid w:val="00423B16"/>
    <w:rsid w:val="00423F48"/>
    <w:rsid w:val="00425824"/>
    <w:rsid w:val="00425C72"/>
    <w:rsid w:val="0042625B"/>
    <w:rsid w:val="0043207C"/>
    <w:rsid w:val="0043263D"/>
    <w:rsid w:val="004336FA"/>
    <w:rsid w:val="004349B6"/>
    <w:rsid w:val="00436FD5"/>
    <w:rsid w:val="0043740B"/>
    <w:rsid w:val="00437639"/>
    <w:rsid w:val="004407C2"/>
    <w:rsid w:val="004413A6"/>
    <w:rsid w:val="004418DE"/>
    <w:rsid w:val="00441D22"/>
    <w:rsid w:val="0044467D"/>
    <w:rsid w:val="00444BB9"/>
    <w:rsid w:val="00445D0A"/>
    <w:rsid w:val="00447E56"/>
    <w:rsid w:val="00447F18"/>
    <w:rsid w:val="004504BC"/>
    <w:rsid w:val="00453482"/>
    <w:rsid w:val="00453762"/>
    <w:rsid w:val="00453CFE"/>
    <w:rsid w:val="004560F3"/>
    <w:rsid w:val="004571D6"/>
    <w:rsid w:val="00457E45"/>
    <w:rsid w:val="0046325B"/>
    <w:rsid w:val="00463570"/>
    <w:rsid w:val="00465961"/>
    <w:rsid w:val="00467207"/>
    <w:rsid w:val="0047109D"/>
    <w:rsid w:val="00472B53"/>
    <w:rsid w:val="00474E92"/>
    <w:rsid w:val="0047564E"/>
    <w:rsid w:val="00476C23"/>
    <w:rsid w:val="004776FD"/>
    <w:rsid w:val="004809C7"/>
    <w:rsid w:val="00483A48"/>
    <w:rsid w:val="00487579"/>
    <w:rsid w:val="0048779A"/>
    <w:rsid w:val="00493430"/>
    <w:rsid w:val="004951BF"/>
    <w:rsid w:val="00495519"/>
    <w:rsid w:val="00495C15"/>
    <w:rsid w:val="00496EFA"/>
    <w:rsid w:val="004978E9"/>
    <w:rsid w:val="004A0C72"/>
    <w:rsid w:val="004A1F27"/>
    <w:rsid w:val="004A245D"/>
    <w:rsid w:val="004A2D42"/>
    <w:rsid w:val="004A2E7A"/>
    <w:rsid w:val="004A3A91"/>
    <w:rsid w:val="004A557B"/>
    <w:rsid w:val="004A6125"/>
    <w:rsid w:val="004A6343"/>
    <w:rsid w:val="004A7461"/>
    <w:rsid w:val="004A7F47"/>
    <w:rsid w:val="004B2B01"/>
    <w:rsid w:val="004B352A"/>
    <w:rsid w:val="004B4992"/>
    <w:rsid w:val="004B4B34"/>
    <w:rsid w:val="004B6687"/>
    <w:rsid w:val="004B73DC"/>
    <w:rsid w:val="004C3C0D"/>
    <w:rsid w:val="004C4033"/>
    <w:rsid w:val="004C5298"/>
    <w:rsid w:val="004C5C61"/>
    <w:rsid w:val="004C6594"/>
    <w:rsid w:val="004C7507"/>
    <w:rsid w:val="004C798D"/>
    <w:rsid w:val="004C7BB5"/>
    <w:rsid w:val="004D2ED3"/>
    <w:rsid w:val="004D4111"/>
    <w:rsid w:val="004D52BD"/>
    <w:rsid w:val="004D69FB"/>
    <w:rsid w:val="004E1108"/>
    <w:rsid w:val="004E16C3"/>
    <w:rsid w:val="004E207F"/>
    <w:rsid w:val="004E3877"/>
    <w:rsid w:val="004E4203"/>
    <w:rsid w:val="004E42A8"/>
    <w:rsid w:val="004E44A2"/>
    <w:rsid w:val="004E6864"/>
    <w:rsid w:val="004E7863"/>
    <w:rsid w:val="004F07BC"/>
    <w:rsid w:val="004F0D7B"/>
    <w:rsid w:val="004F0DC0"/>
    <w:rsid w:val="004F1CA3"/>
    <w:rsid w:val="004F2548"/>
    <w:rsid w:val="004F43C7"/>
    <w:rsid w:val="004F5BEC"/>
    <w:rsid w:val="004F5CC5"/>
    <w:rsid w:val="004F6067"/>
    <w:rsid w:val="004F63FD"/>
    <w:rsid w:val="00500534"/>
    <w:rsid w:val="0050130C"/>
    <w:rsid w:val="005039B0"/>
    <w:rsid w:val="00504953"/>
    <w:rsid w:val="005058FE"/>
    <w:rsid w:val="00507696"/>
    <w:rsid w:val="005154F9"/>
    <w:rsid w:val="00515C68"/>
    <w:rsid w:val="00517EF2"/>
    <w:rsid w:val="00520EA0"/>
    <w:rsid w:val="00522E25"/>
    <w:rsid w:val="00523BD9"/>
    <w:rsid w:val="00524E33"/>
    <w:rsid w:val="005253B2"/>
    <w:rsid w:val="0052644E"/>
    <w:rsid w:val="0052748B"/>
    <w:rsid w:val="005336E7"/>
    <w:rsid w:val="005337B6"/>
    <w:rsid w:val="00534F82"/>
    <w:rsid w:val="00540002"/>
    <w:rsid w:val="00540A5E"/>
    <w:rsid w:val="00543BFB"/>
    <w:rsid w:val="00543F98"/>
    <w:rsid w:val="00544A6F"/>
    <w:rsid w:val="00544F68"/>
    <w:rsid w:val="00545CF4"/>
    <w:rsid w:val="00547816"/>
    <w:rsid w:val="00552CC5"/>
    <w:rsid w:val="005541A6"/>
    <w:rsid w:val="005546DD"/>
    <w:rsid w:val="00555E73"/>
    <w:rsid w:val="005613E9"/>
    <w:rsid w:val="00561757"/>
    <w:rsid w:val="00561997"/>
    <w:rsid w:val="00562CA8"/>
    <w:rsid w:val="00562DBA"/>
    <w:rsid w:val="00563088"/>
    <w:rsid w:val="00564B35"/>
    <w:rsid w:val="00567402"/>
    <w:rsid w:val="00570D87"/>
    <w:rsid w:val="005733BD"/>
    <w:rsid w:val="0057359A"/>
    <w:rsid w:val="00576552"/>
    <w:rsid w:val="005773EE"/>
    <w:rsid w:val="00580B4C"/>
    <w:rsid w:val="00580D50"/>
    <w:rsid w:val="00582562"/>
    <w:rsid w:val="00582565"/>
    <w:rsid w:val="005837F8"/>
    <w:rsid w:val="005853C3"/>
    <w:rsid w:val="0058601E"/>
    <w:rsid w:val="0058659C"/>
    <w:rsid w:val="00587549"/>
    <w:rsid w:val="00587B4C"/>
    <w:rsid w:val="0059081F"/>
    <w:rsid w:val="00592002"/>
    <w:rsid w:val="00592071"/>
    <w:rsid w:val="00595E44"/>
    <w:rsid w:val="00596E22"/>
    <w:rsid w:val="005973B7"/>
    <w:rsid w:val="00597E85"/>
    <w:rsid w:val="005A08D2"/>
    <w:rsid w:val="005A1EE0"/>
    <w:rsid w:val="005A22B2"/>
    <w:rsid w:val="005A46D5"/>
    <w:rsid w:val="005A5F89"/>
    <w:rsid w:val="005A61D5"/>
    <w:rsid w:val="005A6E1C"/>
    <w:rsid w:val="005A75AE"/>
    <w:rsid w:val="005B015E"/>
    <w:rsid w:val="005B13F7"/>
    <w:rsid w:val="005B32C5"/>
    <w:rsid w:val="005B34C0"/>
    <w:rsid w:val="005B35D6"/>
    <w:rsid w:val="005B360B"/>
    <w:rsid w:val="005B3DDD"/>
    <w:rsid w:val="005B3E4A"/>
    <w:rsid w:val="005C3043"/>
    <w:rsid w:val="005C42D9"/>
    <w:rsid w:val="005C5A6E"/>
    <w:rsid w:val="005C6C1D"/>
    <w:rsid w:val="005D11F0"/>
    <w:rsid w:val="005D3281"/>
    <w:rsid w:val="005D3BDE"/>
    <w:rsid w:val="005D41E6"/>
    <w:rsid w:val="005D4C94"/>
    <w:rsid w:val="005D5B42"/>
    <w:rsid w:val="005D6F9F"/>
    <w:rsid w:val="005D74FB"/>
    <w:rsid w:val="005D7DFF"/>
    <w:rsid w:val="005E1F28"/>
    <w:rsid w:val="005E443E"/>
    <w:rsid w:val="005E4600"/>
    <w:rsid w:val="005E4C96"/>
    <w:rsid w:val="005E60F6"/>
    <w:rsid w:val="005F102C"/>
    <w:rsid w:val="005F2232"/>
    <w:rsid w:val="005F2CF3"/>
    <w:rsid w:val="005F31C1"/>
    <w:rsid w:val="005F3678"/>
    <w:rsid w:val="00601F8F"/>
    <w:rsid w:val="006033BD"/>
    <w:rsid w:val="006056A4"/>
    <w:rsid w:val="00605C99"/>
    <w:rsid w:val="00605FAF"/>
    <w:rsid w:val="00606B19"/>
    <w:rsid w:val="00606FBC"/>
    <w:rsid w:val="006070F0"/>
    <w:rsid w:val="00612B3B"/>
    <w:rsid w:val="006156DC"/>
    <w:rsid w:val="00623B26"/>
    <w:rsid w:val="00624C21"/>
    <w:rsid w:val="00625503"/>
    <w:rsid w:val="00627876"/>
    <w:rsid w:val="00630C55"/>
    <w:rsid w:val="0063340F"/>
    <w:rsid w:val="00633924"/>
    <w:rsid w:val="00633DC6"/>
    <w:rsid w:val="00633FA8"/>
    <w:rsid w:val="006340BB"/>
    <w:rsid w:val="00636B42"/>
    <w:rsid w:val="00637399"/>
    <w:rsid w:val="00640494"/>
    <w:rsid w:val="006446C1"/>
    <w:rsid w:val="00646D74"/>
    <w:rsid w:val="00650902"/>
    <w:rsid w:val="0065153C"/>
    <w:rsid w:val="00651D03"/>
    <w:rsid w:val="006534D3"/>
    <w:rsid w:val="0065506F"/>
    <w:rsid w:val="006618CF"/>
    <w:rsid w:val="00661F01"/>
    <w:rsid w:val="006620C8"/>
    <w:rsid w:val="006652BA"/>
    <w:rsid w:val="00667000"/>
    <w:rsid w:val="006676D9"/>
    <w:rsid w:val="00672555"/>
    <w:rsid w:val="00673898"/>
    <w:rsid w:val="00674094"/>
    <w:rsid w:val="0067482F"/>
    <w:rsid w:val="00675503"/>
    <w:rsid w:val="00681690"/>
    <w:rsid w:val="00681C83"/>
    <w:rsid w:val="00682B2C"/>
    <w:rsid w:val="006849F6"/>
    <w:rsid w:val="00684B75"/>
    <w:rsid w:val="00684BC2"/>
    <w:rsid w:val="00684D30"/>
    <w:rsid w:val="006856FF"/>
    <w:rsid w:val="006863D8"/>
    <w:rsid w:val="00686B26"/>
    <w:rsid w:val="0068796B"/>
    <w:rsid w:val="006900AC"/>
    <w:rsid w:val="00690AD8"/>
    <w:rsid w:val="00695734"/>
    <w:rsid w:val="00695EEC"/>
    <w:rsid w:val="006972BF"/>
    <w:rsid w:val="006A20B3"/>
    <w:rsid w:val="006A32FE"/>
    <w:rsid w:val="006A4A86"/>
    <w:rsid w:val="006A52E2"/>
    <w:rsid w:val="006B0FE8"/>
    <w:rsid w:val="006B1609"/>
    <w:rsid w:val="006B2ABD"/>
    <w:rsid w:val="006B3946"/>
    <w:rsid w:val="006B54C7"/>
    <w:rsid w:val="006B7033"/>
    <w:rsid w:val="006B7FBE"/>
    <w:rsid w:val="006C0B7C"/>
    <w:rsid w:val="006C2E50"/>
    <w:rsid w:val="006C48DE"/>
    <w:rsid w:val="006C53A7"/>
    <w:rsid w:val="006C6246"/>
    <w:rsid w:val="006C6B6B"/>
    <w:rsid w:val="006C7AE7"/>
    <w:rsid w:val="006D1469"/>
    <w:rsid w:val="006D5A9A"/>
    <w:rsid w:val="006D5FD8"/>
    <w:rsid w:val="006E01C2"/>
    <w:rsid w:val="006E15E4"/>
    <w:rsid w:val="006E1F02"/>
    <w:rsid w:val="006E28C1"/>
    <w:rsid w:val="006E3397"/>
    <w:rsid w:val="006F11BD"/>
    <w:rsid w:val="006F3882"/>
    <w:rsid w:val="006F4BEB"/>
    <w:rsid w:val="006F5AEF"/>
    <w:rsid w:val="006F6676"/>
    <w:rsid w:val="006F7B58"/>
    <w:rsid w:val="007001E0"/>
    <w:rsid w:val="00702C82"/>
    <w:rsid w:val="00704089"/>
    <w:rsid w:val="007123C2"/>
    <w:rsid w:val="0071316F"/>
    <w:rsid w:val="007136E6"/>
    <w:rsid w:val="00717444"/>
    <w:rsid w:val="00717FE9"/>
    <w:rsid w:val="0072021D"/>
    <w:rsid w:val="00720E37"/>
    <w:rsid w:val="00720F68"/>
    <w:rsid w:val="00720FC0"/>
    <w:rsid w:val="0072349E"/>
    <w:rsid w:val="007238DB"/>
    <w:rsid w:val="00724536"/>
    <w:rsid w:val="007253E3"/>
    <w:rsid w:val="007255CD"/>
    <w:rsid w:val="007315C3"/>
    <w:rsid w:val="007318BA"/>
    <w:rsid w:val="007334EA"/>
    <w:rsid w:val="00733DB0"/>
    <w:rsid w:val="00735F36"/>
    <w:rsid w:val="00736701"/>
    <w:rsid w:val="00736B2F"/>
    <w:rsid w:val="00737025"/>
    <w:rsid w:val="00737A54"/>
    <w:rsid w:val="00737FB2"/>
    <w:rsid w:val="00741E4A"/>
    <w:rsid w:val="007435FE"/>
    <w:rsid w:val="007437EE"/>
    <w:rsid w:val="00744F5A"/>
    <w:rsid w:val="007455AD"/>
    <w:rsid w:val="00746D7A"/>
    <w:rsid w:val="00746E66"/>
    <w:rsid w:val="00747F40"/>
    <w:rsid w:val="0075063F"/>
    <w:rsid w:val="007605C8"/>
    <w:rsid w:val="00763554"/>
    <w:rsid w:val="00764614"/>
    <w:rsid w:val="0076526B"/>
    <w:rsid w:val="007652AE"/>
    <w:rsid w:val="007677BE"/>
    <w:rsid w:val="00767FF2"/>
    <w:rsid w:val="007707AA"/>
    <w:rsid w:val="0077224E"/>
    <w:rsid w:val="00773CE7"/>
    <w:rsid w:val="00781039"/>
    <w:rsid w:val="007825E8"/>
    <w:rsid w:val="00790246"/>
    <w:rsid w:val="00791031"/>
    <w:rsid w:val="0079157C"/>
    <w:rsid w:val="00792A34"/>
    <w:rsid w:val="00793C25"/>
    <w:rsid w:val="007A1136"/>
    <w:rsid w:val="007A4B8E"/>
    <w:rsid w:val="007A5C4C"/>
    <w:rsid w:val="007B0579"/>
    <w:rsid w:val="007B3A99"/>
    <w:rsid w:val="007B41A6"/>
    <w:rsid w:val="007B6AD8"/>
    <w:rsid w:val="007B6D97"/>
    <w:rsid w:val="007B7906"/>
    <w:rsid w:val="007C4432"/>
    <w:rsid w:val="007C680E"/>
    <w:rsid w:val="007D14DF"/>
    <w:rsid w:val="007D22BA"/>
    <w:rsid w:val="007D3AB9"/>
    <w:rsid w:val="007D3C35"/>
    <w:rsid w:val="007D42A1"/>
    <w:rsid w:val="007D441F"/>
    <w:rsid w:val="007D4868"/>
    <w:rsid w:val="007D4A60"/>
    <w:rsid w:val="007D53BF"/>
    <w:rsid w:val="007D7BA6"/>
    <w:rsid w:val="007E0AC1"/>
    <w:rsid w:val="007E30B0"/>
    <w:rsid w:val="007E37C0"/>
    <w:rsid w:val="007E5598"/>
    <w:rsid w:val="007E6279"/>
    <w:rsid w:val="007E6E94"/>
    <w:rsid w:val="007F2249"/>
    <w:rsid w:val="007F28B9"/>
    <w:rsid w:val="007F5778"/>
    <w:rsid w:val="007F6C2A"/>
    <w:rsid w:val="008001D1"/>
    <w:rsid w:val="008008D4"/>
    <w:rsid w:val="00801262"/>
    <w:rsid w:val="00801E4C"/>
    <w:rsid w:val="008020D3"/>
    <w:rsid w:val="00802C52"/>
    <w:rsid w:val="008043AE"/>
    <w:rsid w:val="00804869"/>
    <w:rsid w:val="00804908"/>
    <w:rsid w:val="0080704C"/>
    <w:rsid w:val="00807BBD"/>
    <w:rsid w:val="00811289"/>
    <w:rsid w:val="00811A5D"/>
    <w:rsid w:val="008120DB"/>
    <w:rsid w:val="00813665"/>
    <w:rsid w:val="00814698"/>
    <w:rsid w:val="0081479B"/>
    <w:rsid w:val="00815ECC"/>
    <w:rsid w:val="00823D56"/>
    <w:rsid w:val="008247C3"/>
    <w:rsid w:val="00825B44"/>
    <w:rsid w:val="00825DEB"/>
    <w:rsid w:val="0083062A"/>
    <w:rsid w:val="00831D49"/>
    <w:rsid w:val="0083210B"/>
    <w:rsid w:val="008325D0"/>
    <w:rsid w:val="0083386C"/>
    <w:rsid w:val="0083450E"/>
    <w:rsid w:val="008355CE"/>
    <w:rsid w:val="00835736"/>
    <w:rsid w:val="00836DF0"/>
    <w:rsid w:val="00837AF9"/>
    <w:rsid w:val="0084046D"/>
    <w:rsid w:val="008464E5"/>
    <w:rsid w:val="00850F9B"/>
    <w:rsid w:val="008511B1"/>
    <w:rsid w:val="00853260"/>
    <w:rsid w:val="00854470"/>
    <w:rsid w:val="00857D72"/>
    <w:rsid w:val="00861492"/>
    <w:rsid w:val="00861B39"/>
    <w:rsid w:val="00864D3B"/>
    <w:rsid w:val="00866220"/>
    <w:rsid w:val="008672D5"/>
    <w:rsid w:val="00870A8D"/>
    <w:rsid w:val="00871D8A"/>
    <w:rsid w:val="00873067"/>
    <w:rsid w:val="0087448C"/>
    <w:rsid w:val="00874C32"/>
    <w:rsid w:val="00874E79"/>
    <w:rsid w:val="0087547E"/>
    <w:rsid w:val="00876BBB"/>
    <w:rsid w:val="00876E01"/>
    <w:rsid w:val="00880D87"/>
    <w:rsid w:val="00881B29"/>
    <w:rsid w:val="00882EAC"/>
    <w:rsid w:val="008838E4"/>
    <w:rsid w:val="008838E8"/>
    <w:rsid w:val="0088428C"/>
    <w:rsid w:val="00884340"/>
    <w:rsid w:val="00886394"/>
    <w:rsid w:val="00886981"/>
    <w:rsid w:val="00887004"/>
    <w:rsid w:val="00891305"/>
    <w:rsid w:val="00892BA9"/>
    <w:rsid w:val="008968E9"/>
    <w:rsid w:val="008A04D3"/>
    <w:rsid w:val="008A3D7F"/>
    <w:rsid w:val="008A3E3B"/>
    <w:rsid w:val="008A4334"/>
    <w:rsid w:val="008A4374"/>
    <w:rsid w:val="008A5443"/>
    <w:rsid w:val="008B0E70"/>
    <w:rsid w:val="008B3C30"/>
    <w:rsid w:val="008B4E4B"/>
    <w:rsid w:val="008B5577"/>
    <w:rsid w:val="008C2161"/>
    <w:rsid w:val="008C3AC7"/>
    <w:rsid w:val="008C47FA"/>
    <w:rsid w:val="008C5342"/>
    <w:rsid w:val="008C55F1"/>
    <w:rsid w:val="008C692E"/>
    <w:rsid w:val="008C7230"/>
    <w:rsid w:val="008C7A52"/>
    <w:rsid w:val="008D0D1C"/>
    <w:rsid w:val="008D26B6"/>
    <w:rsid w:val="008D26CF"/>
    <w:rsid w:val="008D34A9"/>
    <w:rsid w:val="008D368D"/>
    <w:rsid w:val="008D4344"/>
    <w:rsid w:val="008D4839"/>
    <w:rsid w:val="008D5A5C"/>
    <w:rsid w:val="008E0C1C"/>
    <w:rsid w:val="008E45B5"/>
    <w:rsid w:val="008E4A71"/>
    <w:rsid w:val="008E5FF5"/>
    <w:rsid w:val="008F0075"/>
    <w:rsid w:val="008F00F6"/>
    <w:rsid w:val="008F2D3E"/>
    <w:rsid w:val="008F30F4"/>
    <w:rsid w:val="008F5738"/>
    <w:rsid w:val="008F5F43"/>
    <w:rsid w:val="008F7F4E"/>
    <w:rsid w:val="009036A0"/>
    <w:rsid w:val="00903F62"/>
    <w:rsid w:val="00904B90"/>
    <w:rsid w:val="00906147"/>
    <w:rsid w:val="00907B68"/>
    <w:rsid w:val="009111C1"/>
    <w:rsid w:val="0091193E"/>
    <w:rsid w:val="009130AC"/>
    <w:rsid w:val="0091561E"/>
    <w:rsid w:val="00915ADA"/>
    <w:rsid w:val="00917467"/>
    <w:rsid w:val="00922831"/>
    <w:rsid w:val="00922872"/>
    <w:rsid w:val="00924030"/>
    <w:rsid w:val="00926ED6"/>
    <w:rsid w:val="0092700A"/>
    <w:rsid w:val="0093538A"/>
    <w:rsid w:val="009362DC"/>
    <w:rsid w:val="009365EB"/>
    <w:rsid w:val="00936E2B"/>
    <w:rsid w:val="00936F1B"/>
    <w:rsid w:val="00937D6D"/>
    <w:rsid w:val="00937EF5"/>
    <w:rsid w:val="00940EA3"/>
    <w:rsid w:val="00942785"/>
    <w:rsid w:val="00943C72"/>
    <w:rsid w:val="00946F6E"/>
    <w:rsid w:val="00947A3E"/>
    <w:rsid w:val="00947E0F"/>
    <w:rsid w:val="00950337"/>
    <w:rsid w:val="009509CC"/>
    <w:rsid w:val="00951DB8"/>
    <w:rsid w:val="0095216F"/>
    <w:rsid w:val="009565EF"/>
    <w:rsid w:val="0095680F"/>
    <w:rsid w:val="00956932"/>
    <w:rsid w:val="00956A25"/>
    <w:rsid w:val="009573FF"/>
    <w:rsid w:val="00957E00"/>
    <w:rsid w:val="00960235"/>
    <w:rsid w:val="009607E3"/>
    <w:rsid w:val="00960C2D"/>
    <w:rsid w:val="009612EF"/>
    <w:rsid w:val="00961316"/>
    <w:rsid w:val="00962976"/>
    <w:rsid w:val="00962D05"/>
    <w:rsid w:val="00963043"/>
    <w:rsid w:val="009634C8"/>
    <w:rsid w:val="0096488C"/>
    <w:rsid w:val="00964DB6"/>
    <w:rsid w:val="00965007"/>
    <w:rsid w:val="0096518D"/>
    <w:rsid w:val="0096547A"/>
    <w:rsid w:val="00965A46"/>
    <w:rsid w:val="00967EDE"/>
    <w:rsid w:val="009706CE"/>
    <w:rsid w:val="00972607"/>
    <w:rsid w:val="00974A2D"/>
    <w:rsid w:val="009762EA"/>
    <w:rsid w:val="0097633B"/>
    <w:rsid w:val="00976A70"/>
    <w:rsid w:val="00977B31"/>
    <w:rsid w:val="0098018F"/>
    <w:rsid w:val="00982060"/>
    <w:rsid w:val="00982774"/>
    <w:rsid w:val="00982991"/>
    <w:rsid w:val="00983C40"/>
    <w:rsid w:val="00984D4F"/>
    <w:rsid w:val="00986C46"/>
    <w:rsid w:val="009911D2"/>
    <w:rsid w:val="009925A1"/>
    <w:rsid w:val="009932A1"/>
    <w:rsid w:val="00996A46"/>
    <w:rsid w:val="00996ED3"/>
    <w:rsid w:val="009A1543"/>
    <w:rsid w:val="009A315A"/>
    <w:rsid w:val="009A36FD"/>
    <w:rsid w:val="009A3C36"/>
    <w:rsid w:val="009A40CA"/>
    <w:rsid w:val="009A5538"/>
    <w:rsid w:val="009A6BB3"/>
    <w:rsid w:val="009B4FF9"/>
    <w:rsid w:val="009C0793"/>
    <w:rsid w:val="009C0ECA"/>
    <w:rsid w:val="009C138D"/>
    <w:rsid w:val="009C1B84"/>
    <w:rsid w:val="009C365B"/>
    <w:rsid w:val="009C535B"/>
    <w:rsid w:val="009C5891"/>
    <w:rsid w:val="009C5C65"/>
    <w:rsid w:val="009C7478"/>
    <w:rsid w:val="009D23D9"/>
    <w:rsid w:val="009D2988"/>
    <w:rsid w:val="009D3BDF"/>
    <w:rsid w:val="009D4160"/>
    <w:rsid w:val="009D556F"/>
    <w:rsid w:val="009D66DF"/>
    <w:rsid w:val="009D6FFC"/>
    <w:rsid w:val="009E2667"/>
    <w:rsid w:val="009E2B4E"/>
    <w:rsid w:val="009E3060"/>
    <w:rsid w:val="009E317D"/>
    <w:rsid w:val="009E4188"/>
    <w:rsid w:val="009E561A"/>
    <w:rsid w:val="009E6ADA"/>
    <w:rsid w:val="009E6D78"/>
    <w:rsid w:val="009F0FAC"/>
    <w:rsid w:val="009F2CB2"/>
    <w:rsid w:val="009F42D5"/>
    <w:rsid w:val="009F59EE"/>
    <w:rsid w:val="00A0034A"/>
    <w:rsid w:val="00A00614"/>
    <w:rsid w:val="00A03F16"/>
    <w:rsid w:val="00A0626C"/>
    <w:rsid w:val="00A06687"/>
    <w:rsid w:val="00A0680F"/>
    <w:rsid w:val="00A071AB"/>
    <w:rsid w:val="00A07B57"/>
    <w:rsid w:val="00A1017F"/>
    <w:rsid w:val="00A11002"/>
    <w:rsid w:val="00A12D97"/>
    <w:rsid w:val="00A145E2"/>
    <w:rsid w:val="00A15C5F"/>
    <w:rsid w:val="00A1706A"/>
    <w:rsid w:val="00A17595"/>
    <w:rsid w:val="00A2129E"/>
    <w:rsid w:val="00A2161C"/>
    <w:rsid w:val="00A21AB7"/>
    <w:rsid w:val="00A22380"/>
    <w:rsid w:val="00A267CE"/>
    <w:rsid w:val="00A27F10"/>
    <w:rsid w:val="00A3119E"/>
    <w:rsid w:val="00A3163A"/>
    <w:rsid w:val="00A31814"/>
    <w:rsid w:val="00A326E5"/>
    <w:rsid w:val="00A34404"/>
    <w:rsid w:val="00A345F7"/>
    <w:rsid w:val="00A351F4"/>
    <w:rsid w:val="00A35204"/>
    <w:rsid w:val="00A35900"/>
    <w:rsid w:val="00A36D79"/>
    <w:rsid w:val="00A371A8"/>
    <w:rsid w:val="00A401A3"/>
    <w:rsid w:val="00A40F39"/>
    <w:rsid w:val="00A41322"/>
    <w:rsid w:val="00A4441D"/>
    <w:rsid w:val="00A477F8"/>
    <w:rsid w:val="00A51DB8"/>
    <w:rsid w:val="00A526C9"/>
    <w:rsid w:val="00A52E40"/>
    <w:rsid w:val="00A553F8"/>
    <w:rsid w:val="00A577B7"/>
    <w:rsid w:val="00A644DF"/>
    <w:rsid w:val="00A661EE"/>
    <w:rsid w:val="00A672EA"/>
    <w:rsid w:val="00A67865"/>
    <w:rsid w:val="00A7039D"/>
    <w:rsid w:val="00A706DB"/>
    <w:rsid w:val="00A71413"/>
    <w:rsid w:val="00A729A8"/>
    <w:rsid w:val="00A72FF0"/>
    <w:rsid w:val="00A741C7"/>
    <w:rsid w:val="00A75581"/>
    <w:rsid w:val="00A80A8B"/>
    <w:rsid w:val="00A82D27"/>
    <w:rsid w:val="00A83718"/>
    <w:rsid w:val="00A84D63"/>
    <w:rsid w:val="00A85069"/>
    <w:rsid w:val="00A86EF2"/>
    <w:rsid w:val="00A902B4"/>
    <w:rsid w:val="00A93669"/>
    <w:rsid w:val="00A94298"/>
    <w:rsid w:val="00A969E4"/>
    <w:rsid w:val="00A973F9"/>
    <w:rsid w:val="00AA0C1B"/>
    <w:rsid w:val="00AA104C"/>
    <w:rsid w:val="00AA13C3"/>
    <w:rsid w:val="00AA1D7A"/>
    <w:rsid w:val="00AA1EF9"/>
    <w:rsid w:val="00AA264F"/>
    <w:rsid w:val="00AA3C5C"/>
    <w:rsid w:val="00AA58B4"/>
    <w:rsid w:val="00AB150A"/>
    <w:rsid w:val="00AB3B2A"/>
    <w:rsid w:val="00AB5C28"/>
    <w:rsid w:val="00AC0B97"/>
    <w:rsid w:val="00AC0F4F"/>
    <w:rsid w:val="00AC14FC"/>
    <w:rsid w:val="00AC1B87"/>
    <w:rsid w:val="00AC1E03"/>
    <w:rsid w:val="00AC3155"/>
    <w:rsid w:val="00AC4CEE"/>
    <w:rsid w:val="00AD0B09"/>
    <w:rsid w:val="00AD2933"/>
    <w:rsid w:val="00AD3089"/>
    <w:rsid w:val="00AD3D91"/>
    <w:rsid w:val="00AD79CC"/>
    <w:rsid w:val="00AE0FD1"/>
    <w:rsid w:val="00AE4CC4"/>
    <w:rsid w:val="00AE662F"/>
    <w:rsid w:val="00AE7AFA"/>
    <w:rsid w:val="00AF080F"/>
    <w:rsid w:val="00AF0BE0"/>
    <w:rsid w:val="00AF2B4D"/>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353"/>
    <w:rsid w:val="00B1561F"/>
    <w:rsid w:val="00B15FD4"/>
    <w:rsid w:val="00B169AF"/>
    <w:rsid w:val="00B16D05"/>
    <w:rsid w:val="00B177AF"/>
    <w:rsid w:val="00B17AD8"/>
    <w:rsid w:val="00B20F7B"/>
    <w:rsid w:val="00B21A92"/>
    <w:rsid w:val="00B21D7F"/>
    <w:rsid w:val="00B2288F"/>
    <w:rsid w:val="00B23454"/>
    <w:rsid w:val="00B244B9"/>
    <w:rsid w:val="00B24AB2"/>
    <w:rsid w:val="00B24DBE"/>
    <w:rsid w:val="00B26C1E"/>
    <w:rsid w:val="00B270E8"/>
    <w:rsid w:val="00B2738B"/>
    <w:rsid w:val="00B278D2"/>
    <w:rsid w:val="00B30195"/>
    <w:rsid w:val="00B3074F"/>
    <w:rsid w:val="00B3103A"/>
    <w:rsid w:val="00B31509"/>
    <w:rsid w:val="00B327AE"/>
    <w:rsid w:val="00B3354F"/>
    <w:rsid w:val="00B34562"/>
    <w:rsid w:val="00B34675"/>
    <w:rsid w:val="00B41012"/>
    <w:rsid w:val="00B41035"/>
    <w:rsid w:val="00B45ED0"/>
    <w:rsid w:val="00B45F71"/>
    <w:rsid w:val="00B46015"/>
    <w:rsid w:val="00B475E1"/>
    <w:rsid w:val="00B47902"/>
    <w:rsid w:val="00B47AFD"/>
    <w:rsid w:val="00B51F3C"/>
    <w:rsid w:val="00B5230B"/>
    <w:rsid w:val="00B52B36"/>
    <w:rsid w:val="00B537F1"/>
    <w:rsid w:val="00B5592F"/>
    <w:rsid w:val="00B55F72"/>
    <w:rsid w:val="00B564A6"/>
    <w:rsid w:val="00B626AC"/>
    <w:rsid w:val="00B64864"/>
    <w:rsid w:val="00B64945"/>
    <w:rsid w:val="00B6512E"/>
    <w:rsid w:val="00B65A3B"/>
    <w:rsid w:val="00B67429"/>
    <w:rsid w:val="00B676E6"/>
    <w:rsid w:val="00B67D59"/>
    <w:rsid w:val="00B708C9"/>
    <w:rsid w:val="00B70A80"/>
    <w:rsid w:val="00B7116F"/>
    <w:rsid w:val="00B712F8"/>
    <w:rsid w:val="00B714D3"/>
    <w:rsid w:val="00B7285B"/>
    <w:rsid w:val="00B74D65"/>
    <w:rsid w:val="00B76BBE"/>
    <w:rsid w:val="00B76DDA"/>
    <w:rsid w:val="00B777C3"/>
    <w:rsid w:val="00B77830"/>
    <w:rsid w:val="00B80003"/>
    <w:rsid w:val="00B81F38"/>
    <w:rsid w:val="00B82BA4"/>
    <w:rsid w:val="00B84690"/>
    <w:rsid w:val="00B86D21"/>
    <w:rsid w:val="00B87C15"/>
    <w:rsid w:val="00B91B61"/>
    <w:rsid w:val="00B92DE5"/>
    <w:rsid w:val="00B95EBA"/>
    <w:rsid w:val="00BA29AE"/>
    <w:rsid w:val="00BA4EE1"/>
    <w:rsid w:val="00BA6059"/>
    <w:rsid w:val="00BA6DBC"/>
    <w:rsid w:val="00BA6DD7"/>
    <w:rsid w:val="00BA7E4C"/>
    <w:rsid w:val="00BB0801"/>
    <w:rsid w:val="00BB1BAE"/>
    <w:rsid w:val="00BB27FC"/>
    <w:rsid w:val="00BB35B3"/>
    <w:rsid w:val="00BB5F03"/>
    <w:rsid w:val="00BC10FE"/>
    <w:rsid w:val="00BC1BA1"/>
    <w:rsid w:val="00BC30D1"/>
    <w:rsid w:val="00BC3CB6"/>
    <w:rsid w:val="00BC43C3"/>
    <w:rsid w:val="00BC6C6E"/>
    <w:rsid w:val="00BC7898"/>
    <w:rsid w:val="00BD0305"/>
    <w:rsid w:val="00BD18EA"/>
    <w:rsid w:val="00BD25BD"/>
    <w:rsid w:val="00BD26AB"/>
    <w:rsid w:val="00BD4FB4"/>
    <w:rsid w:val="00BD56CC"/>
    <w:rsid w:val="00BD5B45"/>
    <w:rsid w:val="00BD6A7F"/>
    <w:rsid w:val="00BD7095"/>
    <w:rsid w:val="00BE0B0E"/>
    <w:rsid w:val="00BE127F"/>
    <w:rsid w:val="00BE34DD"/>
    <w:rsid w:val="00BE7D75"/>
    <w:rsid w:val="00BF02EE"/>
    <w:rsid w:val="00BF0F80"/>
    <w:rsid w:val="00BF1CB0"/>
    <w:rsid w:val="00BF1D03"/>
    <w:rsid w:val="00BF2980"/>
    <w:rsid w:val="00BF2B2A"/>
    <w:rsid w:val="00BF3B93"/>
    <w:rsid w:val="00BF3C3D"/>
    <w:rsid w:val="00BF4FA6"/>
    <w:rsid w:val="00BF5573"/>
    <w:rsid w:val="00BF5DE1"/>
    <w:rsid w:val="00BF69D4"/>
    <w:rsid w:val="00C00860"/>
    <w:rsid w:val="00C01736"/>
    <w:rsid w:val="00C0488B"/>
    <w:rsid w:val="00C05509"/>
    <w:rsid w:val="00C1291C"/>
    <w:rsid w:val="00C129F0"/>
    <w:rsid w:val="00C12B80"/>
    <w:rsid w:val="00C1553C"/>
    <w:rsid w:val="00C16738"/>
    <w:rsid w:val="00C16A07"/>
    <w:rsid w:val="00C171EA"/>
    <w:rsid w:val="00C213F3"/>
    <w:rsid w:val="00C2196C"/>
    <w:rsid w:val="00C25196"/>
    <w:rsid w:val="00C25A49"/>
    <w:rsid w:val="00C30103"/>
    <w:rsid w:val="00C30556"/>
    <w:rsid w:val="00C306CA"/>
    <w:rsid w:val="00C30F7A"/>
    <w:rsid w:val="00C322B6"/>
    <w:rsid w:val="00C32C7C"/>
    <w:rsid w:val="00C35BFC"/>
    <w:rsid w:val="00C36244"/>
    <w:rsid w:val="00C362AF"/>
    <w:rsid w:val="00C36818"/>
    <w:rsid w:val="00C36AC8"/>
    <w:rsid w:val="00C36C63"/>
    <w:rsid w:val="00C36E73"/>
    <w:rsid w:val="00C40157"/>
    <w:rsid w:val="00C41064"/>
    <w:rsid w:val="00C411A0"/>
    <w:rsid w:val="00C42096"/>
    <w:rsid w:val="00C43FC3"/>
    <w:rsid w:val="00C44D59"/>
    <w:rsid w:val="00C45232"/>
    <w:rsid w:val="00C4735A"/>
    <w:rsid w:val="00C47882"/>
    <w:rsid w:val="00C503A0"/>
    <w:rsid w:val="00C505D4"/>
    <w:rsid w:val="00C50A39"/>
    <w:rsid w:val="00C51E90"/>
    <w:rsid w:val="00C53ECE"/>
    <w:rsid w:val="00C55E4E"/>
    <w:rsid w:val="00C5726E"/>
    <w:rsid w:val="00C6048F"/>
    <w:rsid w:val="00C607F2"/>
    <w:rsid w:val="00C61777"/>
    <w:rsid w:val="00C620A0"/>
    <w:rsid w:val="00C63428"/>
    <w:rsid w:val="00C639A8"/>
    <w:rsid w:val="00C63AF6"/>
    <w:rsid w:val="00C63DF0"/>
    <w:rsid w:val="00C63E32"/>
    <w:rsid w:val="00C641D2"/>
    <w:rsid w:val="00C64B40"/>
    <w:rsid w:val="00C650DB"/>
    <w:rsid w:val="00C653C3"/>
    <w:rsid w:val="00C7180F"/>
    <w:rsid w:val="00C72C9B"/>
    <w:rsid w:val="00C73FC6"/>
    <w:rsid w:val="00C741D3"/>
    <w:rsid w:val="00C7462C"/>
    <w:rsid w:val="00C74B21"/>
    <w:rsid w:val="00C805AC"/>
    <w:rsid w:val="00C85300"/>
    <w:rsid w:val="00C8584A"/>
    <w:rsid w:val="00C85AB7"/>
    <w:rsid w:val="00C86CE3"/>
    <w:rsid w:val="00C86EBC"/>
    <w:rsid w:val="00C87E22"/>
    <w:rsid w:val="00C91F7F"/>
    <w:rsid w:val="00C96C4F"/>
    <w:rsid w:val="00CA3F3D"/>
    <w:rsid w:val="00CA3FE4"/>
    <w:rsid w:val="00CA5323"/>
    <w:rsid w:val="00CA5FC8"/>
    <w:rsid w:val="00CA6A04"/>
    <w:rsid w:val="00CB057E"/>
    <w:rsid w:val="00CB1985"/>
    <w:rsid w:val="00CB40F4"/>
    <w:rsid w:val="00CB50DD"/>
    <w:rsid w:val="00CB7416"/>
    <w:rsid w:val="00CC04E3"/>
    <w:rsid w:val="00CC32D9"/>
    <w:rsid w:val="00CC453F"/>
    <w:rsid w:val="00CC45E5"/>
    <w:rsid w:val="00CC5BEB"/>
    <w:rsid w:val="00CC60A9"/>
    <w:rsid w:val="00CC7C89"/>
    <w:rsid w:val="00CD1C31"/>
    <w:rsid w:val="00CD2522"/>
    <w:rsid w:val="00CD31F0"/>
    <w:rsid w:val="00CD3324"/>
    <w:rsid w:val="00CD3C1E"/>
    <w:rsid w:val="00CD4B4B"/>
    <w:rsid w:val="00CD6EEC"/>
    <w:rsid w:val="00CE0AC1"/>
    <w:rsid w:val="00CE220A"/>
    <w:rsid w:val="00CE2578"/>
    <w:rsid w:val="00CE3577"/>
    <w:rsid w:val="00CF10DA"/>
    <w:rsid w:val="00CF2718"/>
    <w:rsid w:val="00CF3762"/>
    <w:rsid w:val="00CF7691"/>
    <w:rsid w:val="00D01461"/>
    <w:rsid w:val="00D01832"/>
    <w:rsid w:val="00D04122"/>
    <w:rsid w:val="00D047B7"/>
    <w:rsid w:val="00D06C9F"/>
    <w:rsid w:val="00D11870"/>
    <w:rsid w:val="00D132FF"/>
    <w:rsid w:val="00D15557"/>
    <w:rsid w:val="00D15686"/>
    <w:rsid w:val="00D16F9E"/>
    <w:rsid w:val="00D21B27"/>
    <w:rsid w:val="00D21E06"/>
    <w:rsid w:val="00D223BF"/>
    <w:rsid w:val="00D223FC"/>
    <w:rsid w:val="00D2253B"/>
    <w:rsid w:val="00D22A67"/>
    <w:rsid w:val="00D245D2"/>
    <w:rsid w:val="00D25B0B"/>
    <w:rsid w:val="00D2745A"/>
    <w:rsid w:val="00D31127"/>
    <w:rsid w:val="00D31386"/>
    <w:rsid w:val="00D31FA8"/>
    <w:rsid w:val="00D3396D"/>
    <w:rsid w:val="00D3397B"/>
    <w:rsid w:val="00D3569B"/>
    <w:rsid w:val="00D35A90"/>
    <w:rsid w:val="00D36065"/>
    <w:rsid w:val="00D36130"/>
    <w:rsid w:val="00D40D11"/>
    <w:rsid w:val="00D423AD"/>
    <w:rsid w:val="00D44899"/>
    <w:rsid w:val="00D46528"/>
    <w:rsid w:val="00D46587"/>
    <w:rsid w:val="00D46E13"/>
    <w:rsid w:val="00D4733D"/>
    <w:rsid w:val="00D53085"/>
    <w:rsid w:val="00D532C1"/>
    <w:rsid w:val="00D57146"/>
    <w:rsid w:val="00D618AD"/>
    <w:rsid w:val="00D63DD3"/>
    <w:rsid w:val="00D6464D"/>
    <w:rsid w:val="00D65088"/>
    <w:rsid w:val="00D72895"/>
    <w:rsid w:val="00D73D3F"/>
    <w:rsid w:val="00D76F6E"/>
    <w:rsid w:val="00D777C9"/>
    <w:rsid w:val="00D77E6E"/>
    <w:rsid w:val="00D80B6D"/>
    <w:rsid w:val="00D82E2D"/>
    <w:rsid w:val="00D8513A"/>
    <w:rsid w:val="00D87CCE"/>
    <w:rsid w:val="00D9306C"/>
    <w:rsid w:val="00DA087D"/>
    <w:rsid w:val="00DA10BE"/>
    <w:rsid w:val="00DA1662"/>
    <w:rsid w:val="00DA327C"/>
    <w:rsid w:val="00DA576C"/>
    <w:rsid w:val="00DA68D5"/>
    <w:rsid w:val="00DA6D6A"/>
    <w:rsid w:val="00DA7689"/>
    <w:rsid w:val="00DA78FC"/>
    <w:rsid w:val="00DB270B"/>
    <w:rsid w:val="00DB365A"/>
    <w:rsid w:val="00DB4335"/>
    <w:rsid w:val="00DB7664"/>
    <w:rsid w:val="00DB7E2F"/>
    <w:rsid w:val="00DC1FA8"/>
    <w:rsid w:val="00DC2A4B"/>
    <w:rsid w:val="00DC4212"/>
    <w:rsid w:val="00DC6476"/>
    <w:rsid w:val="00DC6AB6"/>
    <w:rsid w:val="00DD1126"/>
    <w:rsid w:val="00DD1EC1"/>
    <w:rsid w:val="00DD5E05"/>
    <w:rsid w:val="00DE17B0"/>
    <w:rsid w:val="00DE36DE"/>
    <w:rsid w:val="00DE448F"/>
    <w:rsid w:val="00DE4919"/>
    <w:rsid w:val="00DE75F4"/>
    <w:rsid w:val="00DE7686"/>
    <w:rsid w:val="00DE7CE1"/>
    <w:rsid w:val="00DF006F"/>
    <w:rsid w:val="00DF1F56"/>
    <w:rsid w:val="00DF2428"/>
    <w:rsid w:val="00DF296C"/>
    <w:rsid w:val="00DF2A53"/>
    <w:rsid w:val="00DF388B"/>
    <w:rsid w:val="00DF5CAA"/>
    <w:rsid w:val="00DF5E95"/>
    <w:rsid w:val="00DF606A"/>
    <w:rsid w:val="00E02125"/>
    <w:rsid w:val="00E0358E"/>
    <w:rsid w:val="00E04F24"/>
    <w:rsid w:val="00E04F7B"/>
    <w:rsid w:val="00E05E82"/>
    <w:rsid w:val="00E06CEA"/>
    <w:rsid w:val="00E11435"/>
    <w:rsid w:val="00E121F2"/>
    <w:rsid w:val="00E166F1"/>
    <w:rsid w:val="00E16928"/>
    <w:rsid w:val="00E16FE8"/>
    <w:rsid w:val="00E17539"/>
    <w:rsid w:val="00E211E6"/>
    <w:rsid w:val="00E23F1D"/>
    <w:rsid w:val="00E24FED"/>
    <w:rsid w:val="00E25085"/>
    <w:rsid w:val="00E2543E"/>
    <w:rsid w:val="00E2591F"/>
    <w:rsid w:val="00E30148"/>
    <w:rsid w:val="00E31ED3"/>
    <w:rsid w:val="00E343B0"/>
    <w:rsid w:val="00E35A9F"/>
    <w:rsid w:val="00E364A9"/>
    <w:rsid w:val="00E36E36"/>
    <w:rsid w:val="00E400AA"/>
    <w:rsid w:val="00E40BF0"/>
    <w:rsid w:val="00E41EE8"/>
    <w:rsid w:val="00E42149"/>
    <w:rsid w:val="00E4768E"/>
    <w:rsid w:val="00E47BA7"/>
    <w:rsid w:val="00E50121"/>
    <w:rsid w:val="00E50AEA"/>
    <w:rsid w:val="00E515C8"/>
    <w:rsid w:val="00E53945"/>
    <w:rsid w:val="00E54C6F"/>
    <w:rsid w:val="00E55682"/>
    <w:rsid w:val="00E5639B"/>
    <w:rsid w:val="00E57D1A"/>
    <w:rsid w:val="00E608E3"/>
    <w:rsid w:val="00E60E78"/>
    <w:rsid w:val="00E63C9B"/>
    <w:rsid w:val="00E64583"/>
    <w:rsid w:val="00E669EF"/>
    <w:rsid w:val="00E67800"/>
    <w:rsid w:val="00E70E9A"/>
    <w:rsid w:val="00E71B7C"/>
    <w:rsid w:val="00E71C1E"/>
    <w:rsid w:val="00E71D31"/>
    <w:rsid w:val="00E72BA8"/>
    <w:rsid w:val="00E73E85"/>
    <w:rsid w:val="00E74BB2"/>
    <w:rsid w:val="00E804FF"/>
    <w:rsid w:val="00E81785"/>
    <w:rsid w:val="00E83CCD"/>
    <w:rsid w:val="00E847E6"/>
    <w:rsid w:val="00E84909"/>
    <w:rsid w:val="00E856C2"/>
    <w:rsid w:val="00E90FB8"/>
    <w:rsid w:val="00E938B3"/>
    <w:rsid w:val="00E945C4"/>
    <w:rsid w:val="00E9495C"/>
    <w:rsid w:val="00E94B01"/>
    <w:rsid w:val="00EA29EC"/>
    <w:rsid w:val="00EA3186"/>
    <w:rsid w:val="00EA3C99"/>
    <w:rsid w:val="00EA47AD"/>
    <w:rsid w:val="00EA5B80"/>
    <w:rsid w:val="00EA64D4"/>
    <w:rsid w:val="00EB06C5"/>
    <w:rsid w:val="00EB1535"/>
    <w:rsid w:val="00EB26B3"/>
    <w:rsid w:val="00EB4375"/>
    <w:rsid w:val="00EB4A89"/>
    <w:rsid w:val="00EB5B94"/>
    <w:rsid w:val="00EB657F"/>
    <w:rsid w:val="00EC046B"/>
    <w:rsid w:val="00EC75DD"/>
    <w:rsid w:val="00EC7691"/>
    <w:rsid w:val="00ED0FE5"/>
    <w:rsid w:val="00ED2A49"/>
    <w:rsid w:val="00ED4C36"/>
    <w:rsid w:val="00EE318A"/>
    <w:rsid w:val="00EE4761"/>
    <w:rsid w:val="00EE520F"/>
    <w:rsid w:val="00EE591F"/>
    <w:rsid w:val="00EE6C6D"/>
    <w:rsid w:val="00EE7BDD"/>
    <w:rsid w:val="00EE7E52"/>
    <w:rsid w:val="00EF1568"/>
    <w:rsid w:val="00EF2498"/>
    <w:rsid w:val="00EF56AC"/>
    <w:rsid w:val="00EF5B02"/>
    <w:rsid w:val="00EF5EE0"/>
    <w:rsid w:val="00EF62F8"/>
    <w:rsid w:val="00F023BF"/>
    <w:rsid w:val="00F0275F"/>
    <w:rsid w:val="00F02779"/>
    <w:rsid w:val="00F040CA"/>
    <w:rsid w:val="00F04FF5"/>
    <w:rsid w:val="00F06420"/>
    <w:rsid w:val="00F06513"/>
    <w:rsid w:val="00F06844"/>
    <w:rsid w:val="00F0734C"/>
    <w:rsid w:val="00F10CFA"/>
    <w:rsid w:val="00F1214E"/>
    <w:rsid w:val="00F12CDD"/>
    <w:rsid w:val="00F16128"/>
    <w:rsid w:val="00F161D2"/>
    <w:rsid w:val="00F20841"/>
    <w:rsid w:val="00F20896"/>
    <w:rsid w:val="00F2446D"/>
    <w:rsid w:val="00F245FA"/>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47081"/>
    <w:rsid w:val="00F47F87"/>
    <w:rsid w:val="00F52462"/>
    <w:rsid w:val="00F53850"/>
    <w:rsid w:val="00F542F8"/>
    <w:rsid w:val="00F61061"/>
    <w:rsid w:val="00F63179"/>
    <w:rsid w:val="00F63E7A"/>
    <w:rsid w:val="00F64A9E"/>
    <w:rsid w:val="00F6505F"/>
    <w:rsid w:val="00F655E3"/>
    <w:rsid w:val="00F65A7D"/>
    <w:rsid w:val="00F65D72"/>
    <w:rsid w:val="00F739AD"/>
    <w:rsid w:val="00F76B0E"/>
    <w:rsid w:val="00F7782E"/>
    <w:rsid w:val="00F77BD8"/>
    <w:rsid w:val="00F801C0"/>
    <w:rsid w:val="00F80559"/>
    <w:rsid w:val="00F8482C"/>
    <w:rsid w:val="00F84DCA"/>
    <w:rsid w:val="00F87F11"/>
    <w:rsid w:val="00F93799"/>
    <w:rsid w:val="00F94B22"/>
    <w:rsid w:val="00F95B39"/>
    <w:rsid w:val="00F968E3"/>
    <w:rsid w:val="00F97A8C"/>
    <w:rsid w:val="00FA0F28"/>
    <w:rsid w:val="00FA1AF3"/>
    <w:rsid w:val="00FA255B"/>
    <w:rsid w:val="00FA4A11"/>
    <w:rsid w:val="00FA6757"/>
    <w:rsid w:val="00FA6E14"/>
    <w:rsid w:val="00FB22D4"/>
    <w:rsid w:val="00FB3609"/>
    <w:rsid w:val="00FB551F"/>
    <w:rsid w:val="00FB6C4F"/>
    <w:rsid w:val="00FB7593"/>
    <w:rsid w:val="00FC1254"/>
    <w:rsid w:val="00FC33AA"/>
    <w:rsid w:val="00FC5217"/>
    <w:rsid w:val="00FC5EE8"/>
    <w:rsid w:val="00FD08A6"/>
    <w:rsid w:val="00FD20D1"/>
    <w:rsid w:val="00FD37BD"/>
    <w:rsid w:val="00FD5578"/>
    <w:rsid w:val="00FD783F"/>
    <w:rsid w:val="00FE189D"/>
    <w:rsid w:val="00FE28BC"/>
    <w:rsid w:val="00FE3A27"/>
    <w:rsid w:val="00FE6591"/>
    <w:rsid w:val="00FE6DB7"/>
    <w:rsid w:val="00FE7E9A"/>
    <w:rsid w:val="00FF07DB"/>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52974130">
      <w:bodyDiv w:val="1"/>
      <w:marLeft w:val="0"/>
      <w:marRight w:val="0"/>
      <w:marTop w:val="0"/>
      <w:marBottom w:val="0"/>
      <w:divBdr>
        <w:top w:val="none" w:sz="0" w:space="0" w:color="auto"/>
        <w:left w:val="none" w:sz="0" w:space="0" w:color="auto"/>
        <w:bottom w:val="none" w:sz="0" w:space="0" w:color="auto"/>
        <w:right w:val="none" w:sz="0" w:space="0" w:color="auto"/>
      </w:divBdr>
    </w:div>
    <w:div w:id="129826944">
      <w:bodyDiv w:val="1"/>
      <w:marLeft w:val="0"/>
      <w:marRight w:val="0"/>
      <w:marTop w:val="0"/>
      <w:marBottom w:val="0"/>
      <w:divBdr>
        <w:top w:val="none" w:sz="0" w:space="0" w:color="auto"/>
        <w:left w:val="none" w:sz="0" w:space="0" w:color="auto"/>
        <w:bottom w:val="none" w:sz="0" w:space="0" w:color="auto"/>
        <w:right w:val="none" w:sz="0" w:space="0" w:color="auto"/>
      </w:divBdr>
      <w:divsChild>
        <w:div w:id="354383267">
          <w:marLeft w:val="0"/>
          <w:marRight w:val="0"/>
          <w:marTop w:val="0"/>
          <w:marBottom w:val="0"/>
          <w:divBdr>
            <w:top w:val="none" w:sz="0" w:space="0" w:color="auto"/>
            <w:left w:val="none" w:sz="0" w:space="0" w:color="auto"/>
            <w:bottom w:val="none" w:sz="0" w:space="0" w:color="auto"/>
            <w:right w:val="none" w:sz="0" w:space="0" w:color="auto"/>
          </w:divBdr>
          <w:divsChild>
            <w:div w:id="335231588">
              <w:marLeft w:val="0"/>
              <w:marRight w:val="0"/>
              <w:marTop w:val="0"/>
              <w:marBottom w:val="0"/>
              <w:divBdr>
                <w:top w:val="none" w:sz="0" w:space="0" w:color="auto"/>
                <w:left w:val="none" w:sz="0" w:space="0" w:color="auto"/>
                <w:bottom w:val="none" w:sz="0" w:space="0" w:color="auto"/>
                <w:right w:val="none" w:sz="0" w:space="0" w:color="auto"/>
              </w:divBdr>
              <w:divsChild>
                <w:div w:id="1272592030">
                  <w:marLeft w:val="0"/>
                  <w:marRight w:val="0"/>
                  <w:marTop w:val="0"/>
                  <w:marBottom w:val="0"/>
                  <w:divBdr>
                    <w:top w:val="none" w:sz="0" w:space="0" w:color="auto"/>
                    <w:left w:val="none" w:sz="0" w:space="0" w:color="auto"/>
                    <w:bottom w:val="none" w:sz="0" w:space="0" w:color="auto"/>
                    <w:right w:val="none" w:sz="0" w:space="0" w:color="auto"/>
                  </w:divBdr>
                  <w:divsChild>
                    <w:div w:id="1057626299">
                      <w:marLeft w:val="0"/>
                      <w:marRight w:val="0"/>
                      <w:marTop w:val="0"/>
                      <w:marBottom w:val="0"/>
                      <w:divBdr>
                        <w:top w:val="none" w:sz="0" w:space="0" w:color="auto"/>
                        <w:left w:val="none" w:sz="0" w:space="0" w:color="auto"/>
                        <w:bottom w:val="none" w:sz="0" w:space="0" w:color="auto"/>
                        <w:right w:val="none" w:sz="0" w:space="0" w:color="auto"/>
                      </w:divBdr>
                      <w:divsChild>
                        <w:div w:id="817649838">
                          <w:marLeft w:val="0"/>
                          <w:marRight w:val="0"/>
                          <w:marTop w:val="0"/>
                          <w:marBottom w:val="0"/>
                          <w:divBdr>
                            <w:top w:val="none" w:sz="0" w:space="0" w:color="auto"/>
                            <w:left w:val="none" w:sz="0" w:space="0" w:color="auto"/>
                            <w:bottom w:val="none" w:sz="0" w:space="0" w:color="auto"/>
                            <w:right w:val="none" w:sz="0" w:space="0" w:color="auto"/>
                          </w:divBdr>
                          <w:divsChild>
                            <w:div w:id="699859903">
                              <w:marLeft w:val="0"/>
                              <w:marRight w:val="0"/>
                              <w:marTop w:val="0"/>
                              <w:marBottom w:val="0"/>
                              <w:divBdr>
                                <w:top w:val="none" w:sz="0" w:space="0" w:color="auto"/>
                                <w:left w:val="none" w:sz="0" w:space="0" w:color="auto"/>
                                <w:bottom w:val="none" w:sz="0" w:space="0" w:color="auto"/>
                                <w:right w:val="none" w:sz="0" w:space="0" w:color="auto"/>
                              </w:divBdr>
                              <w:divsChild>
                                <w:div w:id="814101609">
                                  <w:marLeft w:val="0"/>
                                  <w:marRight w:val="0"/>
                                  <w:marTop w:val="0"/>
                                  <w:marBottom w:val="0"/>
                                  <w:divBdr>
                                    <w:top w:val="none" w:sz="0" w:space="0" w:color="auto"/>
                                    <w:left w:val="none" w:sz="0" w:space="0" w:color="auto"/>
                                    <w:bottom w:val="none" w:sz="0" w:space="0" w:color="auto"/>
                                    <w:right w:val="none" w:sz="0" w:space="0" w:color="auto"/>
                                  </w:divBdr>
                                  <w:divsChild>
                                    <w:div w:id="1296762244">
                                      <w:marLeft w:val="0"/>
                                      <w:marRight w:val="0"/>
                                      <w:marTop w:val="0"/>
                                      <w:marBottom w:val="0"/>
                                      <w:divBdr>
                                        <w:top w:val="none" w:sz="0" w:space="0" w:color="auto"/>
                                        <w:left w:val="none" w:sz="0" w:space="0" w:color="auto"/>
                                        <w:bottom w:val="none" w:sz="0" w:space="0" w:color="auto"/>
                                        <w:right w:val="none" w:sz="0" w:space="0" w:color="auto"/>
                                      </w:divBdr>
                                      <w:divsChild>
                                        <w:div w:id="950822681">
                                          <w:marLeft w:val="0"/>
                                          <w:marRight w:val="0"/>
                                          <w:marTop w:val="0"/>
                                          <w:marBottom w:val="0"/>
                                          <w:divBdr>
                                            <w:top w:val="none" w:sz="0" w:space="0" w:color="auto"/>
                                            <w:left w:val="none" w:sz="0" w:space="0" w:color="auto"/>
                                            <w:bottom w:val="none" w:sz="0" w:space="0" w:color="auto"/>
                                            <w:right w:val="none" w:sz="0" w:space="0" w:color="auto"/>
                                          </w:divBdr>
                                          <w:divsChild>
                                            <w:div w:id="65977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6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154535961">
      <w:bodyDiv w:val="1"/>
      <w:marLeft w:val="0"/>
      <w:marRight w:val="0"/>
      <w:marTop w:val="0"/>
      <w:marBottom w:val="0"/>
      <w:divBdr>
        <w:top w:val="none" w:sz="0" w:space="0" w:color="auto"/>
        <w:left w:val="none" w:sz="0" w:space="0" w:color="auto"/>
        <w:bottom w:val="none" w:sz="0" w:space="0" w:color="auto"/>
        <w:right w:val="none" w:sz="0" w:space="0" w:color="auto"/>
      </w:divBdr>
    </w:div>
    <w:div w:id="165484436">
      <w:bodyDiv w:val="1"/>
      <w:marLeft w:val="0"/>
      <w:marRight w:val="0"/>
      <w:marTop w:val="0"/>
      <w:marBottom w:val="0"/>
      <w:divBdr>
        <w:top w:val="none" w:sz="0" w:space="0" w:color="auto"/>
        <w:left w:val="none" w:sz="0" w:space="0" w:color="auto"/>
        <w:bottom w:val="none" w:sz="0" w:space="0" w:color="auto"/>
        <w:right w:val="none" w:sz="0" w:space="0" w:color="auto"/>
      </w:divBdr>
    </w:div>
    <w:div w:id="188759503">
      <w:bodyDiv w:val="1"/>
      <w:marLeft w:val="0"/>
      <w:marRight w:val="0"/>
      <w:marTop w:val="0"/>
      <w:marBottom w:val="0"/>
      <w:divBdr>
        <w:top w:val="none" w:sz="0" w:space="0" w:color="auto"/>
        <w:left w:val="none" w:sz="0" w:space="0" w:color="auto"/>
        <w:bottom w:val="none" w:sz="0" w:space="0" w:color="auto"/>
        <w:right w:val="none" w:sz="0" w:space="0" w:color="auto"/>
      </w:divBdr>
    </w:div>
    <w:div w:id="209344331">
      <w:bodyDiv w:val="1"/>
      <w:marLeft w:val="0"/>
      <w:marRight w:val="0"/>
      <w:marTop w:val="0"/>
      <w:marBottom w:val="0"/>
      <w:divBdr>
        <w:top w:val="none" w:sz="0" w:space="0" w:color="auto"/>
        <w:left w:val="none" w:sz="0" w:space="0" w:color="auto"/>
        <w:bottom w:val="none" w:sz="0" w:space="0" w:color="auto"/>
        <w:right w:val="none" w:sz="0" w:space="0" w:color="auto"/>
      </w:divBdr>
    </w:div>
    <w:div w:id="211112149">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80915848">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371659038">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453670838">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0832458">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995377969">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6002660">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10137983">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36415316">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365181098">
      <w:bodyDiv w:val="1"/>
      <w:marLeft w:val="0"/>
      <w:marRight w:val="0"/>
      <w:marTop w:val="0"/>
      <w:marBottom w:val="0"/>
      <w:divBdr>
        <w:top w:val="none" w:sz="0" w:space="0" w:color="auto"/>
        <w:left w:val="none" w:sz="0" w:space="0" w:color="auto"/>
        <w:bottom w:val="none" w:sz="0" w:space="0" w:color="auto"/>
        <w:right w:val="none" w:sz="0" w:space="0" w:color="auto"/>
      </w:divBdr>
    </w:div>
    <w:div w:id="1495489361">
      <w:bodyDiv w:val="1"/>
      <w:marLeft w:val="0"/>
      <w:marRight w:val="0"/>
      <w:marTop w:val="0"/>
      <w:marBottom w:val="0"/>
      <w:divBdr>
        <w:top w:val="none" w:sz="0" w:space="0" w:color="auto"/>
        <w:left w:val="none" w:sz="0" w:space="0" w:color="auto"/>
        <w:bottom w:val="none" w:sz="0" w:space="0" w:color="auto"/>
        <w:right w:val="none" w:sz="0" w:space="0" w:color="auto"/>
      </w:divBdr>
    </w:div>
    <w:div w:id="1500998809">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02373042">
      <w:bodyDiv w:val="1"/>
      <w:marLeft w:val="0"/>
      <w:marRight w:val="0"/>
      <w:marTop w:val="0"/>
      <w:marBottom w:val="0"/>
      <w:divBdr>
        <w:top w:val="none" w:sz="0" w:space="0" w:color="auto"/>
        <w:left w:val="none" w:sz="0" w:space="0" w:color="auto"/>
        <w:bottom w:val="none" w:sz="0" w:space="0" w:color="auto"/>
        <w:right w:val="none" w:sz="0" w:space="0" w:color="auto"/>
      </w:divBdr>
    </w:div>
    <w:div w:id="1643000407">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799945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005624805">
      <w:bodyDiv w:val="1"/>
      <w:marLeft w:val="0"/>
      <w:marRight w:val="0"/>
      <w:marTop w:val="0"/>
      <w:marBottom w:val="0"/>
      <w:divBdr>
        <w:top w:val="none" w:sz="0" w:space="0" w:color="auto"/>
        <w:left w:val="none" w:sz="0" w:space="0" w:color="auto"/>
        <w:bottom w:val="none" w:sz="0" w:space="0" w:color="auto"/>
        <w:right w:val="none" w:sz="0" w:space="0" w:color="auto"/>
      </w:divBdr>
    </w:div>
    <w:div w:id="205699962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nkedin.com/company/1066815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okpointy/" TargetMode="External"/><Relationship Id="rId5" Type="http://schemas.openxmlformats.org/officeDocument/2006/relationships/webSettings" Target="webSettings.xml"/><Relationship Id="rId15" Type="http://schemas.openxmlformats.org/officeDocument/2006/relationships/hyperlink" Target="mailto:lenka.kuzelova@bcas.cz" TargetMode="External"/><Relationship Id="rId10" Type="http://schemas.openxmlformats.org/officeDocument/2006/relationships/hyperlink" Target="https://www.linkedin.com/company/78654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acebook.com/Broker.Consulting/" TargetMode="External"/><Relationship Id="rId14" Type="http://schemas.openxmlformats.org/officeDocument/2006/relationships/hyperlink" Target="https://bcas.cz/pro-media/detail-indexu-broker-consulting-povinde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4DE77-539F-4489-9AC0-4B010D4F6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1367</TotalTime>
  <Pages>3</Pages>
  <Words>977</Words>
  <Characters>5766</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10</cp:revision>
  <dcterms:created xsi:type="dcterms:W3CDTF">2026-01-12T09:34:00Z</dcterms:created>
  <dcterms:modified xsi:type="dcterms:W3CDTF">2026-01-21T10:08:00Z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