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highlight w:val="yellow"/>
        </w:rPr>
        <w:id w:val="120037484"/>
        <w:docPartObj>
          <w:docPartGallery w:val="Cover Pages"/>
          <w:docPartUnique/>
        </w:docPartObj>
      </w:sdtPr>
      <w:sdtEndPr>
        <w:rPr>
          <w:b/>
          <w:sz w:val="20"/>
          <w:szCs w:val="20"/>
        </w:rPr>
      </w:sdtEndPr>
      <w:sdtContent>
        <w:p w14:paraId="718E6546" w14:textId="3DEA865B" w:rsidR="00D80B6D" w:rsidRPr="002C00F6" w:rsidRDefault="00D80B6D">
          <w:pPr>
            <w:rPr>
              <w:rFonts w:asciiTheme="minorHAnsi" w:hAnsiTheme="minorHAnsi" w:cstheme="minorHAnsi"/>
              <w:highlight w:val="yellow"/>
            </w:rPr>
          </w:pPr>
        </w:p>
        <w:p w14:paraId="7ED014A1" w14:textId="77777777" w:rsidR="00D80B6D" w:rsidRPr="002C00F6" w:rsidRDefault="00D80B6D" w:rsidP="00D80B6D">
          <w:pPr>
            <w:pStyle w:val="Nadpis3"/>
            <w:spacing w:before="10"/>
            <w:rPr>
              <w:rFonts w:asciiTheme="minorHAnsi" w:hAnsiTheme="minorHAnsi" w:cstheme="minorHAnsi"/>
              <w:color w:val="1D1D1B"/>
              <w:highlight w:val="yellow"/>
            </w:rPr>
          </w:pPr>
        </w:p>
        <w:p w14:paraId="0FB45B67" w14:textId="77777777" w:rsidR="00D80B6D" w:rsidRPr="002C00F6" w:rsidRDefault="00D80B6D" w:rsidP="00D80B6D">
          <w:pPr>
            <w:spacing w:before="230"/>
            <w:ind w:left="165"/>
            <w:jc w:val="center"/>
            <w:rPr>
              <w:rFonts w:asciiTheme="minorHAnsi" w:hAnsiTheme="minorHAnsi" w:cstheme="minorHAnsi"/>
              <w:color w:val="CD1719"/>
              <w:sz w:val="24"/>
            </w:rPr>
          </w:pPr>
          <w:r w:rsidRPr="002C00F6">
            <w:rPr>
              <w:rFonts w:asciiTheme="minorHAnsi" w:hAnsiTheme="minorHAnsi" w:cstheme="minorHAnsi"/>
              <w:color w:val="1D1D1B"/>
              <w:sz w:val="24"/>
            </w:rPr>
            <w:t xml:space="preserve">INDEX HYPOTEČNÍCH ÚVĚRŮ </w:t>
          </w:r>
          <w:r w:rsidRPr="002C00F6">
            <w:rPr>
              <w:rFonts w:asciiTheme="minorHAnsi" w:hAnsiTheme="minorHAnsi" w:cstheme="minorHAnsi"/>
              <w:color w:val="CD1719"/>
              <w:sz w:val="24"/>
            </w:rPr>
            <w:t xml:space="preserve">| </w:t>
          </w:r>
          <w:r w:rsidRPr="002C00F6">
            <w:rPr>
              <w:rFonts w:asciiTheme="minorHAnsi" w:hAnsiTheme="minorHAnsi" w:cstheme="minorHAnsi"/>
              <w:color w:val="1D1D1B"/>
              <w:sz w:val="24"/>
            </w:rPr>
            <w:t xml:space="preserve">FIXINDEX </w:t>
          </w:r>
        </w:p>
        <w:p w14:paraId="6D3B5ACD" w14:textId="14F47C98" w:rsidR="00BC331D" w:rsidRPr="002C00F6" w:rsidRDefault="00BC331D"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REALINDEX</w:t>
          </w:r>
        </w:p>
        <w:p w14:paraId="32900BCE" w14:textId="16FEEC9E" w:rsidR="00D80B6D" w:rsidRPr="002C00F6" w:rsidRDefault="00A252BA"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POV</w:t>
          </w:r>
          <w:r w:rsidR="00D80B6D" w:rsidRPr="002C00F6">
            <w:rPr>
              <w:rFonts w:asciiTheme="minorHAnsi" w:hAnsiTheme="minorHAnsi" w:cstheme="minorHAnsi"/>
              <w:color w:val="1D1D1B"/>
              <w:sz w:val="24"/>
            </w:rPr>
            <w:t xml:space="preserve">INDEX </w:t>
          </w:r>
        </w:p>
        <w:p w14:paraId="35B1FBE8" w14:textId="77777777" w:rsidR="00BC331D" w:rsidRPr="002C00F6" w:rsidRDefault="00BC331D" w:rsidP="00BC331D">
          <w:pPr>
            <w:spacing w:before="240" w:line="288" w:lineRule="exact"/>
            <w:ind w:left="162"/>
            <w:jc w:val="center"/>
            <w:rPr>
              <w:rFonts w:asciiTheme="minorHAnsi" w:hAnsiTheme="minorHAnsi" w:cstheme="minorHAnsi"/>
              <w:color w:val="1D1D1B"/>
              <w:sz w:val="24"/>
            </w:rPr>
          </w:pPr>
          <w:r w:rsidRPr="002C00F6">
            <w:rPr>
              <w:rFonts w:asciiTheme="minorHAnsi" w:hAnsiTheme="minorHAnsi" w:cstheme="minorHAnsi"/>
              <w:color w:val="1D1D1B"/>
              <w:sz w:val="24"/>
            </w:rPr>
            <w:t>INDEX PODÍLOVÝCH FONDŮ</w:t>
          </w:r>
        </w:p>
        <w:p w14:paraId="5B21B8A6" w14:textId="616329FC" w:rsidR="00D80B6D" w:rsidRPr="002C00F6" w:rsidRDefault="00D80B6D" w:rsidP="00BC331D">
          <w:pPr>
            <w:spacing w:before="230"/>
            <w:jc w:val="center"/>
            <w:rPr>
              <w:rFonts w:asciiTheme="minorHAnsi" w:hAnsiTheme="minorHAnsi" w:cstheme="minorHAnsi"/>
              <w:b/>
              <w:color w:val="CD1719"/>
              <w:sz w:val="24"/>
            </w:rPr>
          </w:pPr>
          <w:r w:rsidRPr="002C00F6">
            <w:rPr>
              <w:rFonts w:asciiTheme="minorHAnsi" w:hAnsiTheme="minorHAnsi" w:cstheme="minorHAnsi"/>
              <w:b/>
              <w:color w:val="1D1D1B"/>
              <w:sz w:val="24"/>
            </w:rPr>
            <w:t>INDEX SPOTŘEBITELSKÝCH ÚVĚRŮ</w:t>
          </w:r>
        </w:p>
        <w:p w14:paraId="1FCC0C9E" w14:textId="77777777" w:rsidR="00D80B6D" w:rsidRPr="002C00F6" w:rsidRDefault="00D80B6D" w:rsidP="00D80B6D">
          <w:pPr>
            <w:pStyle w:val="Zkladntext"/>
            <w:spacing w:before="240"/>
            <w:rPr>
              <w:rFonts w:asciiTheme="minorHAnsi" w:hAnsiTheme="minorHAnsi" w:cstheme="minorHAnsi"/>
              <w:sz w:val="20"/>
              <w:highlight w:val="yellow"/>
            </w:rPr>
          </w:pPr>
        </w:p>
        <w:p w14:paraId="720CCDBB" w14:textId="77777777" w:rsidR="00D80B6D" w:rsidRPr="002C00F6" w:rsidRDefault="00D80B6D" w:rsidP="00D80B6D">
          <w:pPr>
            <w:pStyle w:val="Zkladntext"/>
            <w:spacing w:before="240"/>
            <w:rPr>
              <w:rFonts w:asciiTheme="minorHAnsi" w:hAnsiTheme="minorHAnsi" w:cstheme="minorHAnsi"/>
              <w:sz w:val="20"/>
              <w:highlight w:val="yellow"/>
            </w:rPr>
          </w:pPr>
        </w:p>
        <w:p w14:paraId="703D71F2" w14:textId="77777777" w:rsidR="00D80B6D" w:rsidRPr="002C00F6" w:rsidRDefault="00D80B6D" w:rsidP="00D80B6D">
          <w:pPr>
            <w:pStyle w:val="Zkladntext"/>
            <w:rPr>
              <w:rFonts w:asciiTheme="minorHAnsi" w:hAnsiTheme="minorHAnsi" w:cstheme="minorHAnsi"/>
              <w:sz w:val="20"/>
              <w:highlight w:val="yellow"/>
            </w:rPr>
          </w:pPr>
        </w:p>
        <w:p w14:paraId="00494A3A" w14:textId="77777777" w:rsidR="00D80B6D" w:rsidRPr="002C00F6" w:rsidRDefault="00D80B6D" w:rsidP="00D80B6D">
          <w:pPr>
            <w:pStyle w:val="Zkladntext"/>
            <w:rPr>
              <w:rFonts w:asciiTheme="minorHAnsi" w:hAnsiTheme="minorHAnsi" w:cstheme="minorHAnsi"/>
              <w:sz w:val="20"/>
              <w:highlight w:val="yellow"/>
            </w:rPr>
          </w:pPr>
          <w:r w:rsidRPr="002C00F6">
            <w:rPr>
              <w:rFonts w:asciiTheme="minorHAnsi" w:hAnsiTheme="minorHAnsi" w:cstheme="minorHAnsi"/>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2C00F6" w:rsidRDefault="00D80B6D" w:rsidP="00D80B6D">
          <w:pPr>
            <w:pStyle w:val="Zkladntext"/>
            <w:rPr>
              <w:rFonts w:asciiTheme="minorHAnsi" w:hAnsiTheme="minorHAnsi" w:cstheme="minorHAnsi"/>
              <w:sz w:val="20"/>
              <w:highlight w:val="yellow"/>
            </w:rPr>
          </w:pPr>
        </w:p>
        <w:p w14:paraId="2A5F355C" w14:textId="77777777" w:rsidR="00D80B6D" w:rsidRPr="002C00F6" w:rsidRDefault="00D80B6D" w:rsidP="00D80B6D">
          <w:pPr>
            <w:pStyle w:val="Zkladntext"/>
            <w:rPr>
              <w:rFonts w:asciiTheme="minorHAnsi" w:hAnsiTheme="minorHAnsi" w:cstheme="minorHAnsi"/>
              <w:sz w:val="20"/>
              <w:highlight w:val="yellow"/>
            </w:rPr>
          </w:pPr>
        </w:p>
        <w:p w14:paraId="218EE6CB" w14:textId="77777777" w:rsidR="00D80B6D" w:rsidRPr="002C00F6" w:rsidRDefault="00D80B6D" w:rsidP="00D80B6D">
          <w:pPr>
            <w:pStyle w:val="Zkladntext"/>
            <w:rPr>
              <w:rFonts w:asciiTheme="minorHAnsi" w:hAnsiTheme="minorHAnsi" w:cstheme="minorHAnsi"/>
              <w:sz w:val="20"/>
              <w:highlight w:val="yellow"/>
            </w:rPr>
          </w:pPr>
        </w:p>
        <w:p w14:paraId="0238B3AB" w14:textId="77777777" w:rsidR="00D80B6D" w:rsidRPr="002C00F6" w:rsidRDefault="00D80B6D" w:rsidP="00D80B6D">
          <w:pPr>
            <w:pStyle w:val="Zkladntext"/>
            <w:rPr>
              <w:rFonts w:asciiTheme="minorHAnsi" w:hAnsiTheme="minorHAnsi" w:cstheme="minorHAnsi"/>
              <w:sz w:val="20"/>
              <w:highlight w:val="yellow"/>
            </w:rPr>
          </w:pPr>
        </w:p>
        <w:p w14:paraId="54516A42" w14:textId="77777777" w:rsidR="00D80B6D" w:rsidRPr="002C00F6" w:rsidRDefault="00D80B6D" w:rsidP="00D80B6D">
          <w:pPr>
            <w:pStyle w:val="Zkladntext"/>
            <w:rPr>
              <w:rFonts w:asciiTheme="minorHAnsi" w:hAnsiTheme="minorHAnsi" w:cstheme="minorHAnsi"/>
              <w:sz w:val="20"/>
              <w:highlight w:val="yellow"/>
            </w:rPr>
          </w:pPr>
        </w:p>
        <w:p w14:paraId="5266363A" w14:textId="77777777" w:rsidR="00D80B6D" w:rsidRPr="002C00F6" w:rsidRDefault="00D80B6D" w:rsidP="00D80B6D">
          <w:pPr>
            <w:pStyle w:val="Zkladntext"/>
            <w:rPr>
              <w:rFonts w:asciiTheme="minorHAnsi" w:hAnsiTheme="minorHAnsi" w:cstheme="minorHAnsi"/>
              <w:sz w:val="20"/>
              <w:highlight w:val="yellow"/>
            </w:rPr>
          </w:pPr>
        </w:p>
        <w:p w14:paraId="363B2E28" w14:textId="77777777" w:rsidR="00D80B6D" w:rsidRPr="002C00F6" w:rsidRDefault="00D80B6D" w:rsidP="00D80B6D">
          <w:pPr>
            <w:pStyle w:val="Zkladntext"/>
            <w:rPr>
              <w:rFonts w:asciiTheme="minorHAnsi" w:hAnsiTheme="minorHAnsi" w:cstheme="minorHAnsi"/>
              <w:sz w:val="20"/>
              <w:highlight w:val="yellow"/>
            </w:rPr>
          </w:pPr>
        </w:p>
        <w:p w14:paraId="17667B44" w14:textId="77777777" w:rsidR="00D80B6D" w:rsidRPr="002C00F6" w:rsidRDefault="00D80B6D" w:rsidP="00D80B6D">
          <w:pPr>
            <w:pStyle w:val="Zkladntext"/>
            <w:jc w:val="both"/>
            <w:rPr>
              <w:rFonts w:asciiTheme="minorHAnsi" w:hAnsiTheme="minorHAnsi" w:cstheme="minorHAnsi"/>
              <w:color w:val="FFFFFF" w:themeColor="background1"/>
              <w:sz w:val="20"/>
              <w:highlight w:val="yellow"/>
            </w:rPr>
          </w:pPr>
        </w:p>
        <w:p w14:paraId="5193A529" w14:textId="77777777" w:rsidR="00D80B6D" w:rsidRPr="002C00F6" w:rsidRDefault="00D80B6D" w:rsidP="00D80B6D">
          <w:pPr>
            <w:pStyle w:val="Zkladntext"/>
            <w:jc w:val="both"/>
            <w:rPr>
              <w:rFonts w:asciiTheme="minorHAnsi" w:hAnsiTheme="minorHAnsi" w:cstheme="minorHAnsi"/>
              <w:b/>
              <w:sz w:val="20"/>
              <w:highlight w:val="yellow"/>
            </w:rPr>
          </w:pPr>
        </w:p>
        <w:p w14:paraId="2833FE59" w14:textId="77777777" w:rsidR="00D80B6D" w:rsidRPr="002C00F6" w:rsidRDefault="00D80B6D" w:rsidP="00D80B6D">
          <w:pPr>
            <w:pStyle w:val="Zkladntext"/>
            <w:jc w:val="both"/>
            <w:rPr>
              <w:rFonts w:asciiTheme="minorHAnsi" w:hAnsiTheme="minorHAnsi" w:cstheme="minorHAnsi"/>
              <w:b/>
              <w:sz w:val="20"/>
              <w:highlight w:val="yellow"/>
            </w:rPr>
          </w:pPr>
        </w:p>
        <w:p w14:paraId="6DB157BF" w14:textId="77777777" w:rsidR="00D80B6D" w:rsidRPr="002C00F6" w:rsidRDefault="00D80B6D" w:rsidP="00D80B6D">
          <w:pPr>
            <w:pStyle w:val="Zkladntext"/>
            <w:jc w:val="both"/>
            <w:rPr>
              <w:rFonts w:asciiTheme="minorHAnsi" w:hAnsiTheme="minorHAnsi" w:cstheme="minorHAnsi"/>
              <w:b/>
              <w:sz w:val="20"/>
              <w:highlight w:val="yellow"/>
            </w:rPr>
          </w:pPr>
        </w:p>
        <w:p w14:paraId="47803C2A" w14:textId="77777777" w:rsidR="00D80B6D" w:rsidRPr="002C00F6" w:rsidRDefault="00D80B6D" w:rsidP="00D80B6D">
          <w:pPr>
            <w:pStyle w:val="Zkladntext"/>
            <w:jc w:val="both"/>
            <w:rPr>
              <w:rFonts w:asciiTheme="minorHAnsi" w:hAnsiTheme="minorHAnsi" w:cstheme="minorHAnsi"/>
              <w:b/>
              <w:sz w:val="20"/>
              <w:highlight w:val="yellow"/>
            </w:rPr>
          </w:pPr>
        </w:p>
        <w:p w14:paraId="1D90E1D0" w14:textId="77777777" w:rsidR="00D80B6D" w:rsidRPr="002C00F6" w:rsidRDefault="00D80B6D" w:rsidP="00D80B6D">
          <w:pPr>
            <w:pStyle w:val="Zkladntext"/>
            <w:jc w:val="both"/>
            <w:rPr>
              <w:rFonts w:asciiTheme="minorHAnsi" w:hAnsiTheme="minorHAnsi" w:cstheme="minorHAnsi"/>
              <w:b/>
              <w:sz w:val="20"/>
              <w:highlight w:val="yellow"/>
            </w:rPr>
          </w:pPr>
        </w:p>
        <w:p w14:paraId="5A33B823" w14:textId="77777777" w:rsidR="00D80B6D" w:rsidRPr="002C00F6" w:rsidRDefault="00D80B6D" w:rsidP="00D80B6D">
          <w:pPr>
            <w:pStyle w:val="Zkladntext"/>
            <w:jc w:val="both"/>
            <w:rPr>
              <w:rFonts w:asciiTheme="minorHAnsi" w:hAnsiTheme="minorHAnsi" w:cstheme="minorHAnsi"/>
              <w:b/>
              <w:sz w:val="20"/>
              <w:highlight w:val="yellow"/>
            </w:rPr>
          </w:pPr>
        </w:p>
        <w:p w14:paraId="0D2BECD0" w14:textId="77777777" w:rsidR="00D80B6D" w:rsidRPr="002C00F6" w:rsidRDefault="00D80B6D" w:rsidP="00D80B6D">
          <w:pPr>
            <w:pStyle w:val="Zkladntext"/>
            <w:jc w:val="both"/>
            <w:rPr>
              <w:rFonts w:asciiTheme="minorHAnsi" w:hAnsiTheme="minorHAnsi" w:cstheme="minorHAnsi"/>
              <w:b/>
              <w:sz w:val="20"/>
              <w:highlight w:val="yellow"/>
            </w:rPr>
          </w:pPr>
        </w:p>
        <w:p w14:paraId="69288FB9" w14:textId="77777777" w:rsidR="00D80B6D" w:rsidRPr="002C00F6" w:rsidRDefault="00D80B6D" w:rsidP="00D80B6D">
          <w:pPr>
            <w:pStyle w:val="Zkladntext"/>
            <w:jc w:val="both"/>
            <w:rPr>
              <w:rFonts w:asciiTheme="minorHAnsi" w:hAnsiTheme="minorHAnsi" w:cstheme="minorHAnsi"/>
              <w:b/>
              <w:sz w:val="20"/>
              <w:highlight w:val="yellow"/>
            </w:rPr>
          </w:pPr>
        </w:p>
        <w:p w14:paraId="541E93D5" w14:textId="77777777" w:rsidR="00D80B6D" w:rsidRPr="002C00F6" w:rsidRDefault="00D80B6D" w:rsidP="00D80B6D">
          <w:pPr>
            <w:pStyle w:val="Zkladntext"/>
            <w:jc w:val="both"/>
            <w:rPr>
              <w:rFonts w:asciiTheme="minorHAnsi" w:hAnsiTheme="minorHAnsi" w:cstheme="minorHAnsi"/>
              <w:b/>
              <w:sz w:val="20"/>
              <w:highlight w:val="yellow"/>
            </w:rPr>
          </w:pPr>
        </w:p>
        <w:p w14:paraId="341A343C" w14:textId="77777777" w:rsidR="00D80B6D" w:rsidRPr="002C00F6" w:rsidRDefault="00D80B6D" w:rsidP="00D80B6D">
          <w:pPr>
            <w:pStyle w:val="Zkladntext"/>
            <w:jc w:val="both"/>
            <w:rPr>
              <w:rFonts w:asciiTheme="minorHAnsi" w:hAnsiTheme="minorHAnsi" w:cstheme="minorHAnsi"/>
              <w:b/>
              <w:sz w:val="20"/>
              <w:highlight w:val="yellow"/>
            </w:rPr>
          </w:pPr>
        </w:p>
        <w:p w14:paraId="6C52C42D" w14:textId="77777777" w:rsidR="00D80B6D" w:rsidRPr="002C00F6" w:rsidRDefault="00D80B6D" w:rsidP="00D80B6D">
          <w:pPr>
            <w:pStyle w:val="Zkladntext"/>
            <w:jc w:val="both"/>
            <w:rPr>
              <w:rFonts w:asciiTheme="minorHAnsi" w:hAnsiTheme="minorHAnsi" w:cstheme="minorHAnsi"/>
              <w:b/>
              <w:sz w:val="20"/>
              <w:highlight w:val="yellow"/>
            </w:rPr>
          </w:pPr>
        </w:p>
        <w:p w14:paraId="3E3CDF25" w14:textId="77777777" w:rsidR="00D80B6D" w:rsidRPr="002C00F6" w:rsidRDefault="00D80B6D" w:rsidP="00D80B6D">
          <w:pPr>
            <w:pStyle w:val="Zkladntext"/>
            <w:jc w:val="both"/>
            <w:rPr>
              <w:rFonts w:asciiTheme="minorHAnsi" w:hAnsiTheme="minorHAnsi" w:cstheme="minorHAnsi"/>
              <w:b/>
              <w:sz w:val="20"/>
              <w:highlight w:val="yellow"/>
            </w:rPr>
          </w:pPr>
        </w:p>
        <w:p w14:paraId="40495E64" w14:textId="77777777" w:rsidR="00D80B6D" w:rsidRPr="002C00F6" w:rsidRDefault="00D80B6D" w:rsidP="00D80B6D">
          <w:pPr>
            <w:pStyle w:val="Zkladntext"/>
            <w:jc w:val="both"/>
            <w:rPr>
              <w:rFonts w:asciiTheme="minorHAnsi" w:hAnsiTheme="minorHAnsi" w:cstheme="minorHAnsi"/>
              <w:b/>
              <w:sz w:val="20"/>
              <w:highlight w:val="yellow"/>
            </w:rPr>
          </w:pPr>
        </w:p>
        <w:p w14:paraId="59B6F4E6" w14:textId="77777777" w:rsidR="00D80B6D" w:rsidRPr="002C00F6" w:rsidRDefault="00D80B6D" w:rsidP="00D80B6D">
          <w:pPr>
            <w:pStyle w:val="Zkladntext"/>
            <w:jc w:val="both"/>
            <w:rPr>
              <w:rFonts w:asciiTheme="minorHAnsi" w:hAnsiTheme="minorHAnsi" w:cstheme="minorHAnsi"/>
              <w:b/>
              <w:sz w:val="20"/>
              <w:highlight w:val="yellow"/>
            </w:rPr>
          </w:pPr>
        </w:p>
        <w:p w14:paraId="5ADDFBD6" w14:textId="77777777" w:rsidR="00D80B6D" w:rsidRPr="002C00F6" w:rsidRDefault="00D80B6D" w:rsidP="00D80B6D">
          <w:pPr>
            <w:pStyle w:val="Zkladntext"/>
            <w:jc w:val="both"/>
            <w:rPr>
              <w:rFonts w:asciiTheme="minorHAnsi" w:hAnsiTheme="minorHAnsi" w:cstheme="minorHAnsi"/>
              <w:b/>
              <w:sz w:val="20"/>
              <w:highlight w:val="yellow"/>
            </w:rPr>
          </w:pPr>
        </w:p>
        <w:p w14:paraId="1CB27DF8" w14:textId="77777777" w:rsidR="007B358E" w:rsidRPr="002C00F6" w:rsidRDefault="007B358E" w:rsidP="00D80B6D">
          <w:pPr>
            <w:pStyle w:val="Zkladntext"/>
            <w:jc w:val="both"/>
            <w:rPr>
              <w:rFonts w:asciiTheme="minorHAnsi" w:hAnsiTheme="minorHAnsi" w:cstheme="minorHAnsi"/>
              <w:b/>
              <w:sz w:val="20"/>
              <w:highlight w:val="yellow"/>
            </w:rPr>
          </w:pPr>
        </w:p>
        <w:p w14:paraId="3A61C564" w14:textId="77777777" w:rsidR="0068617E" w:rsidRPr="002C00F6" w:rsidRDefault="0068617E" w:rsidP="00D80B6D">
          <w:pPr>
            <w:pStyle w:val="Zkladntext"/>
            <w:jc w:val="both"/>
            <w:rPr>
              <w:rFonts w:asciiTheme="minorHAnsi" w:hAnsiTheme="minorHAnsi" w:cstheme="minorHAnsi"/>
              <w:b/>
              <w:sz w:val="20"/>
              <w:highlight w:val="yellow"/>
            </w:rPr>
          </w:pPr>
        </w:p>
        <w:p w14:paraId="1414E639" w14:textId="77777777" w:rsidR="0068617E" w:rsidRPr="002C00F6" w:rsidRDefault="0068617E" w:rsidP="00D80B6D">
          <w:pPr>
            <w:pStyle w:val="Zkladntext"/>
            <w:jc w:val="both"/>
            <w:rPr>
              <w:rFonts w:asciiTheme="minorHAnsi" w:hAnsiTheme="minorHAnsi" w:cstheme="minorHAnsi"/>
              <w:b/>
              <w:sz w:val="20"/>
              <w:highlight w:val="yellow"/>
            </w:rPr>
          </w:pPr>
        </w:p>
        <w:p w14:paraId="11132A3F" w14:textId="53DE594E" w:rsidR="00D80B6D" w:rsidRPr="002C00F6" w:rsidRDefault="00D80B6D" w:rsidP="00D80B6D">
          <w:pPr>
            <w:pStyle w:val="Zkladntext"/>
            <w:jc w:val="both"/>
            <w:rPr>
              <w:rFonts w:asciiTheme="minorHAnsi" w:hAnsiTheme="minorHAnsi" w:cstheme="minorHAnsi"/>
              <w:b/>
              <w:sz w:val="20"/>
            </w:rPr>
          </w:pPr>
          <w:r w:rsidRPr="002C00F6">
            <w:rPr>
              <w:rFonts w:asciiTheme="minorHAnsi" w:hAnsiTheme="minorHAnsi" w:cstheme="minorHAnsi"/>
              <w:b/>
              <w:sz w:val="20"/>
            </w:rPr>
            <w:t>O společnosti Broker Consulting</w:t>
          </w:r>
        </w:p>
        <w:p w14:paraId="27485CC6" w14:textId="77777777" w:rsidR="00D80B6D" w:rsidRPr="002C00F6" w:rsidRDefault="00D80B6D" w:rsidP="00D80B6D">
          <w:pPr>
            <w:jc w:val="both"/>
            <w:rPr>
              <w:rFonts w:asciiTheme="minorHAnsi" w:hAnsiTheme="minorHAnsi" w:cstheme="minorHAnsi"/>
              <w:sz w:val="20"/>
            </w:rPr>
          </w:pPr>
        </w:p>
        <w:p w14:paraId="36418F0F" w14:textId="6B62FFBE" w:rsidR="007F5903" w:rsidRPr="002C00F6" w:rsidRDefault="007F5903" w:rsidP="007F5903">
          <w:pPr>
            <w:jc w:val="both"/>
            <w:rPr>
              <w:rStyle w:val="dn"/>
              <w:rFonts w:asciiTheme="minorHAnsi" w:hAnsiTheme="minorHAnsi" w:cstheme="minorHAnsi"/>
              <w:sz w:val="20"/>
              <w:szCs w:val="20"/>
            </w:rPr>
          </w:pPr>
          <w:r w:rsidRPr="002C00F6">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sidRPr="002C00F6">
            <w:rPr>
              <w:rFonts w:asciiTheme="minorHAnsi" w:hAnsiTheme="minorHAnsi" w:cstheme="minorHAnsi"/>
              <w:sz w:val="20"/>
              <w:szCs w:val="20"/>
            </w:rPr>
            <w:t>u 1998 získala důvěru více než 7</w:t>
          </w:r>
          <w:r w:rsidRPr="002C00F6">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2C00F6">
            <w:rPr>
              <w:rFonts w:asciiTheme="minorHAnsi" w:hAnsiTheme="minorHAnsi" w:cstheme="minorHAnsi"/>
              <w:b/>
              <w:color w:val="FF0000"/>
              <w:sz w:val="20"/>
              <w:szCs w:val="20"/>
            </w:rPr>
            <w:t>Franchisor roku 2022</w:t>
          </w:r>
          <w:r w:rsidRPr="002C00F6">
            <w:rPr>
              <w:rFonts w:asciiTheme="minorHAnsi" w:hAnsiTheme="minorHAnsi" w:cstheme="minorHAnsi"/>
              <w:color w:val="FF0000"/>
              <w:sz w:val="20"/>
              <w:szCs w:val="20"/>
            </w:rPr>
            <w:t xml:space="preserve"> </w:t>
          </w:r>
          <w:r w:rsidRPr="002C00F6">
            <w:rPr>
              <w:rFonts w:asciiTheme="minorHAnsi" w:hAnsiTheme="minorHAnsi" w:cstheme="minorHAnsi"/>
              <w:sz w:val="20"/>
              <w:szCs w:val="20"/>
            </w:rPr>
            <w:t xml:space="preserve">od České asociace franchisingu. </w:t>
          </w:r>
          <w:r w:rsidRPr="002C00F6">
            <w:rPr>
              <w:rStyle w:val="dn"/>
              <w:rFonts w:asciiTheme="minorHAnsi" w:hAnsiTheme="minorHAnsi" w:cstheme="minorHAnsi"/>
              <w:sz w:val="20"/>
              <w:szCs w:val="20"/>
            </w:rPr>
            <w:t xml:space="preserve">Více na </w:t>
          </w:r>
          <w:hyperlink r:id="rId9" w:history="1">
            <w:r w:rsidRPr="002C00F6">
              <w:rPr>
                <w:rStyle w:val="Hypertextovodkaz"/>
                <w:rFonts w:asciiTheme="minorHAnsi" w:hAnsiTheme="minorHAnsi" w:cstheme="minorHAnsi"/>
                <w:sz w:val="20"/>
                <w:szCs w:val="20"/>
              </w:rPr>
              <w:t>bcas.cz</w:t>
            </w:r>
          </w:hyperlink>
          <w:r w:rsidRPr="002C00F6">
            <w:rPr>
              <w:rStyle w:val="Hypertextovodkaz"/>
              <w:rFonts w:asciiTheme="minorHAnsi" w:hAnsiTheme="minorHAnsi" w:cstheme="minorHAnsi"/>
              <w:sz w:val="20"/>
              <w:szCs w:val="20"/>
            </w:rPr>
            <w:t xml:space="preserve">, </w:t>
          </w:r>
          <w:hyperlink r:id="rId10" w:history="1">
            <w:r w:rsidRPr="002C00F6">
              <w:rPr>
                <w:rStyle w:val="Hypertextovodkaz"/>
                <w:rFonts w:asciiTheme="minorHAnsi" w:hAnsiTheme="minorHAnsi" w:cstheme="minorHAnsi"/>
                <w:sz w:val="20"/>
                <w:szCs w:val="20"/>
              </w:rPr>
              <w:t>brokerpointy.cz</w:t>
            </w:r>
          </w:hyperlink>
          <w:r w:rsidRPr="002C00F6">
            <w:rPr>
              <w:rStyle w:val="Hypertextovodkaz"/>
              <w:rFonts w:asciiTheme="minorHAnsi" w:hAnsiTheme="minorHAnsi" w:cstheme="minorHAnsi"/>
              <w:sz w:val="20"/>
              <w:szCs w:val="20"/>
            </w:rPr>
            <w:t>, brokerpoint</w:t>
          </w:r>
          <w:hyperlink r:id="rId11" w:history="1">
            <w:r w:rsidRPr="002C00F6">
              <w:rPr>
                <w:rStyle w:val="Hypertextovodkaz"/>
                <w:rFonts w:asciiTheme="minorHAnsi" w:hAnsiTheme="minorHAnsi" w:cstheme="minorHAnsi"/>
                <w:sz w:val="20"/>
                <w:szCs w:val="20"/>
              </w:rPr>
              <w:t>.tv</w:t>
            </w:r>
          </w:hyperlink>
          <w:r w:rsidRPr="002C00F6">
            <w:rPr>
              <w:rStyle w:val="dn"/>
              <w:rFonts w:asciiTheme="minorHAnsi" w:hAnsiTheme="minorHAnsi" w:cstheme="minorHAnsi"/>
              <w:sz w:val="20"/>
              <w:szCs w:val="20"/>
            </w:rPr>
            <w:t xml:space="preserve"> a na </w:t>
          </w:r>
          <w:hyperlink r:id="rId12" w:history="1">
            <w:r w:rsidRPr="002C00F6">
              <w:rPr>
                <w:rStyle w:val="Hypertextovodkaz"/>
                <w:rFonts w:asciiTheme="minorHAnsi" w:hAnsiTheme="minorHAnsi" w:cstheme="minorHAnsi"/>
                <w:sz w:val="20"/>
                <w:szCs w:val="20"/>
              </w:rPr>
              <w:t>realityspolu.cz</w:t>
            </w:r>
          </w:hyperlink>
          <w:r w:rsidRPr="002C00F6">
            <w:rPr>
              <w:rStyle w:val="Hypertextovodkaz"/>
              <w:rFonts w:asciiTheme="minorHAnsi" w:hAnsiTheme="minorHAnsi" w:cstheme="minorHAnsi"/>
              <w:sz w:val="20"/>
              <w:szCs w:val="20"/>
            </w:rPr>
            <w:t xml:space="preserve">. </w:t>
          </w:r>
          <w:r w:rsidRPr="002C00F6">
            <w:rPr>
              <w:rStyle w:val="dn"/>
              <w:rFonts w:asciiTheme="minorHAnsi" w:hAnsiTheme="minorHAnsi" w:cstheme="minorHAnsi"/>
              <w:sz w:val="20"/>
              <w:szCs w:val="20"/>
            </w:rPr>
            <w:t xml:space="preserve">Navštivte také náš </w:t>
          </w:r>
          <w:hyperlink r:id="rId13"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w:t>
          </w:r>
          <w:hyperlink r:id="rId14" w:history="1">
            <w:r w:rsidRPr="002C00F6">
              <w:rPr>
                <w:rStyle w:val="Hypertextovodkaz"/>
                <w:rFonts w:asciiTheme="minorHAnsi" w:hAnsiTheme="minorHAnsi" w:cstheme="minorHAnsi"/>
                <w:sz w:val="20"/>
                <w:szCs w:val="20"/>
              </w:rPr>
              <w:t>LinkedIN</w:t>
            </w:r>
          </w:hyperlink>
          <w:r w:rsidRPr="002C00F6">
            <w:rPr>
              <w:rStyle w:val="dn"/>
              <w:rFonts w:asciiTheme="minorHAnsi" w:hAnsiTheme="minorHAnsi" w:cstheme="minorHAnsi"/>
              <w:sz w:val="20"/>
              <w:szCs w:val="20"/>
            </w:rPr>
            <w:t xml:space="preserve"> Broker Consulting, Twitter </w:t>
          </w:r>
          <w:r w:rsidRPr="002C00F6">
            <w:rPr>
              <w:rFonts w:asciiTheme="minorHAnsi" w:hAnsiTheme="minorHAnsi" w:cstheme="minorHAnsi"/>
              <w:sz w:val="20"/>
              <w:szCs w:val="20"/>
              <w:shd w:val="clear" w:color="auto" w:fill="FFFFFF"/>
            </w:rPr>
            <w:t xml:space="preserve">@BC_oficialni, </w:t>
          </w:r>
          <w:r w:rsidRPr="002C00F6">
            <w:rPr>
              <w:rStyle w:val="dn"/>
              <w:rFonts w:asciiTheme="minorHAnsi" w:hAnsiTheme="minorHAnsi" w:cstheme="minorHAnsi"/>
              <w:sz w:val="20"/>
              <w:szCs w:val="20"/>
            </w:rPr>
            <w:t xml:space="preserve"> </w:t>
          </w:r>
          <w:hyperlink r:id="rId15"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a </w:t>
          </w:r>
          <w:hyperlink r:id="rId16" w:history="1">
            <w:r w:rsidRPr="002C00F6">
              <w:rPr>
                <w:rStyle w:val="Hypertextovodkaz"/>
                <w:rFonts w:asciiTheme="minorHAnsi" w:hAnsiTheme="minorHAnsi" w:cstheme="minorHAnsi"/>
                <w:sz w:val="20"/>
                <w:szCs w:val="20"/>
              </w:rPr>
              <w:t>LinkedI</w:t>
            </w:r>
          </w:hyperlink>
          <w:r w:rsidRPr="002C00F6">
            <w:rPr>
              <w:rStyle w:val="Hypertextovodkaz"/>
              <w:rFonts w:asciiTheme="minorHAnsi" w:hAnsiTheme="minorHAnsi" w:cstheme="minorHAnsi"/>
              <w:sz w:val="20"/>
              <w:szCs w:val="20"/>
            </w:rPr>
            <w:t>N</w:t>
          </w:r>
          <w:r w:rsidRPr="002C00F6">
            <w:rPr>
              <w:rStyle w:val="dn"/>
              <w:rFonts w:asciiTheme="minorHAnsi" w:hAnsiTheme="minorHAnsi" w:cstheme="minorHAnsi"/>
              <w:sz w:val="20"/>
              <w:szCs w:val="20"/>
            </w:rPr>
            <w:t xml:space="preserve"> Broker Point Premium. </w:t>
          </w:r>
        </w:p>
        <w:p w14:paraId="3F0EC976" w14:textId="3496D289" w:rsidR="00D80B6D" w:rsidRPr="002C00F6" w:rsidRDefault="00D80B6D" w:rsidP="0068617E">
          <w:pPr>
            <w:pStyle w:val="Zkladntext"/>
            <w:jc w:val="both"/>
            <w:rPr>
              <w:rFonts w:asciiTheme="minorHAnsi" w:hAnsiTheme="minorHAnsi" w:cstheme="minorHAnsi"/>
              <w:sz w:val="20"/>
              <w:highlight w:val="yellow"/>
            </w:rPr>
            <w:sectPr w:rsidR="00D80B6D" w:rsidRPr="002C00F6"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2C00F6" w:rsidRDefault="00185A7B" w:rsidP="0025264B">
          <w:pPr>
            <w:rPr>
              <w:rFonts w:asciiTheme="minorHAnsi" w:hAnsiTheme="minorHAnsi" w:cstheme="minorHAnsi"/>
              <w:b/>
              <w:sz w:val="20"/>
              <w:szCs w:val="20"/>
              <w:highlight w:val="yellow"/>
            </w:rPr>
            <w:sectPr w:rsidR="00D31127" w:rsidRPr="002C00F6"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5D507E" w:rsidRDefault="00704D83" w:rsidP="005D507E">
      <w:pPr>
        <w:pStyle w:val="Nadpis3"/>
        <w:rPr>
          <w:rFonts w:asciiTheme="minorHAnsi" w:hAnsiTheme="minorHAnsi" w:cstheme="minorHAnsi"/>
          <w:b/>
          <w:sz w:val="28"/>
          <w:szCs w:val="28"/>
        </w:rPr>
      </w:pPr>
    </w:p>
    <w:p w14:paraId="11B1AA43" w14:textId="3765A928" w:rsidR="00174009" w:rsidRPr="009267EF" w:rsidRDefault="00DE6BB0" w:rsidP="009267EF">
      <w:pPr>
        <w:pStyle w:val="Nadpis3"/>
        <w:rPr>
          <w:rFonts w:asciiTheme="minorHAnsi" w:hAnsiTheme="minorHAnsi" w:cstheme="minorHAnsi"/>
          <w:b/>
          <w:sz w:val="28"/>
          <w:szCs w:val="28"/>
        </w:rPr>
      </w:pPr>
      <w:r>
        <w:rPr>
          <w:rFonts w:asciiTheme="minorHAnsi" w:hAnsiTheme="minorHAnsi" w:cstheme="minorHAnsi"/>
          <w:b/>
          <w:sz w:val="28"/>
          <w:szCs w:val="28"/>
        </w:rPr>
        <w:t>Spotřebitelské úvěry:</w:t>
      </w:r>
      <w:r w:rsidR="00050917">
        <w:rPr>
          <w:rFonts w:asciiTheme="minorHAnsi" w:hAnsiTheme="minorHAnsi" w:cstheme="minorHAnsi"/>
          <w:b/>
          <w:sz w:val="28"/>
          <w:szCs w:val="28"/>
        </w:rPr>
        <w:t xml:space="preserve"> nejnižší za posledních 46</w:t>
      </w:r>
      <w:r>
        <w:rPr>
          <w:rFonts w:asciiTheme="minorHAnsi" w:hAnsiTheme="minorHAnsi" w:cstheme="minorHAnsi"/>
          <w:b/>
          <w:sz w:val="28"/>
          <w:szCs w:val="28"/>
        </w:rPr>
        <w:t xml:space="preserve"> měsíců</w:t>
      </w:r>
    </w:p>
    <w:p w14:paraId="4C81BECC" w14:textId="77777777" w:rsidR="00B3293D" w:rsidRPr="009267EF" w:rsidRDefault="00B3293D" w:rsidP="009267EF">
      <w:pPr>
        <w:pStyle w:val="Nadpis2"/>
        <w:ind w:left="0"/>
        <w:jc w:val="both"/>
        <w:rPr>
          <w:rFonts w:asciiTheme="minorHAnsi" w:eastAsia="Times New Roman" w:hAnsiTheme="minorHAnsi" w:cstheme="minorHAnsi"/>
          <w:b/>
          <w:bCs/>
          <w:color w:val="000000"/>
          <w:sz w:val="22"/>
          <w:szCs w:val="22"/>
        </w:rPr>
      </w:pPr>
    </w:p>
    <w:p w14:paraId="4C124CAD" w14:textId="15D52BC9" w:rsidR="009267EF" w:rsidRPr="009267EF" w:rsidRDefault="00606013" w:rsidP="009267EF">
      <w:pPr>
        <w:pStyle w:val="Nadpis3"/>
        <w:ind w:left="0"/>
        <w:jc w:val="left"/>
        <w:rPr>
          <w:rFonts w:ascii="Calibri" w:eastAsia="Times New Roman" w:hAnsi="Calibri" w:cs="Calibri"/>
          <w:b/>
          <w:sz w:val="28"/>
          <w:szCs w:val="28"/>
          <w:lang w:bidi="ar-SA"/>
        </w:rPr>
      </w:pPr>
      <w:r w:rsidRPr="009267EF">
        <w:rPr>
          <w:rFonts w:asciiTheme="minorHAnsi" w:hAnsiTheme="minorHAnsi" w:cstheme="minorHAnsi"/>
          <w:b/>
          <w:sz w:val="21"/>
          <w:szCs w:val="21"/>
        </w:rPr>
        <w:t>• Broker Consulting Index spotřebitelských úvěrů se</w:t>
      </w:r>
      <w:r w:rsidR="009267EF">
        <w:rPr>
          <w:rFonts w:asciiTheme="minorHAnsi" w:hAnsiTheme="minorHAnsi" w:cstheme="minorHAnsi"/>
          <w:b/>
          <w:sz w:val="21"/>
          <w:szCs w:val="21"/>
        </w:rPr>
        <w:t xml:space="preserve"> v prosinci</w:t>
      </w:r>
      <w:r w:rsidRPr="009267EF">
        <w:rPr>
          <w:rFonts w:asciiTheme="minorHAnsi" w:hAnsiTheme="minorHAnsi" w:cstheme="minorHAnsi"/>
          <w:b/>
          <w:sz w:val="21"/>
          <w:szCs w:val="21"/>
        </w:rPr>
        <w:t xml:space="preserve"> </w:t>
      </w:r>
      <w:proofErr w:type="gramStart"/>
      <w:r w:rsidRPr="009267EF">
        <w:rPr>
          <w:rFonts w:asciiTheme="minorHAnsi" w:hAnsiTheme="minorHAnsi" w:cstheme="minorHAnsi"/>
          <w:b/>
          <w:sz w:val="21"/>
          <w:szCs w:val="21"/>
        </w:rPr>
        <w:t>snížil</w:t>
      </w:r>
      <w:proofErr w:type="gramEnd"/>
      <w:r w:rsidRPr="009267EF">
        <w:rPr>
          <w:rFonts w:asciiTheme="minorHAnsi" w:hAnsiTheme="minorHAnsi" w:cstheme="minorHAnsi"/>
          <w:b/>
          <w:sz w:val="21"/>
          <w:szCs w:val="21"/>
        </w:rPr>
        <w:t xml:space="preserve"> na 6,43 %.</w:t>
      </w:r>
      <w:r w:rsidRPr="009267EF">
        <w:rPr>
          <w:rFonts w:asciiTheme="minorHAnsi" w:hAnsiTheme="minorHAnsi" w:cstheme="minorHAnsi"/>
          <w:b/>
          <w:sz w:val="21"/>
          <w:szCs w:val="21"/>
        </w:rPr>
        <w:br/>
        <w:t>• Jde o nejnižší hodnotu za uplynulé tři roky.</w:t>
      </w:r>
      <w:r w:rsidR="009053E5" w:rsidRPr="009267EF">
        <w:rPr>
          <w:rFonts w:asciiTheme="minorHAnsi" w:hAnsiTheme="minorHAnsi" w:cstheme="minorHAnsi"/>
          <w:b/>
          <w:sz w:val="21"/>
          <w:szCs w:val="21"/>
        </w:rPr>
        <w:br/>
        <w:t xml:space="preserve">• </w:t>
      </w:r>
      <w:r w:rsidR="009267EF" w:rsidRPr="009267EF">
        <w:rPr>
          <w:rFonts w:ascii="Calibri" w:hAnsi="Calibri" w:cs="Calibri"/>
          <w:b/>
          <w:sz w:val="21"/>
          <w:szCs w:val="21"/>
        </w:rPr>
        <w:t xml:space="preserve">Proč se akční sazba </w:t>
      </w:r>
      <w:proofErr w:type="gramStart"/>
      <w:r w:rsidR="009267EF" w:rsidRPr="009267EF">
        <w:rPr>
          <w:rFonts w:ascii="Calibri" w:hAnsi="Calibri" w:cs="Calibri"/>
          <w:b/>
          <w:sz w:val="21"/>
          <w:szCs w:val="21"/>
        </w:rPr>
        <w:t>nemusí</w:t>
      </w:r>
      <w:proofErr w:type="gramEnd"/>
      <w:r w:rsidR="009267EF" w:rsidRPr="009267EF">
        <w:rPr>
          <w:rFonts w:ascii="Calibri" w:hAnsi="Calibri" w:cs="Calibri"/>
          <w:b/>
          <w:sz w:val="21"/>
          <w:szCs w:val="21"/>
        </w:rPr>
        <w:t xml:space="preserve"> shodovat s výslednou nabídkou</w:t>
      </w:r>
      <w:r w:rsidR="009267EF">
        <w:rPr>
          <w:rFonts w:ascii="Calibri" w:hAnsi="Calibri" w:cs="Calibri"/>
          <w:b/>
          <w:sz w:val="21"/>
          <w:szCs w:val="21"/>
        </w:rPr>
        <w:t>.</w:t>
      </w:r>
    </w:p>
    <w:p w14:paraId="506F2F95" w14:textId="7832B337" w:rsidR="00F30F30" w:rsidRPr="009267EF" w:rsidRDefault="00F30F30" w:rsidP="009267EF">
      <w:pPr>
        <w:widowControl/>
        <w:autoSpaceDE/>
        <w:autoSpaceDN/>
        <w:spacing w:after="120"/>
        <w:contextualSpacing/>
        <w:rPr>
          <w:rFonts w:asciiTheme="minorHAnsi" w:eastAsia="Times New Roman" w:hAnsiTheme="minorHAnsi" w:cstheme="minorHAnsi"/>
          <w:b/>
          <w:color w:val="000000"/>
          <w:sz w:val="21"/>
          <w:szCs w:val="21"/>
        </w:rPr>
      </w:pPr>
      <w:bookmarkStart w:id="0" w:name="_GoBack"/>
      <w:bookmarkEnd w:id="0"/>
    </w:p>
    <w:p w14:paraId="281939A0" w14:textId="7D5CD73B" w:rsidR="00606013" w:rsidRPr="009267EF" w:rsidRDefault="009E0596" w:rsidP="009267EF">
      <w:pPr>
        <w:widowControl/>
        <w:autoSpaceDE/>
        <w:autoSpaceDN/>
        <w:spacing w:before="100" w:beforeAutospacing="1" w:after="100" w:afterAutospacing="1"/>
        <w:jc w:val="both"/>
        <w:rPr>
          <w:rFonts w:asciiTheme="minorHAnsi" w:hAnsiTheme="minorHAnsi" w:cstheme="minorHAnsi"/>
          <w:b/>
        </w:rPr>
      </w:pPr>
      <w:r w:rsidRPr="009267EF">
        <w:rPr>
          <w:rStyle w:val="Siln"/>
          <w:rFonts w:asciiTheme="minorHAnsi" w:hAnsiTheme="minorHAnsi" w:cstheme="minorHAnsi"/>
          <w:b w:val="0"/>
          <w:i/>
        </w:rPr>
        <w:t>Praha, 1</w:t>
      </w:r>
      <w:r w:rsidR="009267EF">
        <w:rPr>
          <w:rStyle w:val="Siln"/>
          <w:rFonts w:asciiTheme="minorHAnsi" w:hAnsiTheme="minorHAnsi" w:cstheme="minorHAnsi"/>
          <w:b w:val="0"/>
          <w:i/>
        </w:rPr>
        <w:t>3. l</w:t>
      </w:r>
      <w:r w:rsidRPr="009267EF">
        <w:rPr>
          <w:rStyle w:val="Siln"/>
          <w:rFonts w:asciiTheme="minorHAnsi" w:hAnsiTheme="minorHAnsi" w:cstheme="minorHAnsi"/>
          <w:b w:val="0"/>
          <w:i/>
        </w:rPr>
        <w:t>edna 2026</w:t>
      </w:r>
      <w:r w:rsidR="00F30F30" w:rsidRPr="009267EF">
        <w:rPr>
          <w:rFonts w:asciiTheme="minorHAnsi" w:hAnsiTheme="minorHAnsi" w:cstheme="minorHAnsi"/>
          <w:b/>
        </w:rPr>
        <w:t xml:space="preserve"> </w:t>
      </w:r>
      <w:r w:rsidR="00606013" w:rsidRPr="009267EF">
        <w:rPr>
          <w:rFonts w:asciiTheme="minorHAnsi" w:hAnsiTheme="minorHAnsi" w:cstheme="minorHAnsi"/>
          <w:b/>
        </w:rPr>
        <w:t>–</w:t>
      </w:r>
      <w:r w:rsidR="00720FD2" w:rsidRPr="009267EF">
        <w:rPr>
          <w:rFonts w:asciiTheme="minorHAnsi" w:hAnsiTheme="minorHAnsi" w:cstheme="minorHAnsi"/>
          <w:b/>
        </w:rPr>
        <w:t xml:space="preserve"> </w:t>
      </w:r>
      <w:r w:rsidRPr="009267EF">
        <w:rPr>
          <w:rFonts w:asciiTheme="minorHAnsi" w:hAnsiTheme="minorHAnsi" w:cstheme="minorHAnsi"/>
          <w:b/>
        </w:rPr>
        <w:t xml:space="preserve">Broker Consulting Index spotřebitelských úvěrů dosáhl v prosinci hodnoty 6,43 %. Oproti listopadu tak průměrná sazba klesla o výrazných 0,51 procentního bodu a zařadila se mezi nejnižší hodnoty roku 2025. </w:t>
      </w:r>
      <w:r w:rsidR="00050917" w:rsidRPr="00050917">
        <w:rPr>
          <w:rFonts w:asciiTheme="minorHAnsi" w:hAnsiTheme="minorHAnsi" w:cstheme="minorHAnsi"/>
          <w:b/>
        </w:rPr>
        <w:t xml:space="preserve">Zároveň se průměrná sazba dostala na nejnižší úroveň za posledních </w:t>
      </w:r>
      <w:r w:rsidR="00050917" w:rsidRPr="00050917">
        <w:rPr>
          <w:rStyle w:val="Siln"/>
          <w:rFonts w:asciiTheme="minorHAnsi" w:hAnsiTheme="minorHAnsi" w:cstheme="minorHAnsi"/>
        </w:rPr>
        <w:t>46 měsíců</w:t>
      </w:r>
      <w:r w:rsidR="00050917">
        <w:rPr>
          <w:rFonts w:asciiTheme="minorHAnsi" w:hAnsiTheme="minorHAnsi" w:cstheme="minorHAnsi"/>
          <w:b/>
        </w:rPr>
        <w:t>. N</w:t>
      </w:r>
      <w:r w:rsidR="00050917" w:rsidRPr="00050917">
        <w:rPr>
          <w:rFonts w:asciiTheme="minorHAnsi" w:hAnsiTheme="minorHAnsi" w:cstheme="minorHAnsi"/>
          <w:b/>
        </w:rPr>
        <w:t>ižší hodnota byla zaznamenána naposledy v únoru 2022 (6,12 %).</w:t>
      </w:r>
    </w:p>
    <w:p w14:paraId="43F6FABF" w14:textId="14515273" w:rsidR="005504FF" w:rsidRPr="009267EF" w:rsidRDefault="00AA45BC" w:rsidP="009267EF">
      <w:pPr>
        <w:widowControl/>
        <w:autoSpaceDE/>
        <w:autoSpaceDN/>
        <w:spacing w:before="100" w:beforeAutospacing="1" w:after="100" w:afterAutospacing="1"/>
        <w:jc w:val="both"/>
        <w:rPr>
          <w:rFonts w:asciiTheme="minorHAnsi" w:hAnsiTheme="minorHAnsi" w:cstheme="minorHAnsi"/>
          <w:b/>
        </w:rPr>
      </w:pPr>
      <w:r w:rsidRPr="009267EF">
        <w:rPr>
          <w:rFonts w:asciiTheme="minorHAnsi" w:hAnsiTheme="minorHAnsi" w:cstheme="minorHAnsi"/>
          <w:i/>
        </w:rPr>
        <w:t xml:space="preserve">„Prosincový pokles je do značné míry dán konkurenčním prostředím na trhu a kampaněmi jednotlivých bank, které v závěru roku tradičně vrcholí. Průměrná sazba se díky tomu dostala na úroveň, která patří k nejnižším za poslední roky,“ </w:t>
      </w:r>
      <w:r w:rsidR="005504FF" w:rsidRPr="009267EF">
        <w:rPr>
          <w:rFonts w:asciiTheme="minorHAnsi" w:hAnsiTheme="minorHAnsi" w:cstheme="minorHAnsi"/>
          <w:b/>
        </w:rPr>
        <w:t>říká Michaela Pudilová, analytička spotřebitelských a hypotečních úvěrů Broker Consulting.</w:t>
      </w:r>
    </w:p>
    <w:p w14:paraId="0ED4CBEA" w14:textId="3449508F" w:rsidR="00AA45BC" w:rsidRPr="009267EF" w:rsidRDefault="00AA45BC" w:rsidP="009267EF">
      <w:pPr>
        <w:widowControl/>
        <w:autoSpaceDE/>
        <w:autoSpaceDN/>
        <w:spacing w:before="100" w:beforeAutospacing="1" w:after="100" w:afterAutospacing="1"/>
        <w:jc w:val="both"/>
        <w:rPr>
          <w:rFonts w:asciiTheme="minorHAnsi" w:hAnsiTheme="minorHAnsi" w:cstheme="minorHAnsi"/>
        </w:rPr>
      </w:pPr>
      <w:r w:rsidRPr="009267EF">
        <w:rPr>
          <w:rFonts w:asciiTheme="minorHAnsi" w:hAnsiTheme="minorHAnsi" w:cstheme="minorHAnsi"/>
        </w:rPr>
        <w:t>U spotřebitelských úvěrů nejsou výraznější meziměsíční výkyvy ničím výjimečným, což ukazují také hodnoty, které Broker Consulting Index v průběhu roku zaznamenal. Rok začínal hodnotou 7,63 %, v únoru sazba klesla na 6,86 % a v březnu se mírně zvýšila na 6,93 %. Jarní měsíce následně přinesly nárůst, když se v dubnu průměrná sazba vyšplhala až na 7,64 %. V dalších měsících se sazby opět pomalu snižovaly – v květnu činily 7,45 %, v červnu 7,27 % a v červenci 7,10 %. Podzimní měsíce pak přinesly další výkyvy, které vyústily až v prosincový pokles na 6,43 %.</w:t>
      </w:r>
    </w:p>
    <w:p w14:paraId="1CF918F2" w14:textId="083FF22D" w:rsidR="00F30F30" w:rsidRPr="009267EF" w:rsidRDefault="00443433" w:rsidP="009267EF">
      <w:pPr>
        <w:pStyle w:val="Nadpis3"/>
        <w:ind w:left="0"/>
        <w:jc w:val="both"/>
        <w:rPr>
          <w:rFonts w:asciiTheme="minorHAnsi" w:hAnsiTheme="minorHAnsi" w:cstheme="minorHAnsi"/>
          <w:sz w:val="22"/>
          <w:szCs w:val="22"/>
        </w:rPr>
      </w:pPr>
      <w:r w:rsidRPr="009267EF">
        <w:rPr>
          <w:rFonts w:asciiTheme="minorHAnsi" w:hAnsiTheme="minorHAnsi" w:cstheme="minorHAnsi"/>
          <w:sz w:val="22"/>
          <w:szCs w:val="22"/>
        </w:rPr>
        <w:t>Meziroční srovnání ukazuje, jak výrazně se</w:t>
      </w:r>
      <w:r w:rsidR="00A65282" w:rsidRPr="009267EF">
        <w:rPr>
          <w:rFonts w:asciiTheme="minorHAnsi" w:hAnsiTheme="minorHAnsi" w:cstheme="minorHAnsi"/>
          <w:sz w:val="22"/>
          <w:szCs w:val="22"/>
        </w:rPr>
        <w:t xml:space="preserve"> v posledních letech</w:t>
      </w:r>
      <w:r w:rsidRPr="009267EF">
        <w:rPr>
          <w:rFonts w:asciiTheme="minorHAnsi" w:hAnsiTheme="minorHAnsi" w:cstheme="minorHAnsi"/>
          <w:sz w:val="22"/>
          <w:szCs w:val="22"/>
        </w:rPr>
        <w:t xml:space="preserve"> </w:t>
      </w:r>
      <w:r w:rsidR="00A65282" w:rsidRPr="009267EF">
        <w:rPr>
          <w:rFonts w:asciiTheme="minorHAnsi" w:hAnsiTheme="minorHAnsi" w:cstheme="minorHAnsi"/>
          <w:sz w:val="22"/>
          <w:szCs w:val="22"/>
        </w:rPr>
        <w:t xml:space="preserve">měnila </w:t>
      </w:r>
      <w:r w:rsidRPr="009267EF">
        <w:rPr>
          <w:rFonts w:asciiTheme="minorHAnsi" w:hAnsiTheme="minorHAnsi" w:cstheme="minorHAnsi"/>
          <w:sz w:val="22"/>
          <w:szCs w:val="22"/>
        </w:rPr>
        <w:t>průměrná sazba spotřebitelských úvěrů</w:t>
      </w:r>
      <w:r w:rsidR="00A65282" w:rsidRPr="009267EF">
        <w:rPr>
          <w:rFonts w:asciiTheme="minorHAnsi" w:hAnsiTheme="minorHAnsi" w:cstheme="minorHAnsi"/>
          <w:sz w:val="22"/>
          <w:szCs w:val="22"/>
        </w:rPr>
        <w:t xml:space="preserve">. </w:t>
      </w:r>
      <w:r w:rsidRPr="009267EF">
        <w:rPr>
          <w:rFonts w:asciiTheme="minorHAnsi" w:hAnsiTheme="minorHAnsi" w:cstheme="minorHAnsi"/>
          <w:sz w:val="22"/>
          <w:szCs w:val="22"/>
        </w:rPr>
        <w:t>Zatímco v prosinci 2021 se pohybovala na úrovni 6,75 %, následující rok přinesl prudký nárůst až na 9,49 %. Od té doby se průměrná sazba postupně snižuje – v prosinci 2023 činila 8,84 % a v roce 2024 klesla na 7,44 %.</w:t>
      </w:r>
      <w:r w:rsidR="00A65282" w:rsidRPr="009267EF">
        <w:rPr>
          <w:rFonts w:asciiTheme="minorHAnsi" w:hAnsiTheme="minorHAnsi" w:cstheme="minorHAnsi"/>
          <w:sz w:val="22"/>
          <w:szCs w:val="22"/>
        </w:rPr>
        <w:t xml:space="preserve"> Aktuální prosincová hodnota 6,43 % je tak ve srovnání s předchozími roky nejnižší.</w:t>
      </w:r>
    </w:p>
    <w:p w14:paraId="279F2C27" w14:textId="206D8C71" w:rsidR="00A65282" w:rsidRDefault="00A65282" w:rsidP="00B3293D">
      <w:pPr>
        <w:pStyle w:val="Nadpis3"/>
        <w:ind w:left="0"/>
        <w:jc w:val="both"/>
      </w:pPr>
    </w:p>
    <w:p w14:paraId="25B18E57" w14:textId="2BE85F09" w:rsidR="00A65282" w:rsidRDefault="00AF67FE" w:rsidP="00B3293D">
      <w:pPr>
        <w:pStyle w:val="Nadpis3"/>
        <w:ind w:left="0"/>
        <w:jc w:val="both"/>
      </w:pPr>
      <w:r>
        <w:rPr>
          <w:noProof/>
          <w:lang w:bidi="ar-SA"/>
        </w:rPr>
        <w:drawing>
          <wp:inline distT="0" distB="0" distL="0" distR="0" wp14:anchorId="0C929EE2" wp14:editId="1DFB8B5E">
            <wp:extent cx="6635750" cy="29921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 k vývoji.png"/>
                    <pic:cNvPicPr/>
                  </pic:nvPicPr>
                  <pic:blipFill>
                    <a:blip r:embed="rId25">
                      <a:extLst>
                        <a:ext uri="{28A0092B-C50C-407E-A947-70E740481C1C}">
                          <a14:useLocalDpi xmlns:a14="http://schemas.microsoft.com/office/drawing/2010/main" val="0"/>
                        </a:ext>
                      </a:extLst>
                    </a:blip>
                    <a:stretch>
                      <a:fillRect/>
                    </a:stretch>
                  </pic:blipFill>
                  <pic:spPr>
                    <a:xfrm>
                      <a:off x="0" y="0"/>
                      <a:ext cx="6635750" cy="2992120"/>
                    </a:xfrm>
                    <a:prstGeom prst="rect">
                      <a:avLst/>
                    </a:prstGeom>
                  </pic:spPr>
                </pic:pic>
              </a:graphicData>
            </a:graphic>
          </wp:inline>
        </w:drawing>
      </w:r>
    </w:p>
    <w:p w14:paraId="665CD6CC" w14:textId="77777777" w:rsidR="00A65282" w:rsidRPr="00B3293D" w:rsidRDefault="00A65282" w:rsidP="00B3293D">
      <w:pPr>
        <w:pStyle w:val="Nadpis3"/>
        <w:ind w:left="0"/>
        <w:jc w:val="both"/>
        <w:rPr>
          <w:rFonts w:asciiTheme="minorHAnsi" w:hAnsiTheme="minorHAnsi" w:cstheme="minorHAnsi"/>
          <w:sz w:val="22"/>
          <w:szCs w:val="22"/>
        </w:rPr>
      </w:pPr>
    </w:p>
    <w:p w14:paraId="7CD602F3" w14:textId="561E530A" w:rsidR="008F726D" w:rsidRPr="00B3293D" w:rsidRDefault="008F726D" w:rsidP="00B3293D">
      <w:pPr>
        <w:pStyle w:val="Nadpis3"/>
        <w:ind w:left="0"/>
        <w:jc w:val="both"/>
        <w:rPr>
          <w:rFonts w:asciiTheme="minorHAnsi" w:eastAsia="Times New Roman" w:hAnsiTheme="minorHAnsi" w:cstheme="minorHAnsi"/>
          <w:b/>
          <w:bCs/>
          <w:noProof/>
          <w:color w:val="000000"/>
          <w:sz w:val="22"/>
          <w:szCs w:val="22"/>
          <w:lang w:bidi="ar-SA"/>
        </w:rPr>
      </w:pPr>
    </w:p>
    <w:p w14:paraId="7C77F194" w14:textId="757442E8" w:rsidR="004B7096" w:rsidRPr="009267EF" w:rsidRDefault="009267EF" w:rsidP="002A2CFB">
      <w:pPr>
        <w:pStyle w:val="Nadpis3"/>
        <w:ind w:left="0"/>
        <w:jc w:val="left"/>
        <w:rPr>
          <w:rFonts w:ascii="Calibri" w:eastAsia="Times New Roman" w:hAnsi="Calibri" w:cs="Calibri"/>
          <w:b/>
          <w:sz w:val="28"/>
          <w:szCs w:val="28"/>
          <w:lang w:bidi="ar-SA"/>
        </w:rPr>
      </w:pPr>
      <w:r w:rsidRPr="009267EF">
        <w:rPr>
          <w:rFonts w:ascii="Calibri" w:hAnsi="Calibri" w:cs="Calibri"/>
          <w:b/>
          <w:sz w:val="28"/>
          <w:szCs w:val="28"/>
        </w:rPr>
        <w:t>Proč se akční sazba nemusí shodovat s výslednou nabídkou</w:t>
      </w:r>
    </w:p>
    <w:p w14:paraId="5C78C67C" w14:textId="77777777" w:rsidR="009267EF" w:rsidRPr="009267EF" w:rsidRDefault="009267EF" w:rsidP="009267EF">
      <w:pPr>
        <w:widowControl/>
        <w:autoSpaceDE/>
        <w:autoSpaceDN/>
        <w:spacing w:before="100" w:beforeAutospacing="1" w:after="100" w:afterAutospacing="1"/>
        <w:jc w:val="both"/>
        <w:rPr>
          <w:rFonts w:asciiTheme="minorHAnsi" w:eastAsia="Times New Roman" w:hAnsiTheme="minorHAnsi" w:cstheme="minorHAnsi"/>
          <w:lang w:bidi="ar-SA"/>
        </w:rPr>
      </w:pPr>
      <w:r w:rsidRPr="009267EF">
        <w:rPr>
          <w:rFonts w:asciiTheme="minorHAnsi" w:eastAsia="Times New Roman" w:hAnsiTheme="minorHAnsi" w:cstheme="minorHAnsi"/>
          <w:lang w:bidi="ar-SA"/>
        </w:rPr>
        <w:t>Nízká sazba často budí dojem výhodné nabídky, ve skutečnosti ale záleží na celé řadě dalších podmínek. Akční sazby jsou obvykle navázány na konkrétní parametry úvěru nebo typ klienta. Výsledná nabídka se tak může lišit od původně uváděné sazby. Rozdíly přitom nemusí být patrné na první pohled a často se projeví až při detailnějším nastavení úvěru.</w:t>
      </w:r>
    </w:p>
    <w:p w14:paraId="20636F78" w14:textId="77777777" w:rsidR="009267EF" w:rsidRPr="009267EF" w:rsidRDefault="009267EF" w:rsidP="009267EF">
      <w:pPr>
        <w:widowControl/>
        <w:autoSpaceDE/>
        <w:autoSpaceDN/>
        <w:spacing w:before="100" w:beforeAutospacing="1" w:after="100" w:afterAutospacing="1"/>
        <w:jc w:val="both"/>
        <w:rPr>
          <w:rFonts w:asciiTheme="minorHAnsi" w:eastAsia="Times New Roman" w:hAnsiTheme="minorHAnsi" w:cstheme="minorHAnsi"/>
          <w:b/>
          <w:lang w:bidi="ar-SA"/>
        </w:rPr>
      </w:pPr>
      <w:r w:rsidRPr="009267EF">
        <w:rPr>
          <w:rFonts w:asciiTheme="minorHAnsi" w:eastAsia="Times New Roman" w:hAnsiTheme="minorHAnsi" w:cstheme="minorHAnsi"/>
          <w:i/>
          <w:lang w:bidi="ar-SA"/>
        </w:rPr>
        <w:lastRenderedPageBreak/>
        <w:t xml:space="preserve">„Akční sazby mají především informativní charakter. Skutečná úroková sazba se vždy odvíjí od konkrétní situace klienta a parametrů úvěru. Není proto výjimkou, že se výsledná nabídka liší od původně uváděné sazby,“ </w:t>
      </w:r>
      <w:r w:rsidRPr="009267EF">
        <w:rPr>
          <w:rFonts w:asciiTheme="minorHAnsi" w:eastAsia="Times New Roman" w:hAnsiTheme="minorHAnsi" w:cstheme="minorHAnsi"/>
          <w:lang w:bidi="ar-SA"/>
        </w:rPr>
        <w:t xml:space="preserve">říká </w:t>
      </w:r>
      <w:r w:rsidRPr="009267EF">
        <w:rPr>
          <w:rFonts w:asciiTheme="minorHAnsi" w:eastAsia="Times New Roman" w:hAnsiTheme="minorHAnsi" w:cstheme="minorHAnsi"/>
          <w:b/>
          <w:lang w:bidi="ar-SA"/>
        </w:rPr>
        <w:t>Michaela Pudilová, analytička spotřebitelských a hypotečních úvěrů Broker Consulting.</w:t>
      </w:r>
    </w:p>
    <w:p w14:paraId="1A445B54" w14:textId="4B706F05" w:rsidR="008F726D" w:rsidRDefault="008F726D" w:rsidP="00DF7709">
      <w:pPr>
        <w:pBdr>
          <w:bottom w:val="single" w:sz="4" w:space="1" w:color="auto"/>
        </w:pBdr>
        <w:jc w:val="both"/>
        <w:rPr>
          <w:rFonts w:asciiTheme="minorHAnsi" w:hAnsiTheme="minorHAnsi" w:cstheme="minorHAnsi"/>
          <w:bCs/>
          <w:sz w:val="2"/>
          <w:szCs w:val="2"/>
        </w:rPr>
      </w:pPr>
    </w:p>
    <w:p w14:paraId="335FF3ED" w14:textId="031D8E2A" w:rsidR="008F726D" w:rsidRDefault="008F726D" w:rsidP="00DF7709">
      <w:pPr>
        <w:pBdr>
          <w:bottom w:val="single" w:sz="4" w:space="1" w:color="auto"/>
        </w:pBdr>
        <w:jc w:val="both"/>
        <w:rPr>
          <w:rFonts w:asciiTheme="minorHAnsi" w:hAnsiTheme="minorHAnsi" w:cstheme="minorHAnsi"/>
          <w:bCs/>
          <w:sz w:val="2"/>
          <w:szCs w:val="2"/>
        </w:rPr>
      </w:pPr>
    </w:p>
    <w:p w14:paraId="1FE3842D" w14:textId="76527E8D" w:rsidR="008F726D" w:rsidRDefault="008F726D" w:rsidP="00DF7709">
      <w:pPr>
        <w:pBdr>
          <w:bottom w:val="single" w:sz="4" w:space="1" w:color="auto"/>
        </w:pBdr>
        <w:jc w:val="both"/>
        <w:rPr>
          <w:rFonts w:asciiTheme="minorHAnsi" w:hAnsiTheme="minorHAnsi" w:cstheme="minorHAnsi"/>
          <w:bCs/>
          <w:sz w:val="2"/>
          <w:szCs w:val="2"/>
        </w:rPr>
      </w:pPr>
    </w:p>
    <w:p w14:paraId="55CDCDA6" w14:textId="53573ED5" w:rsidR="008F726D" w:rsidRDefault="008F726D" w:rsidP="00DF7709">
      <w:pPr>
        <w:pBdr>
          <w:bottom w:val="single" w:sz="4" w:space="1" w:color="auto"/>
        </w:pBdr>
        <w:jc w:val="both"/>
        <w:rPr>
          <w:rFonts w:asciiTheme="minorHAnsi" w:hAnsiTheme="minorHAnsi" w:cstheme="minorHAnsi"/>
          <w:bCs/>
          <w:sz w:val="2"/>
          <w:szCs w:val="2"/>
        </w:rPr>
      </w:pPr>
    </w:p>
    <w:p w14:paraId="55124FF0" w14:textId="77777777" w:rsidR="008F726D" w:rsidRPr="00EF6D8C" w:rsidRDefault="008F726D" w:rsidP="00DF7709">
      <w:pPr>
        <w:pBdr>
          <w:bottom w:val="single" w:sz="4" w:space="1" w:color="auto"/>
        </w:pBdr>
        <w:jc w:val="both"/>
        <w:rPr>
          <w:rFonts w:asciiTheme="minorHAnsi" w:hAnsiTheme="minorHAnsi" w:cstheme="minorHAnsi"/>
          <w:bCs/>
          <w:sz w:val="2"/>
          <w:szCs w:val="2"/>
        </w:rPr>
      </w:pPr>
    </w:p>
    <w:p w14:paraId="4CF17F9A" w14:textId="158230B1"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w:t>
      </w:r>
      <w:r w:rsidR="00BB537C">
        <w:rPr>
          <w:rFonts w:asciiTheme="minorHAnsi" w:hAnsiTheme="minorHAnsi" w:cstheme="minorHAnsi"/>
          <w:sz w:val="21"/>
          <w:szCs w:val="21"/>
        </w:rPr>
        <w:t>er Consulting a pobočky Broker Point či Broker Point Premium,</w:t>
      </w:r>
      <w:r w:rsidR="00C67476">
        <w:rPr>
          <w:rFonts w:asciiTheme="minorHAnsi" w:hAnsiTheme="minorHAnsi" w:cstheme="minorHAnsi"/>
          <w:sz w:val="21"/>
          <w:szCs w:val="21"/>
        </w:rPr>
        <w:t xml:space="preserve"> u poskytovatelů</w:t>
      </w:r>
      <w:r w:rsidRPr="00EF6D8C">
        <w:rPr>
          <w:rFonts w:asciiTheme="minorHAnsi" w:hAnsiTheme="minorHAnsi" w:cstheme="minorHAnsi"/>
          <w:sz w:val="21"/>
          <w:szCs w:val="21"/>
        </w:rPr>
        <w:t xml:space="preserve"> bankovních </w:t>
      </w:r>
      <w:r w:rsidR="00C67476">
        <w:rPr>
          <w:rFonts w:asciiTheme="minorHAnsi" w:hAnsiTheme="minorHAnsi" w:cstheme="minorHAnsi"/>
          <w:sz w:val="21"/>
          <w:szCs w:val="21"/>
        </w:rPr>
        <w:t xml:space="preserve">a nebankovních </w:t>
      </w:r>
      <w:r w:rsidRPr="00EF6D8C">
        <w:rPr>
          <w:rFonts w:asciiTheme="minorHAnsi" w:hAnsiTheme="minorHAnsi" w:cstheme="minorHAnsi"/>
          <w:sz w:val="21"/>
          <w:szCs w:val="21"/>
        </w:rPr>
        <w:t>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3E92A1D6"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15E27" w14:textId="77777777" w:rsidR="00185A7B" w:rsidRDefault="00185A7B">
      <w:r>
        <w:separator/>
      </w:r>
    </w:p>
  </w:endnote>
  <w:endnote w:type="continuationSeparator" w:id="0">
    <w:p w14:paraId="415A32E8" w14:textId="77777777" w:rsidR="00185A7B" w:rsidRDefault="00185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185A7B"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D33ACD"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185A7B"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D33ACD"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185A7B"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D33ACD"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B08D2" w14:textId="77777777" w:rsidR="00185A7B" w:rsidRDefault="00185A7B">
      <w:r>
        <w:separator/>
      </w:r>
    </w:p>
  </w:footnote>
  <w:footnote w:type="continuationSeparator" w:id="0">
    <w:p w14:paraId="0C68F09F" w14:textId="77777777" w:rsidR="00185A7B" w:rsidRDefault="00185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58B7238"/>
    <w:multiLevelType w:val="hybridMultilevel"/>
    <w:tmpl w:val="5FA0F59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0"/>
  </w:num>
  <w:num w:numId="5">
    <w:abstractNumId w:val="5"/>
  </w:num>
  <w:num w:numId="6">
    <w:abstractNumId w:val="9"/>
  </w:num>
  <w:num w:numId="7">
    <w:abstractNumId w:val="3"/>
  </w:num>
  <w:num w:numId="8">
    <w:abstractNumId w:val="10"/>
  </w:num>
  <w:num w:numId="9">
    <w:abstractNumId w:val="1"/>
  </w:num>
  <w:num w:numId="10">
    <w:abstractNumId w:val="0"/>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272"/>
    <w:rsid w:val="00001489"/>
    <w:rsid w:val="0000406E"/>
    <w:rsid w:val="00005076"/>
    <w:rsid w:val="000058F2"/>
    <w:rsid w:val="00014E72"/>
    <w:rsid w:val="00017A80"/>
    <w:rsid w:val="00017DD4"/>
    <w:rsid w:val="00020EC7"/>
    <w:rsid w:val="00021C70"/>
    <w:rsid w:val="00022715"/>
    <w:rsid w:val="00024AC6"/>
    <w:rsid w:val="00026F23"/>
    <w:rsid w:val="000276A7"/>
    <w:rsid w:val="000277AC"/>
    <w:rsid w:val="000329A2"/>
    <w:rsid w:val="00032D94"/>
    <w:rsid w:val="00035A27"/>
    <w:rsid w:val="00036C73"/>
    <w:rsid w:val="000374D7"/>
    <w:rsid w:val="000400E4"/>
    <w:rsid w:val="0004253B"/>
    <w:rsid w:val="00043BCF"/>
    <w:rsid w:val="0004510B"/>
    <w:rsid w:val="00045B39"/>
    <w:rsid w:val="00050917"/>
    <w:rsid w:val="0005252A"/>
    <w:rsid w:val="0005423A"/>
    <w:rsid w:val="00057018"/>
    <w:rsid w:val="0005726B"/>
    <w:rsid w:val="00057DE7"/>
    <w:rsid w:val="000611E3"/>
    <w:rsid w:val="000618FE"/>
    <w:rsid w:val="00061ABB"/>
    <w:rsid w:val="00062CC5"/>
    <w:rsid w:val="00070317"/>
    <w:rsid w:val="00070675"/>
    <w:rsid w:val="00070BFE"/>
    <w:rsid w:val="000766E7"/>
    <w:rsid w:val="00076D0E"/>
    <w:rsid w:val="0007763B"/>
    <w:rsid w:val="00080552"/>
    <w:rsid w:val="00080ADE"/>
    <w:rsid w:val="00081616"/>
    <w:rsid w:val="00082FDB"/>
    <w:rsid w:val="000853D4"/>
    <w:rsid w:val="000865AA"/>
    <w:rsid w:val="00087263"/>
    <w:rsid w:val="00091F9C"/>
    <w:rsid w:val="0009776B"/>
    <w:rsid w:val="000A17EE"/>
    <w:rsid w:val="000A377B"/>
    <w:rsid w:val="000A5467"/>
    <w:rsid w:val="000A6063"/>
    <w:rsid w:val="000B0D84"/>
    <w:rsid w:val="000B2E5D"/>
    <w:rsid w:val="000B2F39"/>
    <w:rsid w:val="000B50B5"/>
    <w:rsid w:val="000B5339"/>
    <w:rsid w:val="000B54E5"/>
    <w:rsid w:val="000C0090"/>
    <w:rsid w:val="000C07FE"/>
    <w:rsid w:val="000C0C52"/>
    <w:rsid w:val="000C1853"/>
    <w:rsid w:val="000C4394"/>
    <w:rsid w:val="000C4C77"/>
    <w:rsid w:val="000C50AA"/>
    <w:rsid w:val="000D145E"/>
    <w:rsid w:val="000D14E2"/>
    <w:rsid w:val="000D5F5D"/>
    <w:rsid w:val="000D68AC"/>
    <w:rsid w:val="000D7A4D"/>
    <w:rsid w:val="000E0EEC"/>
    <w:rsid w:val="000E168E"/>
    <w:rsid w:val="000E3D86"/>
    <w:rsid w:val="000E41B8"/>
    <w:rsid w:val="000F0BA4"/>
    <w:rsid w:val="000F1EC4"/>
    <w:rsid w:val="000F29D1"/>
    <w:rsid w:val="000F6152"/>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3932"/>
    <w:rsid w:val="001546F5"/>
    <w:rsid w:val="00156082"/>
    <w:rsid w:val="00161D10"/>
    <w:rsid w:val="00164597"/>
    <w:rsid w:val="00166220"/>
    <w:rsid w:val="001675AF"/>
    <w:rsid w:val="00170556"/>
    <w:rsid w:val="00170D87"/>
    <w:rsid w:val="00170E0F"/>
    <w:rsid w:val="00173F5C"/>
    <w:rsid w:val="00174009"/>
    <w:rsid w:val="00175224"/>
    <w:rsid w:val="001767A5"/>
    <w:rsid w:val="00180051"/>
    <w:rsid w:val="00182B07"/>
    <w:rsid w:val="0018460D"/>
    <w:rsid w:val="00185A7B"/>
    <w:rsid w:val="00186EAB"/>
    <w:rsid w:val="00187ECB"/>
    <w:rsid w:val="001901D0"/>
    <w:rsid w:val="00191B34"/>
    <w:rsid w:val="001925C8"/>
    <w:rsid w:val="00192716"/>
    <w:rsid w:val="00192C2A"/>
    <w:rsid w:val="00193550"/>
    <w:rsid w:val="00194C95"/>
    <w:rsid w:val="0019698F"/>
    <w:rsid w:val="001A54DD"/>
    <w:rsid w:val="001B0770"/>
    <w:rsid w:val="001B08C7"/>
    <w:rsid w:val="001B296D"/>
    <w:rsid w:val="001B29C7"/>
    <w:rsid w:val="001B3C85"/>
    <w:rsid w:val="001B501B"/>
    <w:rsid w:val="001B6A93"/>
    <w:rsid w:val="001B745F"/>
    <w:rsid w:val="001C443D"/>
    <w:rsid w:val="001D015A"/>
    <w:rsid w:val="001D3DFC"/>
    <w:rsid w:val="001D4EA8"/>
    <w:rsid w:val="001D66D5"/>
    <w:rsid w:val="001D6965"/>
    <w:rsid w:val="001E22F1"/>
    <w:rsid w:val="001E3D5F"/>
    <w:rsid w:val="001E3FBF"/>
    <w:rsid w:val="001E4209"/>
    <w:rsid w:val="001E44AC"/>
    <w:rsid w:val="001E5305"/>
    <w:rsid w:val="001E5D83"/>
    <w:rsid w:val="001E6A39"/>
    <w:rsid w:val="001F045E"/>
    <w:rsid w:val="001F25C4"/>
    <w:rsid w:val="001F2BE0"/>
    <w:rsid w:val="001F353D"/>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36D"/>
    <w:rsid w:val="002227D9"/>
    <w:rsid w:val="002238E8"/>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4165"/>
    <w:rsid w:val="00244AC3"/>
    <w:rsid w:val="0024551C"/>
    <w:rsid w:val="002473B6"/>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31C1"/>
    <w:rsid w:val="00285397"/>
    <w:rsid w:val="0028590C"/>
    <w:rsid w:val="00287D46"/>
    <w:rsid w:val="00290416"/>
    <w:rsid w:val="00295432"/>
    <w:rsid w:val="002A0285"/>
    <w:rsid w:val="002A2A64"/>
    <w:rsid w:val="002A2CFB"/>
    <w:rsid w:val="002A3F19"/>
    <w:rsid w:val="002A6FA3"/>
    <w:rsid w:val="002A7325"/>
    <w:rsid w:val="002B0728"/>
    <w:rsid w:val="002B1317"/>
    <w:rsid w:val="002B47AF"/>
    <w:rsid w:val="002B7DA9"/>
    <w:rsid w:val="002B7F6D"/>
    <w:rsid w:val="002C00F6"/>
    <w:rsid w:val="002C0240"/>
    <w:rsid w:val="002C4A25"/>
    <w:rsid w:val="002C4B92"/>
    <w:rsid w:val="002C4BCE"/>
    <w:rsid w:val="002C7224"/>
    <w:rsid w:val="002D1619"/>
    <w:rsid w:val="002D20B9"/>
    <w:rsid w:val="002D6D20"/>
    <w:rsid w:val="002E1ABC"/>
    <w:rsid w:val="002E3DC6"/>
    <w:rsid w:val="002E566E"/>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8A1"/>
    <w:rsid w:val="00396E90"/>
    <w:rsid w:val="003A1549"/>
    <w:rsid w:val="003A285A"/>
    <w:rsid w:val="003A2887"/>
    <w:rsid w:val="003A375A"/>
    <w:rsid w:val="003A43AB"/>
    <w:rsid w:val="003A6435"/>
    <w:rsid w:val="003B0E4E"/>
    <w:rsid w:val="003B0E4F"/>
    <w:rsid w:val="003B15D5"/>
    <w:rsid w:val="003B3F0C"/>
    <w:rsid w:val="003B4BD8"/>
    <w:rsid w:val="003C0CBE"/>
    <w:rsid w:val="003C2A23"/>
    <w:rsid w:val="003C4A8F"/>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E70DD"/>
    <w:rsid w:val="003F0CAF"/>
    <w:rsid w:val="003F324C"/>
    <w:rsid w:val="003F40AA"/>
    <w:rsid w:val="003F7018"/>
    <w:rsid w:val="003F79EC"/>
    <w:rsid w:val="0040257E"/>
    <w:rsid w:val="00403729"/>
    <w:rsid w:val="004041EF"/>
    <w:rsid w:val="00404530"/>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43433"/>
    <w:rsid w:val="00445316"/>
    <w:rsid w:val="00445D0A"/>
    <w:rsid w:val="00447FBA"/>
    <w:rsid w:val="004501B9"/>
    <w:rsid w:val="00453558"/>
    <w:rsid w:val="00453CFE"/>
    <w:rsid w:val="00454843"/>
    <w:rsid w:val="004556BB"/>
    <w:rsid w:val="00455F65"/>
    <w:rsid w:val="004578A2"/>
    <w:rsid w:val="00457FFE"/>
    <w:rsid w:val="00460FA7"/>
    <w:rsid w:val="00461BF2"/>
    <w:rsid w:val="004625DF"/>
    <w:rsid w:val="0046273D"/>
    <w:rsid w:val="004627B9"/>
    <w:rsid w:val="00463191"/>
    <w:rsid w:val="004678E9"/>
    <w:rsid w:val="00467E69"/>
    <w:rsid w:val="00471166"/>
    <w:rsid w:val="00473E24"/>
    <w:rsid w:val="00474C76"/>
    <w:rsid w:val="00477DC5"/>
    <w:rsid w:val="00480982"/>
    <w:rsid w:val="00481E79"/>
    <w:rsid w:val="00483C09"/>
    <w:rsid w:val="0048655B"/>
    <w:rsid w:val="00486655"/>
    <w:rsid w:val="0049280D"/>
    <w:rsid w:val="00492BA9"/>
    <w:rsid w:val="004935C2"/>
    <w:rsid w:val="00496374"/>
    <w:rsid w:val="004A40C5"/>
    <w:rsid w:val="004A59C1"/>
    <w:rsid w:val="004A7830"/>
    <w:rsid w:val="004B2DF6"/>
    <w:rsid w:val="004B2FF6"/>
    <w:rsid w:val="004B4E91"/>
    <w:rsid w:val="004B5797"/>
    <w:rsid w:val="004B7096"/>
    <w:rsid w:val="004B7412"/>
    <w:rsid w:val="004B7436"/>
    <w:rsid w:val="004C222D"/>
    <w:rsid w:val="004C3DD1"/>
    <w:rsid w:val="004C3F71"/>
    <w:rsid w:val="004D5196"/>
    <w:rsid w:val="004D5CC6"/>
    <w:rsid w:val="004D6DB4"/>
    <w:rsid w:val="004D71E7"/>
    <w:rsid w:val="004E09B8"/>
    <w:rsid w:val="004E1737"/>
    <w:rsid w:val="004E2072"/>
    <w:rsid w:val="004F303D"/>
    <w:rsid w:val="004F38CD"/>
    <w:rsid w:val="004F5D36"/>
    <w:rsid w:val="004F6195"/>
    <w:rsid w:val="004F692B"/>
    <w:rsid w:val="00504EBB"/>
    <w:rsid w:val="0050659B"/>
    <w:rsid w:val="00507472"/>
    <w:rsid w:val="005111D2"/>
    <w:rsid w:val="005130A9"/>
    <w:rsid w:val="005141D4"/>
    <w:rsid w:val="00514932"/>
    <w:rsid w:val="005153F7"/>
    <w:rsid w:val="00515952"/>
    <w:rsid w:val="005220A8"/>
    <w:rsid w:val="005224C1"/>
    <w:rsid w:val="005231DA"/>
    <w:rsid w:val="005245D8"/>
    <w:rsid w:val="00530625"/>
    <w:rsid w:val="0053079B"/>
    <w:rsid w:val="0053153F"/>
    <w:rsid w:val="00531C9F"/>
    <w:rsid w:val="005328D4"/>
    <w:rsid w:val="00533EEB"/>
    <w:rsid w:val="00534AE7"/>
    <w:rsid w:val="005361AF"/>
    <w:rsid w:val="00536822"/>
    <w:rsid w:val="00536954"/>
    <w:rsid w:val="0053728E"/>
    <w:rsid w:val="00540563"/>
    <w:rsid w:val="00540606"/>
    <w:rsid w:val="005411AC"/>
    <w:rsid w:val="00541870"/>
    <w:rsid w:val="005436EC"/>
    <w:rsid w:val="00543DD3"/>
    <w:rsid w:val="00544A37"/>
    <w:rsid w:val="00545971"/>
    <w:rsid w:val="005478C7"/>
    <w:rsid w:val="00550147"/>
    <w:rsid w:val="005504FF"/>
    <w:rsid w:val="00550AC2"/>
    <w:rsid w:val="00551FDB"/>
    <w:rsid w:val="00554D18"/>
    <w:rsid w:val="00564382"/>
    <w:rsid w:val="00564E3C"/>
    <w:rsid w:val="0056501A"/>
    <w:rsid w:val="00565024"/>
    <w:rsid w:val="00571AD4"/>
    <w:rsid w:val="00573886"/>
    <w:rsid w:val="00573EE2"/>
    <w:rsid w:val="005766D5"/>
    <w:rsid w:val="00577D19"/>
    <w:rsid w:val="00590190"/>
    <w:rsid w:val="005907CD"/>
    <w:rsid w:val="0059586E"/>
    <w:rsid w:val="00597875"/>
    <w:rsid w:val="005A2139"/>
    <w:rsid w:val="005A37E5"/>
    <w:rsid w:val="005A4EB8"/>
    <w:rsid w:val="005A50EB"/>
    <w:rsid w:val="005A5BBA"/>
    <w:rsid w:val="005A5F08"/>
    <w:rsid w:val="005A78BC"/>
    <w:rsid w:val="005B3143"/>
    <w:rsid w:val="005B31D7"/>
    <w:rsid w:val="005B460E"/>
    <w:rsid w:val="005C0BC2"/>
    <w:rsid w:val="005C150C"/>
    <w:rsid w:val="005C318A"/>
    <w:rsid w:val="005D3285"/>
    <w:rsid w:val="005D507E"/>
    <w:rsid w:val="005D52F3"/>
    <w:rsid w:val="005D72AF"/>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06013"/>
    <w:rsid w:val="006135FD"/>
    <w:rsid w:val="0061438C"/>
    <w:rsid w:val="006150BE"/>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2F40"/>
    <w:rsid w:val="00664259"/>
    <w:rsid w:val="00664867"/>
    <w:rsid w:val="00667012"/>
    <w:rsid w:val="00675867"/>
    <w:rsid w:val="006768F0"/>
    <w:rsid w:val="00677078"/>
    <w:rsid w:val="00681F49"/>
    <w:rsid w:val="00682A4A"/>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D76E0"/>
    <w:rsid w:val="006E26DC"/>
    <w:rsid w:val="006E6A2F"/>
    <w:rsid w:val="006E70A0"/>
    <w:rsid w:val="006F32FB"/>
    <w:rsid w:val="006F4298"/>
    <w:rsid w:val="006F66F1"/>
    <w:rsid w:val="006F6BC3"/>
    <w:rsid w:val="006F7641"/>
    <w:rsid w:val="007046C5"/>
    <w:rsid w:val="00704CBA"/>
    <w:rsid w:val="00704D83"/>
    <w:rsid w:val="007052FC"/>
    <w:rsid w:val="00705D83"/>
    <w:rsid w:val="00707E44"/>
    <w:rsid w:val="00710AF5"/>
    <w:rsid w:val="00710E0C"/>
    <w:rsid w:val="007131CE"/>
    <w:rsid w:val="00713AF1"/>
    <w:rsid w:val="00716355"/>
    <w:rsid w:val="00720FD2"/>
    <w:rsid w:val="0072112C"/>
    <w:rsid w:val="0072112F"/>
    <w:rsid w:val="00724267"/>
    <w:rsid w:val="00725BF5"/>
    <w:rsid w:val="00727B95"/>
    <w:rsid w:val="007320FB"/>
    <w:rsid w:val="007362E3"/>
    <w:rsid w:val="007408D1"/>
    <w:rsid w:val="00740A6C"/>
    <w:rsid w:val="00741E71"/>
    <w:rsid w:val="00743390"/>
    <w:rsid w:val="00743627"/>
    <w:rsid w:val="00743E6A"/>
    <w:rsid w:val="00744C4D"/>
    <w:rsid w:val="0074636A"/>
    <w:rsid w:val="00750450"/>
    <w:rsid w:val="00753B64"/>
    <w:rsid w:val="007563D8"/>
    <w:rsid w:val="0076114C"/>
    <w:rsid w:val="00762590"/>
    <w:rsid w:val="0076280C"/>
    <w:rsid w:val="007630EF"/>
    <w:rsid w:val="007648F0"/>
    <w:rsid w:val="00764E1A"/>
    <w:rsid w:val="0076665A"/>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90D"/>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D6231"/>
    <w:rsid w:val="007E11E7"/>
    <w:rsid w:val="007E1493"/>
    <w:rsid w:val="007E3027"/>
    <w:rsid w:val="007E38CD"/>
    <w:rsid w:val="007E5614"/>
    <w:rsid w:val="007E6E9A"/>
    <w:rsid w:val="007E768B"/>
    <w:rsid w:val="007F04C6"/>
    <w:rsid w:val="007F13CC"/>
    <w:rsid w:val="007F2512"/>
    <w:rsid w:val="007F2DE8"/>
    <w:rsid w:val="007F3E94"/>
    <w:rsid w:val="007F4493"/>
    <w:rsid w:val="007F4C72"/>
    <w:rsid w:val="007F5903"/>
    <w:rsid w:val="007F5D6E"/>
    <w:rsid w:val="007F64D9"/>
    <w:rsid w:val="007F71F9"/>
    <w:rsid w:val="007F7866"/>
    <w:rsid w:val="008011E7"/>
    <w:rsid w:val="0080323F"/>
    <w:rsid w:val="00805BDB"/>
    <w:rsid w:val="008063BB"/>
    <w:rsid w:val="00812394"/>
    <w:rsid w:val="008123FF"/>
    <w:rsid w:val="0081387C"/>
    <w:rsid w:val="00814072"/>
    <w:rsid w:val="0081474E"/>
    <w:rsid w:val="008171F9"/>
    <w:rsid w:val="008200C4"/>
    <w:rsid w:val="00826BAD"/>
    <w:rsid w:val="0083053E"/>
    <w:rsid w:val="008317A3"/>
    <w:rsid w:val="00831B5E"/>
    <w:rsid w:val="00832F5B"/>
    <w:rsid w:val="00837ECF"/>
    <w:rsid w:val="00841AC4"/>
    <w:rsid w:val="00845A34"/>
    <w:rsid w:val="00847E9E"/>
    <w:rsid w:val="00850AB7"/>
    <w:rsid w:val="00852192"/>
    <w:rsid w:val="00852BBB"/>
    <w:rsid w:val="00856806"/>
    <w:rsid w:val="00856D3C"/>
    <w:rsid w:val="00857BC8"/>
    <w:rsid w:val="00860609"/>
    <w:rsid w:val="00863360"/>
    <w:rsid w:val="00863FC3"/>
    <w:rsid w:val="0087199F"/>
    <w:rsid w:val="00871CBD"/>
    <w:rsid w:val="00873732"/>
    <w:rsid w:val="00874C1A"/>
    <w:rsid w:val="00877EBC"/>
    <w:rsid w:val="00880B97"/>
    <w:rsid w:val="00881800"/>
    <w:rsid w:val="00883A3E"/>
    <w:rsid w:val="008845ED"/>
    <w:rsid w:val="0088579E"/>
    <w:rsid w:val="00885B2F"/>
    <w:rsid w:val="008875C1"/>
    <w:rsid w:val="00891E25"/>
    <w:rsid w:val="008926E5"/>
    <w:rsid w:val="008926F3"/>
    <w:rsid w:val="008953F0"/>
    <w:rsid w:val="008972CE"/>
    <w:rsid w:val="008A04D3"/>
    <w:rsid w:val="008A0B01"/>
    <w:rsid w:val="008A0BD0"/>
    <w:rsid w:val="008A4116"/>
    <w:rsid w:val="008A60F1"/>
    <w:rsid w:val="008B2EEE"/>
    <w:rsid w:val="008B30CD"/>
    <w:rsid w:val="008B3925"/>
    <w:rsid w:val="008B4E8C"/>
    <w:rsid w:val="008B4F0F"/>
    <w:rsid w:val="008C000E"/>
    <w:rsid w:val="008C04FA"/>
    <w:rsid w:val="008C1620"/>
    <w:rsid w:val="008C1795"/>
    <w:rsid w:val="008C2254"/>
    <w:rsid w:val="008C3938"/>
    <w:rsid w:val="008C3A59"/>
    <w:rsid w:val="008C4B0D"/>
    <w:rsid w:val="008D21A1"/>
    <w:rsid w:val="008D33FC"/>
    <w:rsid w:val="008E1286"/>
    <w:rsid w:val="008E19F3"/>
    <w:rsid w:val="008E1F4A"/>
    <w:rsid w:val="008E694A"/>
    <w:rsid w:val="008E79E2"/>
    <w:rsid w:val="008F08A1"/>
    <w:rsid w:val="008F0C4A"/>
    <w:rsid w:val="008F1824"/>
    <w:rsid w:val="008F2AEC"/>
    <w:rsid w:val="008F36CB"/>
    <w:rsid w:val="008F3C6D"/>
    <w:rsid w:val="008F6AAF"/>
    <w:rsid w:val="008F726D"/>
    <w:rsid w:val="00901DB4"/>
    <w:rsid w:val="00901E1F"/>
    <w:rsid w:val="0090292E"/>
    <w:rsid w:val="009053E5"/>
    <w:rsid w:val="0090656A"/>
    <w:rsid w:val="009066E9"/>
    <w:rsid w:val="00906E67"/>
    <w:rsid w:val="0091135A"/>
    <w:rsid w:val="009144B1"/>
    <w:rsid w:val="00915ADA"/>
    <w:rsid w:val="00916B03"/>
    <w:rsid w:val="00920391"/>
    <w:rsid w:val="0092097A"/>
    <w:rsid w:val="00921003"/>
    <w:rsid w:val="009222C9"/>
    <w:rsid w:val="009228CF"/>
    <w:rsid w:val="0092416B"/>
    <w:rsid w:val="00925499"/>
    <w:rsid w:val="009267EF"/>
    <w:rsid w:val="00930569"/>
    <w:rsid w:val="0093178D"/>
    <w:rsid w:val="00931F18"/>
    <w:rsid w:val="00932625"/>
    <w:rsid w:val="009343CC"/>
    <w:rsid w:val="009344C2"/>
    <w:rsid w:val="00934B3E"/>
    <w:rsid w:val="00934CD7"/>
    <w:rsid w:val="00935CE8"/>
    <w:rsid w:val="009412B0"/>
    <w:rsid w:val="00944750"/>
    <w:rsid w:val="00944E57"/>
    <w:rsid w:val="009462A7"/>
    <w:rsid w:val="0094645B"/>
    <w:rsid w:val="0094705C"/>
    <w:rsid w:val="00954814"/>
    <w:rsid w:val="00957739"/>
    <w:rsid w:val="00957B41"/>
    <w:rsid w:val="009631E0"/>
    <w:rsid w:val="009649D2"/>
    <w:rsid w:val="009660BD"/>
    <w:rsid w:val="009674F1"/>
    <w:rsid w:val="009750FA"/>
    <w:rsid w:val="00976EE4"/>
    <w:rsid w:val="009771E2"/>
    <w:rsid w:val="009771E6"/>
    <w:rsid w:val="00977540"/>
    <w:rsid w:val="009834E2"/>
    <w:rsid w:val="00983BFD"/>
    <w:rsid w:val="00985DC8"/>
    <w:rsid w:val="009917AF"/>
    <w:rsid w:val="009933F2"/>
    <w:rsid w:val="009A0029"/>
    <w:rsid w:val="009A4FC0"/>
    <w:rsid w:val="009A52BA"/>
    <w:rsid w:val="009A63A0"/>
    <w:rsid w:val="009A69B1"/>
    <w:rsid w:val="009A700C"/>
    <w:rsid w:val="009B1D25"/>
    <w:rsid w:val="009C08AE"/>
    <w:rsid w:val="009C0ECA"/>
    <w:rsid w:val="009C16D4"/>
    <w:rsid w:val="009C45BA"/>
    <w:rsid w:val="009C58F0"/>
    <w:rsid w:val="009C7948"/>
    <w:rsid w:val="009C79BD"/>
    <w:rsid w:val="009D01A2"/>
    <w:rsid w:val="009D1D17"/>
    <w:rsid w:val="009D2197"/>
    <w:rsid w:val="009D24BB"/>
    <w:rsid w:val="009D44DD"/>
    <w:rsid w:val="009D64B2"/>
    <w:rsid w:val="009D729E"/>
    <w:rsid w:val="009D7493"/>
    <w:rsid w:val="009E0596"/>
    <w:rsid w:val="009E233F"/>
    <w:rsid w:val="009E24B0"/>
    <w:rsid w:val="009E2575"/>
    <w:rsid w:val="009E317D"/>
    <w:rsid w:val="009E31C0"/>
    <w:rsid w:val="009E3B52"/>
    <w:rsid w:val="009E5992"/>
    <w:rsid w:val="009F21DD"/>
    <w:rsid w:val="009F2CB2"/>
    <w:rsid w:val="009F342D"/>
    <w:rsid w:val="009F3DA2"/>
    <w:rsid w:val="009F59EE"/>
    <w:rsid w:val="009F6CFC"/>
    <w:rsid w:val="00A008B8"/>
    <w:rsid w:val="00A00D89"/>
    <w:rsid w:val="00A04BAE"/>
    <w:rsid w:val="00A04EC0"/>
    <w:rsid w:val="00A05887"/>
    <w:rsid w:val="00A069E2"/>
    <w:rsid w:val="00A0713C"/>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71E"/>
    <w:rsid w:val="00A3783E"/>
    <w:rsid w:val="00A41EA4"/>
    <w:rsid w:val="00A43785"/>
    <w:rsid w:val="00A43AC5"/>
    <w:rsid w:val="00A44FE0"/>
    <w:rsid w:val="00A4618A"/>
    <w:rsid w:val="00A500F9"/>
    <w:rsid w:val="00A50D03"/>
    <w:rsid w:val="00A52128"/>
    <w:rsid w:val="00A522F5"/>
    <w:rsid w:val="00A53799"/>
    <w:rsid w:val="00A551C6"/>
    <w:rsid w:val="00A55209"/>
    <w:rsid w:val="00A566B1"/>
    <w:rsid w:val="00A61269"/>
    <w:rsid w:val="00A624BA"/>
    <w:rsid w:val="00A64F9A"/>
    <w:rsid w:val="00A65282"/>
    <w:rsid w:val="00A672BC"/>
    <w:rsid w:val="00A712B2"/>
    <w:rsid w:val="00A720B2"/>
    <w:rsid w:val="00A74214"/>
    <w:rsid w:val="00A7796E"/>
    <w:rsid w:val="00A812F9"/>
    <w:rsid w:val="00A86544"/>
    <w:rsid w:val="00A879DE"/>
    <w:rsid w:val="00A9085F"/>
    <w:rsid w:val="00A92C95"/>
    <w:rsid w:val="00A93A25"/>
    <w:rsid w:val="00A95A73"/>
    <w:rsid w:val="00AA0920"/>
    <w:rsid w:val="00AA3055"/>
    <w:rsid w:val="00AA45BC"/>
    <w:rsid w:val="00AA469A"/>
    <w:rsid w:val="00AA5141"/>
    <w:rsid w:val="00AA6E6D"/>
    <w:rsid w:val="00AA715C"/>
    <w:rsid w:val="00AA7977"/>
    <w:rsid w:val="00AA79D9"/>
    <w:rsid w:val="00AB0126"/>
    <w:rsid w:val="00AB50FF"/>
    <w:rsid w:val="00AB6239"/>
    <w:rsid w:val="00AC1F09"/>
    <w:rsid w:val="00AC4BEC"/>
    <w:rsid w:val="00AC57BB"/>
    <w:rsid w:val="00AC614D"/>
    <w:rsid w:val="00AD0323"/>
    <w:rsid w:val="00AD1F39"/>
    <w:rsid w:val="00AD4295"/>
    <w:rsid w:val="00AD4BC3"/>
    <w:rsid w:val="00AD647D"/>
    <w:rsid w:val="00AE02FD"/>
    <w:rsid w:val="00AE267B"/>
    <w:rsid w:val="00AE2698"/>
    <w:rsid w:val="00AE313F"/>
    <w:rsid w:val="00AE34F4"/>
    <w:rsid w:val="00AF042F"/>
    <w:rsid w:val="00AF412F"/>
    <w:rsid w:val="00AF67FE"/>
    <w:rsid w:val="00B00C49"/>
    <w:rsid w:val="00B01601"/>
    <w:rsid w:val="00B0200B"/>
    <w:rsid w:val="00B03105"/>
    <w:rsid w:val="00B03461"/>
    <w:rsid w:val="00B0766F"/>
    <w:rsid w:val="00B07D78"/>
    <w:rsid w:val="00B07F42"/>
    <w:rsid w:val="00B10787"/>
    <w:rsid w:val="00B11974"/>
    <w:rsid w:val="00B12CF8"/>
    <w:rsid w:val="00B13035"/>
    <w:rsid w:val="00B225A2"/>
    <w:rsid w:val="00B244B9"/>
    <w:rsid w:val="00B24559"/>
    <w:rsid w:val="00B27020"/>
    <w:rsid w:val="00B27178"/>
    <w:rsid w:val="00B310C3"/>
    <w:rsid w:val="00B3293D"/>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6CF"/>
    <w:rsid w:val="00B67AF0"/>
    <w:rsid w:val="00B7067C"/>
    <w:rsid w:val="00B72C6B"/>
    <w:rsid w:val="00B72E16"/>
    <w:rsid w:val="00B73012"/>
    <w:rsid w:val="00B73E39"/>
    <w:rsid w:val="00B83D7B"/>
    <w:rsid w:val="00B85620"/>
    <w:rsid w:val="00B8588E"/>
    <w:rsid w:val="00B91131"/>
    <w:rsid w:val="00B94E88"/>
    <w:rsid w:val="00B95BB2"/>
    <w:rsid w:val="00B95EBA"/>
    <w:rsid w:val="00B97151"/>
    <w:rsid w:val="00BA037E"/>
    <w:rsid w:val="00BA04AB"/>
    <w:rsid w:val="00BA23D8"/>
    <w:rsid w:val="00BA35C9"/>
    <w:rsid w:val="00BA3EE0"/>
    <w:rsid w:val="00BA43E2"/>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BF0D8F"/>
    <w:rsid w:val="00C03192"/>
    <w:rsid w:val="00C04CD1"/>
    <w:rsid w:val="00C06684"/>
    <w:rsid w:val="00C10C80"/>
    <w:rsid w:val="00C11CD5"/>
    <w:rsid w:val="00C22046"/>
    <w:rsid w:val="00C23E32"/>
    <w:rsid w:val="00C251C4"/>
    <w:rsid w:val="00C266F9"/>
    <w:rsid w:val="00C27759"/>
    <w:rsid w:val="00C314C1"/>
    <w:rsid w:val="00C31917"/>
    <w:rsid w:val="00C37B8E"/>
    <w:rsid w:val="00C40571"/>
    <w:rsid w:val="00C40D7F"/>
    <w:rsid w:val="00C41741"/>
    <w:rsid w:val="00C41DD9"/>
    <w:rsid w:val="00C427DA"/>
    <w:rsid w:val="00C42C49"/>
    <w:rsid w:val="00C42FAF"/>
    <w:rsid w:val="00C47FE5"/>
    <w:rsid w:val="00C521D9"/>
    <w:rsid w:val="00C52C56"/>
    <w:rsid w:val="00C56053"/>
    <w:rsid w:val="00C568FB"/>
    <w:rsid w:val="00C56D0A"/>
    <w:rsid w:val="00C67476"/>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C3679"/>
    <w:rsid w:val="00CC63F7"/>
    <w:rsid w:val="00CC7209"/>
    <w:rsid w:val="00CC721B"/>
    <w:rsid w:val="00CD18B3"/>
    <w:rsid w:val="00CD2C10"/>
    <w:rsid w:val="00CD3324"/>
    <w:rsid w:val="00CD5FBC"/>
    <w:rsid w:val="00CD6162"/>
    <w:rsid w:val="00CE3B40"/>
    <w:rsid w:val="00CE4309"/>
    <w:rsid w:val="00CE5DBB"/>
    <w:rsid w:val="00CE6C6E"/>
    <w:rsid w:val="00CE7F66"/>
    <w:rsid w:val="00CF42B9"/>
    <w:rsid w:val="00CF580B"/>
    <w:rsid w:val="00CF7819"/>
    <w:rsid w:val="00D01832"/>
    <w:rsid w:val="00D033AD"/>
    <w:rsid w:val="00D04527"/>
    <w:rsid w:val="00D201A6"/>
    <w:rsid w:val="00D21C96"/>
    <w:rsid w:val="00D30854"/>
    <w:rsid w:val="00D31127"/>
    <w:rsid w:val="00D33134"/>
    <w:rsid w:val="00D33ACD"/>
    <w:rsid w:val="00D366B5"/>
    <w:rsid w:val="00D4052C"/>
    <w:rsid w:val="00D43328"/>
    <w:rsid w:val="00D43DD3"/>
    <w:rsid w:val="00D447AC"/>
    <w:rsid w:val="00D4538C"/>
    <w:rsid w:val="00D4539F"/>
    <w:rsid w:val="00D458F0"/>
    <w:rsid w:val="00D45D3C"/>
    <w:rsid w:val="00D472C6"/>
    <w:rsid w:val="00D5079D"/>
    <w:rsid w:val="00D50B73"/>
    <w:rsid w:val="00D535DF"/>
    <w:rsid w:val="00D54957"/>
    <w:rsid w:val="00D55BD2"/>
    <w:rsid w:val="00D57CA6"/>
    <w:rsid w:val="00D6041B"/>
    <w:rsid w:val="00D60D98"/>
    <w:rsid w:val="00D61018"/>
    <w:rsid w:val="00D6265B"/>
    <w:rsid w:val="00D66D12"/>
    <w:rsid w:val="00D6773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4D96"/>
    <w:rsid w:val="00D9690A"/>
    <w:rsid w:val="00DA073A"/>
    <w:rsid w:val="00DA08E6"/>
    <w:rsid w:val="00DA244F"/>
    <w:rsid w:val="00DA441B"/>
    <w:rsid w:val="00DA50BA"/>
    <w:rsid w:val="00DA5330"/>
    <w:rsid w:val="00DA55A8"/>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5EC0"/>
    <w:rsid w:val="00DD68B5"/>
    <w:rsid w:val="00DD7FC1"/>
    <w:rsid w:val="00DE62D6"/>
    <w:rsid w:val="00DE6BB0"/>
    <w:rsid w:val="00DE7740"/>
    <w:rsid w:val="00DF0000"/>
    <w:rsid w:val="00DF020C"/>
    <w:rsid w:val="00DF05CC"/>
    <w:rsid w:val="00DF1624"/>
    <w:rsid w:val="00DF16F7"/>
    <w:rsid w:val="00DF4BD2"/>
    <w:rsid w:val="00DF5A2C"/>
    <w:rsid w:val="00DF7709"/>
    <w:rsid w:val="00DF7D1B"/>
    <w:rsid w:val="00E003F9"/>
    <w:rsid w:val="00E00DC6"/>
    <w:rsid w:val="00E01A0A"/>
    <w:rsid w:val="00E02B4A"/>
    <w:rsid w:val="00E058A3"/>
    <w:rsid w:val="00E06422"/>
    <w:rsid w:val="00E07A88"/>
    <w:rsid w:val="00E11439"/>
    <w:rsid w:val="00E140B8"/>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267D"/>
    <w:rsid w:val="00E4313E"/>
    <w:rsid w:val="00E43F59"/>
    <w:rsid w:val="00E448C8"/>
    <w:rsid w:val="00E45D9D"/>
    <w:rsid w:val="00E461E4"/>
    <w:rsid w:val="00E47FF9"/>
    <w:rsid w:val="00E518BB"/>
    <w:rsid w:val="00E55D0D"/>
    <w:rsid w:val="00E56A60"/>
    <w:rsid w:val="00E57F9B"/>
    <w:rsid w:val="00E65A9A"/>
    <w:rsid w:val="00E6726D"/>
    <w:rsid w:val="00E74240"/>
    <w:rsid w:val="00E76043"/>
    <w:rsid w:val="00E77BCA"/>
    <w:rsid w:val="00E81433"/>
    <w:rsid w:val="00E81C95"/>
    <w:rsid w:val="00E8372E"/>
    <w:rsid w:val="00E84B41"/>
    <w:rsid w:val="00E852A3"/>
    <w:rsid w:val="00E93958"/>
    <w:rsid w:val="00E968DA"/>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2E9"/>
    <w:rsid w:val="00EC7BC1"/>
    <w:rsid w:val="00EC7F0E"/>
    <w:rsid w:val="00ED1BBB"/>
    <w:rsid w:val="00ED2D1F"/>
    <w:rsid w:val="00ED47B9"/>
    <w:rsid w:val="00ED58E9"/>
    <w:rsid w:val="00ED64CD"/>
    <w:rsid w:val="00ED79D6"/>
    <w:rsid w:val="00EE1831"/>
    <w:rsid w:val="00EE3451"/>
    <w:rsid w:val="00EE3C70"/>
    <w:rsid w:val="00EE63BE"/>
    <w:rsid w:val="00EE6922"/>
    <w:rsid w:val="00EE6E06"/>
    <w:rsid w:val="00EE6F99"/>
    <w:rsid w:val="00EF0284"/>
    <w:rsid w:val="00EF18D9"/>
    <w:rsid w:val="00EF1AE7"/>
    <w:rsid w:val="00EF2F7C"/>
    <w:rsid w:val="00EF318B"/>
    <w:rsid w:val="00EF6D8C"/>
    <w:rsid w:val="00F01A8D"/>
    <w:rsid w:val="00F01BFC"/>
    <w:rsid w:val="00F02356"/>
    <w:rsid w:val="00F02434"/>
    <w:rsid w:val="00F02D95"/>
    <w:rsid w:val="00F101B3"/>
    <w:rsid w:val="00F10A3C"/>
    <w:rsid w:val="00F13FDA"/>
    <w:rsid w:val="00F14982"/>
    <w:rsid w:val="00F14B6E"/>
    <w:rsid w:val="00F20B64"/>
    <w:rsid w:val="00F20D55"/>
    <w:rsid w:val="00F210E1"/>
    <w:rsid w:val="00F21D05"/>
    <w:rsid w:val="00F250B8"/>
    <w:rsid w:val="00F253CD"/>
    <w:rsid w:val="00F25676"/>
    <w:rsid w:val="00F2598D"/>
    <w:rsid w:val="00F259AE"/>
    <w:rsid w:val="00F30F02"/>
    <w:rsid w:val="00F30F30"/>
    <w:rsid w:val="00F311EB"/>
    <w:rsid w:val="00F31B7E"/>
    <w:rsid w:val="00F336A2"/>
    <w:rsid w:val="00F33826"/>
    <w:rsid w:val="00F33D58"/>
    <w:rsid w:val="00F34E7C"/>
    <w:rsid w:val="00F350A2"/>
    <w:rsid w:val="00F3561E"/>
    <w:rsid w:val="00F36EC6"/>
    <w:rsid w:val="00F4229F"/>
    <w:rsid w:val="00F43A8C"/>
    <w:rsid w:val="00F44AEB"/>
    <w:rsid w:val="00F45620"/>
    <w:rsid w:val="00F465B7"/>
    <w:rsid w:val="00F46BBD"/>
    <w:rsid w:val="00F479A2"/>
    <w:rsid w:val="00F50676"/>
    <w:rsid w:val="00F51B95"/>
    <w:rsid w:val="00F5432C"/>
    <w:rsid w:val="00F5470D"/>
    <w:rsid w:val="00F5611C"/>
    <w:rsid w:val="00F56253"/>
    <w:rsid w:val="00F637FB"/>
    <w:rsid w:val="00F640A4"/>
    <w:rsid w:val="00F65F8D"/>
    <w:rsid w:val="00F66B41"/>
    <w:rsid w:val="00F712AB"/>
    <w:rsid w:val="00F77D7D"/>
    <w:rsid w:val="00F800F5"/>
    <w:rsid w:val="00F80CD0"/>
    <w:rsid w:val="00F81361"/>
    <w:rsid w:val="00F82DDB"/>
    <w:rsid w:val="00F838FF"/>
    <w:rsid w:val="00F83CDB"/>
    <w:rsid w:val="00F8401D"/>
    <w:rsid w:val="00F8771B"/>
    <w:rsid w:val="00F87E05"/>
    <w:rsid w:val="00F90003"/>
    <w:rsid w:val="00F9173C"/>
    <w:rsid w:val="00F94180"/>
    <w:rsid w:val="00F95752"/>
    <w:rsid w:val="00FA04F3"/>
    <w:rsid w:val="00FA1C73"/>
    <w:rsid w:val="00FA3302"/>
    <w:rsid w:val="00FA36E8"/>
    <w:rsid w:val="00FA69C2"/>
    <w:rsid w:val="00FA6B22"/>
    <w:rsid w:val="00FA6E63"/>
    <w:rsid w:val="00FA73E5"/>
    <w:rsid w:val="00FB18D0"/>
    <w:rsid w:val="00FB2ED6"/>
    <w:rsid w:val="00FB3309"/>
    <w:rsid w:val="00FB53F1"/>
    <w:rsid w:val="00FB65BA"/>
    <w:rsid w:val="00FC0973"/>
    <w:rsid w:val="00FC2216"/>
    <w:rsid w:val="00FC23FE"/>
    <w:rsid w:val="00FC2522"/>
    <w:rsid w:val="00FC309B"/>
    <w:rsid w:val="00FC5B56"/>
    <w:rsid w:val="00FC6F1F"/>
    <w:rsid w:val="00FC7D97"/>
    <w:rsid w:val="00FC7DA9"/>
    <w:rsid w:val="00FD3143"/>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64516345">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1425086">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279454220">
      <w:bodyDiv w:val="1"/>
      <w:marLeft w:val="0"/>
      <w:marRight w:val="0"/>
      <w:marTop w:val="0"/>
      <w:marBottom w:val="0"/>
      <w:divBdr>
        <w:top w:val="none" w:sz="0" w:space="0" w:color="auto"/>
        <w:left w:val="none" w:sz="0" w:space="0" w:color="auto"/>
        <w:bottom w:val="none" w:sz="0" w:space="0" w:color="auto"/>
        <w:right w:val="none" w:sz="0" w:space="0" w:color="auto"/>
      </w:divBdr>
    </w:div>
    <w:div w:id="489292598">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00669686">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784617379">
      <w:bodyDiv w:val="1"/>
      <w:marLeft w:val="0"/>
      <w:marRight w:val="0"/>
      <w:marTop w:val="0"/>
      <w:marBottom w:val="0"/>
      <w:divBdr>
        <w:top w:val="none" w:sz="0" w:space="0" w:color="auto"/>
        <w:left w:val="none" w:sz="0" w:space="0" w:color="auto"/>
        <w:bottom w:val="none" w:sz="0" w:space="0" w:color="auto"/>
        <w:right w:val="none" w:sz="0" w:space="0" w:color="auto"/>
      </w:divBdr>
    </w:div>
    <w:div w:id="803158861">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10893456">
      <w:bodyDiv w:val="1"/>
      <w:marLeft w:val="0"/>
      <w:marRight w:val="0"/>
      <w:marTop w:val="0"/>
      <w:marBottom w:val="0"/>
      <w:divBdr>
        <w:top w:val="none" w:sz="0" w:space="0" w:color="auto"/>
        <w:left w:val="none" w:sz="0" w:space="0" w:color="auto"/>
        <w:bottom w:val="none" w:sz="0" w:space="0" w:color="auto"/>
        <w:right w:val="none" w:sz="0" w:space="0" w:color="auto"/>
      </w:divBdr>
    </w:div>
    <w:div w:id="950550362">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48380583">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51290614">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189828885">
      <w:bodyDiv w:val="1"/>
      <w:marLeft w:val="0"/>
      <w:marRight w:val="0"/>
      <w:marTop w:val="0"/>
      <w:marBottom w:val="0"/>
      <w:divBdr>
        <w:top w:val="none" w:sz="0" w:space="0" w:color="auto"/>
        <w:left w:val="none" w:sz="0" w:space="0" w:color="auto"/>
        <w:bottom w:val="none" w:sz="0" w:space="0" w:color="auto"/>
        <w:right w:val="none" w:sz="0" w:space="0" w:color="auto"/>
      </w:divBdr>
    </w:div>
    <w:div w:id="1199665655">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738724">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34126515">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665860585">
      <w:bodyDiv w:val="1"/>
      <w:marLeft w:val="0"/>
      <w:marRight w:val="0"/>
      <w:marTop w:val="0"/>
      <w:marBottom w:val="0"/>
      <w:divBdr>
        <w:top w:val="none" w:sz="0" w:space="0" w:color="auto"/>
        <w:left w:val="none" w:sz="0" w:space="0" w:color="auto"/>
        <w:bottom w:val="none" w:sz="0" w:space="0" w:color="auto"/>
        <w:right w:val="none" w:sz="0" w:space="0" w:color="auto"/>
      </w:divBdr>
    </w:div>
    <w:div w:id="1803692389">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11061690">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642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3867307">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 w:id="2140146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F995F-159B-4D8D-B121-2952FC6F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Pages>
  <Words>983</Words>
  <Characters>5800</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8</cp:revision>
  <dcterms:created xsi:type="dcterms:W3CDTF">2026-01-07T09:04:00Z</dcterms:created>
  <dcterms:modified xsi:type="dcterms:W3CDTF">2026-01-13T07:52:00Z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