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asciiTheme="minorHAnsi" w:hAnsiTheme="minorHAnsi" w:cstheme="minorHAnsi"/>
          <w:highlight w:val="yellow"/>
        </w:rPr>
        <w:id w:val="120037484"/>
        <w:docPartObj>
          <w:docPartGallery w:val="Cover Pages"/>
          <w:docPartUnique/>
        </w:docPartObj>
      </w:sdtPr>
      <w:sdtEndPr>
        <w:rPr>
          <w:b/>
          <w:sz w:val="20"/>
          <w:szCs w:val="20"/>
        </w:rPr>
      </w:sdtEndPr>
      <w:sdtContent>
        <w:p w14:paraId="718E6546" w14:textId="3DEA865B" w:rsidR="00D80B6D" w:rsidRPr="00A005B2" w:rsidRDefault="00D80B6D">
          <w:pPr>
            <w:rPr>
              <w:rFonts w:asciiTheme="minorHAnsi" w:hAnsiTheme="minorHAnsi" w:cstheme="minorHAnsi"/>
              <w:highlight w:val="yellow"/>
            </w:rPr>
          </w:pPr>
        </w:p>
        <w:p w14:paraId="7ED014A1" w14:textId="77777777" w:rsidR="00D80B6D" w:rsidRPr="00A005B2" w:rsidRDefault="00D80B6D" w:rsidP="00D80B6D">
          <w:pPr>
            <w:pStyle w:val="Nadpis3"/>
            <w:spacing w:before="10"/>
            <w:rPr>
              <w:rFonts w:asciiTheme="minorHAnsi" w:hAnsiTheme="minorHAnsi" w:cstheme="minorHAnsi"/>
              <w:color w:val="1D1D1B"/>
              <w:highlight w:val="yellow"/>
            </w:rPr>
          </w:pPr>
        </w:p>
        <w:p w14:paraId="0FB45B67" w14:textId="146178C2" w:rsidR="00D80B6D" w:rsidRPr="00A005B2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005B2">
            <w:rPr>
              <w:rFonts w:asciiTheme="minorHAnsi" w:hAnsiTheme="minorHAnsi" w:cstheme="minorHAnsi"/>
              <w:color w:val="1D1D1B"/>
              <w:sz w:val="24"/>
            </w:rPr>
            <w:t xml:space="preserve">INDEX HYPOTEČNÍCH ÚVĚRŮ </w:t>
          </w:r>
          <w:r w:rsidRPr="00A005B2">
            <w:rPr>
              <w:rFonts w:asciiTheme="minorHAnsi" w:hAnsiTheme="minorHAnsi" w:cstheme="minorHAnsi"/>
              <w:color w:val="CD1719"/>
              <w:sz w:val="24"/>
            </w:rPr>
            <w:t xml:space="preserve">| </w:t>
          </w:r>
          <w:r w:rsidRPr="00A005B2">
            <w:rPr>
              <w:rFonts w:asciiTheme="minorHAnsi" w:hAnsiTheme="minorHAnsi" w:cstheme="minorHAnsi"/>
              <w:color w:val="1D1D1B"/>
              <w:sz w:val="24"/>
            </w:rPr>
            <w:t xml:space="preserve">FIXINDEX </w:t>
          </w:r>
        </w:p>
        <w:p w14:paraId="32900BCE" w14:textId="77026CE5" w:rsidR="00D80B6D" w:rsidRPr="00A005B2" w:rsidRDefault="006849D3" w:rsidP="006849D3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005B2">
            <w:rPr>
              <w:rFonts w:asciiTheme="minorHAnsi" w:hAnsiTheme="minorHAnsi" w:cstheme="minorHAnsi"/>
              <w:color w:val="1D1D1B"/>
              <w:sz w:val="24"/>
            </w:rPr>
            <w:t>INDEX PODÍLOVÝCH FONDŮ</w:t>
          </w:r>
        </w:p>
        <w:p w14:paraId="336822E5" w14:textId="77777777" w:rsidR="006849D3" w:rsidRPr="00A005B2" w:rsidRDefault="006849D3" w:rsidP="006849D3">
          <w:pPr>
            <w:spacing w:before="240" w:line="288" w:lineRule="exact"/>
            <w:ind w:left="162"/>
            <w:jc w:val="center"/>
            <w:rPr>
              <w:rFonts w:asciiTheme="minorHAnsi" w:hAnsiTheme="minorHAnsi" w:cstheme="minorHAnsi"/>
              <w:b/>
              <w:color w:val="1D1D1B"/>
              <w:sz w:val="24"/>
            </w:rPr>
          </w:pPr>
          <w:r w:rsidRPr="00A005B2">
            <w:rPr>
              <w:rFonts w:asciiTheme="minorHAnsi" w:hAnsiTheme="minorHAnsi" w:cstheme="minorHAnsi"/>
              <w:b/>
              <w:color w:val="1D1D1B"/>
              <w:sz w:val="24"/>
            </w:rPr>
            <w:t>REALINDEX</w:t>
          </w:r>
        </w:p>
        <w:p w14:paraId="7907983C" w14:textId="4BEA5BFF" w:rsidR="006849D3" w:rsidRPr="00A005B2" w:rsidRDefault="006849D3" w:rsidP="006849D3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1D1D1B"/>
              <w:sz w:val="24"/>
            </w:rPr>
          </w:pPr>
          <w:r w:rsidRPr="00A005B2">
            <w:rPr>
              <w:rFonts w:asciiTheme="minorHAnsi" w:hAnsiTheme="minorHAnsi" w:cstheme="minorHAnsi"/>
              <w:color w:val="1D1D1B"/>
              <w:sz w:val="24"/>
            </w:rPr>
            <w:t xml:space="preserve">POVINDEX </w:t>
          </w:r>
        </w:p>
        <w:p w14:paraId="5B21B8A6" w14:textId="77777777" w:rsidR="00D80B6D" w:rsidRPr="00A005B2" w:rsidRDefault="00D80B6D" w:rsidP="00D80B6D">
          <w:pPr>
            <w:spacing w:before="230"/>
            <w:ind w:left="165"/>
            <w:jc w:val="center"/>
            <w:rPr>
              <w:rFonts w:asciiTheme="minorHAnsi" w:hAnsiTheme="minorHAnsi" w:cstheme="minorHAnsi"/>
              <w:color w:val="CD1719"/>
              <w:sz w:val="24"/>
            </w:rPr>
          </w:pPr>
          <w:r w:rsidRPr="00A005B2">
            <w:rPr>
              <w:rFonts w:asciiTheme="minorHAnsi" w:hAnsiTheme="minorHAnsi" w:cstheme="minorHAnsi"/>
              <w:color w:val="1D1D1B"/>
              <w:sz w:val="24"/>
            </w:rPr>
            <w:t xml:space="preserve">INDEX SPOTŘEBITELSKÝCH ÚVĚRŮ </w:t>
          </w:r>
          <w:r w:rsidRPr="00A005B2">
            <w:rPr>
              <w:rFonts w:asciiTheme="minorHAnsi" w:hAnsiTheme="minorHAnsi" w:cstheme="minorHAnsi"/>
              <w:color w:val="CD1719"/>
              <w:sz w:val="24"/>
            </w:rPr>
            <w:t xml:space="preserve"> </w:t>
          </w:r>
        </w:p>
        <w:p w14:paraId="1FCC0C9E" w14:textId="77777777" w:rsidR="00D80B6D" w:rsidRPr="00A005B2" w:rsidRDefault="00D80B6D" w:rsidP="00D80B6D">
          <w:pPr>
            <w:pStyle w:val="Zkladntext"/>
            <w:spacing w:before="240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720CCDBB" w14:textId="77777777" w:rsidR="00D80B6D" w:rsidRPr="00A005B2" w:rsidRDefault="00D80B6D" w:rsidP="00D80B6D">
          <w:pPr>
            <w:pStyle w:val="Zkladntext"/>
            <w:spacing w:before="240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703D71F2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00494A3A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  <w:r w:rsidRPr="00A005B2">
            <w:rPr>
              <w:rFonts w:asciiTheme="minorHAnsi" w:hAnsiTheme="minorHAnsi" w:cstheme="minorHAnsi"/>
              <w:noProof/>
              <w:sz w:val="20"/>
              <w:highlight w:val="yellow"/>
              <w:lang w:bidi="ar-SA"/>
            </w:rPr>
            <w:drawing>
              <wp:anchor distT="0" distB="0" distL="114300" distR="114300" simplePos="0" relativeHeight="251661312" behindDoc="1" locked="0" layoutInCell="1" allowOverlap="1" wp14:anchorId="5D272556" wp14:editId="4D2C2067">
                <wp:simplePos x="0" y="0"/>
                <wp:positionH relativeFrom="margin">
                  <wp:align>center</wp:align>
                </wp:positionH>
                <wp:positionV relativeFrom="paragraph">
                  <wp:posOffset>9525</wp:posOffset>
                </wp:positionV>
                <wp:extent cx="3082768" cy="2880000"/>
                <wp:effectExtent l="0" t="0" r="3810" b="0"/>
                <wp:wrapTight wrapText="bothSides">
                  <wp:wrapPolygon edited="0">
                    <wp:start x="0" y="0"/>
                    <wp:lineTo x="0" y="21433"/>
                    <wp:lineTo x="21493" y="21433"/>
                    <wp:lineTo x="21493" y="0"/>
                    <wp:lineTo x="0" y="0"/>
                  </wp:wrapPolygon>
                </wp:wrapTight>
                <wp:docPr id="123" name="Obrázek 12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900" t="40856" r="4590"/>
                        <a:stretch/>
                      </pic:blipFill>
                      <pic:spPr bwMode="auto">
                        <a:xfrm>
                          <a:off x="0" y="0"/>
                          <a:ext cx="3082768" cy="288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16B1498C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2A5F355C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218EE6CB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0238B3AB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54516A42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5266363A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363B2E28" w14:textId="77777777" w:rsidR="00D80B6D" w:rsidRPr="00A005B2" w:rsidRDefault="00D80B6D" w:rsidP="00D80B6D">
          <w:pPr>
            <w:pStyle w:val="Zkladntext"/>
            <w:rPr>
              <w:rFonts w:asciiTheme="minorHAnsi" w:hAnsiTheme="minorHAnsi" w:cstheme="minorHAnsi"/>
              <w:sz w:val="20"/>
              <w:highlight w:val="yellow"/>
            </w:rPr>
          </w:pPr>
        </w:p>
        <w:p w14:paraId="17667B44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color w:val="FFFFFF" w:themeColor="background1"/>
              <w:sz w:val="20"/>
              <w:highlight w:val="yellow"/>
            </w:rPr>
          </w:pPr>
        </w:p>
        <w:p w14:paraId="5193A529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2833FE59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6DB157BF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47803C2A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1D90E1D0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5A33B823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0D2BECD0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69288FB9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541E93D5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341A343C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6C52C42D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3E3CDF25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40495E64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59B6F4E6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5ADDFBD6" w14:textId="77777777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1CB27DF8" w14:textId="77777777" w:rsidR="007B358E" w:rsidRPr="00A005B2" w:rsidRDefault="007B358E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3A61C564" w14:textId="77777777" w:rsidR="0068617E" w:rsidRPr="00A005B2" w:rsidRDefault="0068617E" w:rsidP="00D80B6D">
          <w:pPr>
            <w:pStyle w:val="Zkladntext"/>
            <w:jc w:val="both"/>
            <w:rPr>
              <w:rFonts w:asciiTheme="minorHAnsi" w:hAnsiTheme="minorHAnsi" w:cstheme="minorHAnsi"/>
              <w:b/>
              <w:sz w:val="20"/>
              <w:highlight w:val="yellow"/>
            </w:rPr>
          </w:pPr>
        </w:p>
        <w:p w14:paraId="1414E639" w14:textId="77777777" w:rsidR="0068617E" w:rsidRPr="00A005B2" w:rsidRDefault="0068617E" w:rsidP="00D80B6D">
          <w:pPr>
            <w:pStyle w:val="Zkladntext"/>
            <w:jc w:val="both"/>
            <w:rPr>
              <w:rFonts w:asciiTheme="minorHAnsi" w:hAnsiTheme="minorHAnsi" w:cstheme="minorHAnsi"/>
              <w:b/>
              <w:highlight w:val="yellow"/>
            </w:rPr>
          </w:pPr>
        </w:p>
        <w:p w14:paraId="11132A3F" w14:textId="53DE594E" w:rsidR="00D80B6D" w:rsidRPr="00A005B2" w:rsidRDefault="00D80B6D" w:rsidP="00D80B6D">
          <w:pPr>
            <w:pStyle w:val="Zkladntext"/>
            <w:jc w:val="both"/>
            <w:rPr>
              <w:rFonts w:asciiTheme="minorHAnsi" w:hAnsiTheme="minorHAnsi" w:cstheme="minorHAnsi"/>
              <w:b/>
            </w:rPr>
          </w:pPr>
          <w:r w:rsidRPr="00A005B2">
            <w:rPr>
              <w:rFonts w:asciiTheme="minorHAnsi" w:hAnsiTheme="minorHAnsi" w:cstheme="minorHAnsi"/>
              <w:b/>
            </w:rPr>
            <w:t>O společnosti Broker Consulting</w:t>
          </w:r>
        </w:p>
        <w:p w14:paraId="27485CC6" w14:textId="77777777" w:rsidR="00D80B6D" w:rsidRPr="00A005B2" w:rsidRDefault="00D80B6D" w:rsidP="00D80B6D">
          <w:pPr>
            <w:jc w:val="both"/>
            <w:rPr>
              <w:rFonts w:asciiTheme="minorHAnsi" w:hAnsiTheme="minorHAnsi" w:cstheme="minorHAnsi"/>
              <w:sz w:val="20"/>
            </w:rPr>
          </w:pPr>
        </w:p>
        <w:p w14:paraId="1A213442" w14:textId="77777777" w:rsidR="00237B6E" w:rsidRPr="00A005B2" w:rsidRDefault="00237B6E" w:rsidP="00237B6E">
          <w:pPr>
            <w:jc w:val="both"/>
            <w:rPr>
              <w:rStyle w:val="dn"/>
              <w:rFonts w:asciiTheme="minorHAnsi" w:hAnsiTheme="minorHAnsi" w:cstheme="minorHAnsi"/>
              <w:sz w:val="20"/>
              <w:szCs w:val="20"/>
            </w:rPr>
          </w:pPr>
          <w:r w:rsidRPr="00A005B2">
            <w:rPr>
              <w:rFonts w:asciiTheme="minorHAnsi" w:hAnsiTheme="minorHAnsi" w:cstheme="minorHAnsi"/>
              <w:sz w:val="20"/>
              <w:szCs w:val="20"/>
            </w:rPr>
            <w:t xml:space="preserve">Broker Consulting je jednou z největších společností na českém a slovenském trhu, která poskytuje služby v oblasti financí a realit. Od roku 1998 získala důvěru více než 700 000 klientů. Poskytuje také služby přes 4 000 firmám. Distribuci služeb zajišťuje přibližně 2 000 konzultantů (profesionální konzultanti, zaměstnanci, konzultanti v zapracování v ČR i SR) na více než 110 obchodních místech pod názvy Broker Point Premium nebo Broker Point. Společnost uvedla na český a slovenský trh řadu inovací. Jednalo se například o investice do otevřených podílových fondů se zamykáním zisků nebo unikátní produkty životního dopojištění, které umožňují pojistit smrt a invaliditu za zlomek obvyklých cen. </w:t>
          </w:r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Více na </w:t>
          </w:r>
          <w:hyperlink r:id="rId9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bcas.cz</w:t>
            </w:r>
          </w:hyperlink>
          <w:r w:rsidRPr="00A005B2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, </w:t>
          </w:r>
          <w:hyperlink r:id="rId10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brokerpointy.cz</w:t>
            </w:r>
          </w:hyperlink>
          <w:r w:rsidRPr="00A005B2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>, brokerpoint</w:t>
          </w:r>
          <w:hyperlink r:id="rId11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.tv</w:t>
            </w:r>
          </w:hyperlink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na </w:t>
          </w:r>
          <w:hyperlink r:id="rId12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realityspolu.cz</w:t>
            </w:r>
          </w:hyperlink>
          <w:r w:rsidRPr="00A005B2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  <w:u w:val="none"/>
            </w:rPr>
            <w:t xml:space="preserve">. </w:t>
          </w:r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Navštivte také náš </w:t>
          </w:r>
          <w:hyperlink r:id="rId13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, </w:t>
          </w:r>
          <w:hyperlink r:id="rId14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LinkedIN</w:t>
            </w:r>
          </w:hyperlink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Consulting, Twitter </w:t>
          </w:r>
          <w:r w:rsidRPr="00A005B2">
            <w:rPr>
              <w:rFonts w:asciiTheme="minorHAnsi" w:hAnsiTheme="minorHAnsi" w:cstheme="minorHAnsi"/>
              <w:sz w:val="20"/>
              <w:szCs w:val="20"/>
              <w:shd w:val="clear" w:color="auto" w:fill="FFFFFF"/>
            </w:rPr>
            <w:t xml:space="preserve">@BC_oficialni, </w:t>
          </w:r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</w:t>
          </w:r>
          <w:hyperlink r:id="rId15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Facebook</w:t>
            </w:r>
          </w:hyperlink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a </w:t>
          </w:r>
          <w:hyperlink r:id="rId16" w:history="1">
            <w:r w:rsidRPr="00A005B2">
              <w:rPr>
                <w:rStyle w:val="Hypertextovodkaz"/>
                <w:rFonts w:asciiTheme="minorHAnsi" w:hAnsiTheme="minorHAnsi" w:cstheme="minorHAnsi"/>
                <w:color w:val="auto"/>
                <w:sz w:val="20"/>
                <w:szCs w:val="20"/>
              </w:rPr>
              <w:t>LinkedI</w:t>
            </w:r>
          </w:hyperlink>
          <w:r w:rsidRPr="00A005B2">
            <w:rPr>
              <w:rStyle w:val="Hypertextovodkaz"/>
              <w:rFonts w:asciiTheme="minorHAnsi" w:hAnsiTheme="minorHAnsi" w:cstheme="minorHAnsi"/>
              <w:color w:val="auto"/>
              <w:sz w:val="20"/>
              <w:szCs w:val="20"/>
            </w:rPr>
            <w:t>N</w:t>
          </w:r>
          <w:r w:rsidRPr="00A005B2">
            <w:rPr>
              <w:rStyle w:val="dn"/>
              <w:rFonts w:asciiTheme="minorHAnsi" w:hAnsiTheme="minorHAnsi" w:cstheme="minorHAnsi"/>
              <w:sz w:val="20"/>
              <w:szCs w:val="20"/>
            </w:rPr>
            <w:t xml:space="preserve"> Broker Point Premium. </w:t>
          </w:r>
        </w:p>
        <w:p w14:paraId="3F0EC976" w14:textId="3496D289" w:rsidR="00D80B6D" w:rsidRPr="00A005B2" w:rsidRDefault="00D80B6D" w:rsidP="0068617E">
          <w:pPr>
            <w:pStyle w:val="Zkladntext"/>
            <w:jc w:val="both"/>
            <w:rPr>
              <w:rFonts w:asciiTheme="minorHAnsi" w:hAnsiTheme="minorHAnsi" w:cstheme="minorHAnsi"/>
              <w:sz w:val="20"/>
              <w:highlight w:val="yellow"/>
            </w:rPr>
            <w:sectPr w:rsidR="00D80B6D" w:rsidRPr="00A005B2" w:rsidSect="00956B8E">
              <w:headerReference w:type="default" r:id="rId17"/>
              <w:footerReference w:type="default" r:id="rId18"/>
              <w:pgSz w:w="11910" w:h="16840"/>
              <w:pgMar w:top="960" w:right="740" w:bottom="0" w:left="720" w:header="708" w:footer="708" w:gutter="0"/>
              <w:cols w:space="708"/>
              <w:titlePg/>
              <w:docGrid w:linePitch="299"/>
            </w:sectPr>
          </w:pPr>
        </w:p>
        <w:p w14:paraId="35539C65" w14:textId="7A3AAC27" w:rsidR="00D31127" w:rsidRPr="00A005B2" w:rsidRDefault="008A15EC" w:rsidP="0025264B">
          <w:pPr>
            <w:rPr>
              <w:rFonts w:asciiTheme="minorHAnsi" w:hAnsiTheme="minorHAnsi" w:cstheme="minorHAnsi"/>
              <w:b/>
              <w:sz w:val="20"/>
              <w:szCs w:val="20"/>
              <w:highlight w:val="yellow"/>
            </w:rPr>
            <w:sectPr w:rsidR="00D31127" w:rsidRPr="00A005B2" w:rsidSect="00956B8E">
              <w:headerReference w:type="even" r:id="rId19"/>
              <w:headerReference w:type="default" r:id="rId20"/>
              <w:footerReference w:type="even" r:id="rId21"/>
              <w:headerReference w:type="first" r:id="rId22"/>
              <w:footerReference w:type="first" r:id="rId23"/>
              <w:pgSz w:w="11910" w:h="16840"/>
              <w:pgMar w:top="1418" w:right="740" w:bottom="420" w:left="720" w:header="340" w:footer="709" w:gutter="0"/>
              <w:pgNumType w:start="0"/>
              <w:cols w:space="708"/>
              <w:docGrid w:linePitch="299"/>
            </w:sectPr>
          </w:pPr>
        </w:p>
      </w:sdtContent>
    </w:sdt>
    <w:p w14:paraId="541E060F" w14:textId="6480ACC3" w:rsidR="00724267" w:rsidRPr="00A005B2" w:rsidRDefault="00724267" w:rsidP="00B91131">
      <w:pPr>
        <w:rPr>
          <w:rFonts w:asciiTheme="minorHAnsi" w:hAnsiTheme="minorHAnsi" w:cstheme="minorHAnsi"/>
          <w:b/>
          <w:sz w:val="28"/>
          <w:szCs w:val="28"/>
        </w:rPr>
      </w:pPr>
    </w:p>
    <w:p w14:paraId="06E887C8" w14:textId="62C3BCF8" w:rsidR="00A005B2" w:rsidRPr="00302CB7" w:rsidRDefault="00302CB7" w:rsidP="00302CB7">
      <w:pPr>
        <w:spacing w:after="120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302CB7">
        <w:rPr>
          <w:rFonts w:asciiTheme="minorHAnsi" w:hAnsiTheme="minorHAnsi" w:cstheme="minorHAnsi"/>
          <w:b/>
          <w:sz w:val="28"/>
          <w:szCs w:val="28"/>
        </w:rPr>
        <w:t>Rozdíl mezi inzerovanou a prodejní cenou nemovitostí se dál snižuje</w:t>
      </w:r>
    </w:p>
    <w:p w14:paraId="0A381A2C" w14:textId="2D8350BF" w:rsidR="00302CB7" w:rsidRPr="00D67AC6" w:rsidRDefault="00302CB7" w:rsidP="00A005B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12529"/>
          <w:sz w:val="21"/>
          <w:szCs w:val="21"/>
          <w:lang w:bidi="ar-SA"/>
        </w:rPr>
      </w:pPr>
      <w:r w:rsidRPr="00D67AC6">
        <w:rPr>
          <w:rFonts w:asciiTheme="minorHAnsi" w:hAnsiTheme="minorHAnsi" w:cstheme="minorHAnsi"/>
          <w:b/>
          <w:sz w:val="21"/>
          <w:szCs w:val="21"/>
        </w:rPr>
        <w:t>Představa prodávajících se letos lišila od skutečné realizační ceny v průměru o</w:t>
      </w:r>
      <w:r w:rsidR="00672F46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Pr="00D67AC6">
        <w:rPr>
          <w:rFonts w:asciiTheme="minorHAnsi" w:hAnsiTheme="minorHAnsi" w:cstheme="minorHAnsi"/>
          <w:b/>
          <w:sz w:val="21"/>
          <w:szCs w:val="21"/>
        </w:rPr>
        <w:t>6 procent.</w:t>
      </w:r>
    </w:p>
    <w:p w14:paraId="3DC64D47" w14:textId="5F81DB94" w:rsidR="00302CB7" w:rsidRPr="00D67AC6" w:rsidRDefault="00302CB7" w:rsidP="00302CB7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12529"/>
          <w:sz w:val="21"/>
          <w:szCs w:val="21"/>
          <w:lang w:bidi="ar-SA"/>
        </w:rPr>
      </w:pPr>
      <w:r w:rsidRPr="00D67AC6">
        <w:rPr>
          <w:rFonts w:asciiTheme="minorHAnsi" w:hAnsiTheme="minorHAnsi" w:cstheme="minorHAnsi"/>
          <w:b/>
          <w:sz w:val="21"/>
          <w:szCs w:val="21"/>
        </w:rPr>
        <w:t>N</w:t>
      </w:r>
      <w:r w:rsidR="00672F46">
        <w:rPr>
          <w:rFonts w:asciiTheme="minorHAnsi" w:hAnsiTheme="minorHAnsi" w:cstheme="minorHAnsi"/>
          <w:b/>
          <w:sz w:val="21"/>
          <w:szCs w:val="21"/>
        </w:rPr>
        <w:t>ejmen</w:t>
      </w:r>
      <w:r w:rsidR="00246AA6">
        <w:rPr>
          <w:rFonts w:asciiTheme="minorHAnsi" w:hAnsiTheme="minorHAnsi" w:cstheme="minorHAnsi"/>
          <w:b/>
          <w:sz w:val="21"/>
          <w:szCs w:val="21"/>
        </w:rPr>
        <w:t>ší rozdíl vykázala Praha se</w:t>
      </w:r>
      <w:r w:rsidRPr="00D67AC6">
        <w:rPr>
          <w:rFonts w:asciiTheme="minorHAnsi" w:hAnsiTheme="minorHAnsi" w:cstheme="minorHAnsi"/>
          <w:b/>
          <w:sz w:val="21"/>
          <w:szCs w:val="21"/>
        </w:rPr>
        <w:t xml:space="preserve"> 4 procenty, největší Zlínský a Moravskoslezský kraj s</w:t>
      </w:r>
      <w:r w:rsidR="00672F46">
        <w:rPr>
          <w:rFonts w:asciiTheme="minorHAnsi" w:hAnsiTheme="minorHAnsi" w:cstheme="minorHAnsi"/>
          <w:b/>
          <w:sz w:val="21"/>
          <w:szCs w:val="21"/>
        </w:rPr>
        <w:t xml:space="preserve"> </w:t>
      </w:r>
      <w:r w:rsidRPr="00D67AC6">
        <w:rPr>
          <w:rFonts w:asciiTheme="minorHAnsi" w:hAnsiTheme="minorHAnsi" w:cstheme="minorHAnsi"/>
          <w:b/>
          <w:sz w:val="21"/>
          <w:szCs w:val="21"/>
        </w:rPr>
        <w:t>9 procenty.</w:t>
      </w:r>
    </w:p>
    <w:p w14:paraId="2B7993A0" w14:textId="58242784" w:rsidR="00A005B2" w:rsidRPr="00D67AC6" w:rsidRDefault="00302CB7" w:rsidP="00A005B2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  <w:rPr>
          <w:rFonts w:asciiTheme="minorHAnsi" w:eastAsia="Times New Roman" w:hAnsiTheme="minorHAnsi" w:cstheme="minorHAnsi"/>
          <w:b/>
          <w:color w:val="212529"/>
          <w:sz w:val="21"/>
          <w:szCs w:val="21"/>
          <w:lang w:bidi="ar-SA"/>
        </w:rPr>
      </w:pPr>
      <w:r w:rsidRPr="00D67AC6">
        <w:rPr>
          <w:rFonts w:asciiTheme="minorHAnsi" w:hAnsiTheme="minorHAnsi" w:cstheme="minorHAnsi"/>
          <w:b/>
          <w:sz w:val="21"/>
          <w:szCs w:val="21"/>
        </w:rPr>
        <w:t>Byty i novostavby se prodávaly v průměru o 5 procent levněji, starší nemovitosti</w:t>
      </w:r>
      <w:r w:rsidR="00E35A94">
        <w:rPr>
          <w:rFonts w:asciiTheme="minorHAnsi" w:hAnsiTheme="minorHAnsi" w:cstheme="minorHAnsi"/>
          <w:b/>
          <w:sz w:val="21"/>
          <w:szCs w:val="21"/>
        </w:rPr>
        <w:t xml:space="preserve"> pak</w:t>
      </w:r>
      <w:r w:rsidRPr="00D67AC6">
        <w:rPr>
          <w:rFonts w:asciiTheme="minorHAnsi" w:hAnsiTheme="minorHAnsi" w:cstheme="minorHAnsi"/>
          <w:b/>
          <w:sz w:val="21"/>
          <w:szCs w:val="21"/>
        </w:rPr>
        <w:t xml:space="preserve"> o </w:t>
      </w:r>
      <w:r w:rsidR="00E35A94">
        <w:rPr>
          <w:rFonts w:asciiTheme="minorHAnsi" w:hAnsiTheme="minorHAnsi" w:cstheme="minorHAnsi"/>
          <w:b/>
          <w:sz w:val="21"/>
          <w:szCs w:val="21"/>
        </w:rPr>
        <w:t>6 a rodinné domy až o 8 procent levněji.</w:t>
      </w:r>
    </w:p>
    <w:p w14:paraId="4184D6C4" w14:textId="235B6637" w:rsidR="00D462E3" w:rsidRPr="00D462E3" w:rsidRDefault="008C3A59" w:rsidP="00D462E3">
      <w:pPr>
        <w:jc w:val="both"/>
        <w:rPr>
          <w:rFonts w:asciiTheme="minorHAnsi" w:hAnsiTheme="minorHAnsi" w:cstheme="minorHAnsi"/>
          <w:b/>
        </w:rPr>
      </w:pPr>
      <w:r w:rsidRPr="00246AA6">
        <w:rPr>
          <w:rFonts w:asciiTheme="minorHAnsi" w:hAnsiTheme="minorHAnsi" w:cstheme="minorHAnsi"/>
          <w:i/>
        </w:rPr>
        <w:t>Praha,</w:t>
      </w:r>
      <w:r w:rsidR="009D64B2" w:rsidRPr="00246AA6">
        <w:rPr>
          <w:rFonts w:asciiTheme="minorHAnsi" w:hAnsiTheme="minorHAnsi" w:cstheme="minorHAnsi"/>
          <w:i/>
        </w:rPr>
        <w:t xml:space="preserve"> </w:t>
      </w:r>
      <w:r w:rsidR="006A548E">
        <w:rPr>
          <w:rFonts w:asciiTheme="minorHAnsi" w:hAnsiTheme="minorHAnsi" w:cstheme="minorHAnsi"/>
          <w:i/>
        </w:rPr>
        <w:t>6</w:t>
      </w:r>
      <w:bookmarkStart w:id="0" w:name="_GoBack"/>
      <w:bookmarkEnd w:id="0"/>
      <w:r w:rsidR="001464A6">
        <w:rPr>
          <w:rFonts w:asciiTheme="minorHAnsi" w:hAnsiTheme="minorHAnsi" w:cstheme="minorHAnsi"/>
          <w:i/>
        </w:rPr>
        <w:t>. října 2025</w:t>
      </w:r>
      <w:r w:rsidR="00DC3E7F" w:rsidRPr="00246AA6">
        <w:rPr>
          <w:rFonts w:asciiTheme="minorHAnsi" w:hAnsiTheme="minorHAnsi" w:cstheme="minorHAnsi"/>
          <w:i/>
        </w:rPr>
        <w:t xml:space="preserve"> -</w:t>
      </w:r>
      <w:r w:rsidR="00DC3E7F">
        <w:rPr>
          <w:rFonts w:asciiTheme="minorHAnsi" w:hAnsiTheme="minorHAnsi" w:cstheme="minorHAnsi"/>
          <w:b/>
        </w:rPr>
        <w:t xml:space="preserve"> </w:t>
      </w:r>
      <w:r w:rsidR="008011E7" w:rsidRPr="00A92255">
        <w:rPr>
          <w:rFonts w:asciiTheme="minorHAnsi" w:hAnsiTheme="minorHAnsi" w:cstheme="minorHAnsi"/>
          <w:b/>
        </w:rPr>
        <w:t xml:space="preserve"> </w:t>
      </w:r>
      <w:r w:rsidR="00DC3E7F" w:rsidRPr="00DC3E7F">
        <w:rPr>
          <w:rFonts w:asciiTheme="minorHAnsi" w:hAnsiTheme="minorHAnsi" w:cstheme="minorHAnsi"/>
          <w:b/>
        </w:rPr>
        <w:t xml:space="preserve">Společnost Broker Consulting přináší výsledky svého jedinečného ukazatele vývoje realitního trhu </w:t>
      </w:r>
      <w:r w:rsidR="00DC3E7F">
        <w:rPr>
          <w:rFonts w:asciiTheme="minorHAnsi" w:hAnsiTheme="minorHAnsi" w:cstheme="minorHAnsi"/>
          <w:b/>
        </w:rPr>
        <w:t xml:space="preserve">- </w:t>
      </w:r>
      <w:r w:rsidR="00DC3E7F" w:rsidRPr="00DC3E7F">
        <w:rPr>
          <w:rFonts w:asciiTheme="minorHAnsi" w:hAnsiTheme="minorHAnsi" w:cstheme="minorHAnsi"/>
          <w:b/>
        </w:rPr>
        <w:t xml:space="preserve">Broker Consulting </w:t>
      </w:r>
      <w:proofErr w:type="spellStart"/>
      <w:r w:rsidR="00DC3E7F" w:rsidRPr="00DC3E7F">
        <w:rPr>
          <w:rFonts w:asciiTheme="minorHAnsi" w:hAnsiTheme="minorHAnsi" w:cstheme="minorHAnsi"/>
          <w:b/>
        </w:rPr>
        <w:t>REALIndex</w:t>
      </w:r>
      <w:proofErr w:type="spellEnd"/>
      <w:r w:rsidR="00DC3E7F" w:rsidRPr="00DC3E7F">
        <w:rPr>
          <w:rFonts w:asciiTheme="minorHAnsi" w:hAnsiTheme="minorHAnsi" w:cstheme="minorHAnsi"/>
          <w:b/>
        </w:rPr>
        <w:t xml:space="preserve"> za období leden až září.</w:t>
      </w:r>
      <w:r w:rsidR="00DC3E7F">
        <w:rPr>
          <w:rFonts w:asciiTheme="minorHAnsi" w:hAnsiTheme="minorHAnsi" w:cstheme="minorHAnsi"/>
          <w:b/>
        </w:rPr>
        <w:t xml:space="preserve"> </w:t>
      </w:r>
      <w:r w:rsidR="00D462E3" w:rsidRPr="00D462E3">
        <w:rPr>
          <w:rFonts w:asciiTheme="minorHAnsi" w:hAnsiTheme="minorHAnsi" w:cstheme="minorHAnsi"/>
          <w:b/>
        </w:rPr>
        <w:t xml:space="preserve">Ten sleduje, za kolik se nemovitosti na trhu nabízejí a za kolik se nakonec skutečně prodají. Do výpočtu vstupují jen reálně uzavřené obchody zapsané v katastru, takže výsledky nejsou zkreslené neuskutečněnými nabídkami. Výpočet je navíc očištěn o extrémně vysoké či nízké částky a zahrnuje i developerské projekty prodané prvním majitelům. Díky tomu </w:t>
      </w:r>
      <w:proofErr w:type="spellStart"/>
      <w:r w:rsidR="00D462E3" w:rsidRPr="00D462E3">
        <w:rPr>
          <w:rFonts w:asciiTheme="minorHAnsi" w:hAnsiTheme="minorHAnsi" w:cstheme="minorHAnsi"/>
          <w:b/>
        </w:rPr>
        <w:t>REALIndex</w:t>
      </w:r>
      <w:proofErr w:type="spellEnd"/>
      <w:r w:rsidR="00D462E3" w:rsidRPr="00D462E3">
        <w:rPr>
          <w:rFonts w:asciiTheme="minorHAnsi" w:hAnsiTheme="minorHAnsi" w:cstheme="minorHAnsi"/>
          <w:b/>
        </w:rPr>
        <w:t xml:space="preserve"> nabízí věrný a přehledný obraz o tom, jak se potkávají představy prodávajících s realitou kupujících. Zároveň ukazuje, zda je trh nemovitostí v útlumu, nebo se naopak nachází v období růst</w:t>
      </w:r>
      <w:r w:rsidR="00D462E3">
        <w:rPr>
          <w:rFonts w:asciiTheme="minorHAnsi" w:hAnsiTheme="minorHAnsi" w:cstheme="minorHAnsi"/>
          <w:b/>
        </w:rPr>
        <w:t>u.</w:t>
      </w:r>
    </w:p>
    <w:p w14:paraId="465A780C" w14:textId="716686AB" w:rsidR="00D67AC6" w:rsidRDefault="00D67AC6" w:rsidP="0061258F">
      <w:pPr>
        <w:jc w:val="both"/>
        <w:rPr>
          <w:rStyle w:val="Siln"/>
          <w:rFonts w:asciiTheme="minorHAnsi" w:hAnsiTheme="minorHAnsi" w:cstheme="minorHAnsi"/>
          <w:b w:val="0"/>
        </w:rPr>
      </w:pPr>
    </w:p>
    <w:p w14:paraId="7DCF074F" w14:textId="355A3F6A" w:rsidR="00916085" w:rsidRPr="001464A6" w:rsidRDefault="00D67AC6" w:rsidP="009D0D2C">
      <w:pPr>
        <w:jc w:val="both"/>
        <w:rPr>
          <w:rFonts w:asciiTheme="minorHAnsi" w:hAnsiTheme="minorHAnsi" w:cstheme="minorHAnsi"/>
        </w:rPr>
      </w:pPr>
      <w:r w:rsidRPr="00D67AC6">
        <w:rPr>
          <w:rFonts w:asciiTheme="minorHAnsi" w:hAnsiTheme="minorHAnsi" w:cstheme="minorHAnsi"/>
        </w:rPr>
        <w:t>Rostoucí poptávka a vyšší aktivita kupujících postupně snižují rozdíl mezi původní nabídkovou a skutečně dosaženou cenou</w:t>
      </w:r>
      <w:r w:rsidR="00CD366C" w:rsidRPr="00D67AC6">
        <w:rPr>
          <w:rStyle w:val="Siln"/>
          <w:rFonts w:asciiTheme="minorHAnsi" w:hAnsiTheme="minorHAnsi" w:cstheme="minorHAnsi"/>
          <w:b w:val="0"/>
        </w:rPr>
        <w:t xml:space="preserve">. </w:t>
      </w:r>
      <w:r w:rsidR="00F316A5" w:rsidRPr="00F316A5">
        <w:rPr>
          <w:rFonts w:asciiTheme="minorHAnsi" w:hAnsiTheme="minorHAnsi" w:cstheme="minorHAnsi"/>
          <w:i/>
        </w:rPr>
        <w:t>„Za poslední rok se počet nově poskytnutých hypotečních úvěrů více než zdvojnásobil, což jasně ukazuje na pokračující oživení realitního trhu. Domácnosti si již zvykly na vyšší hypoteční sazby a při rozhodování o koupi nemovitosti už většinou neotálejí. Zvlášť u atraktivních lokalit totiž platí, že nabídka rychle mizí. Kdo má v takové chvíli připravené financování, má jednoznačnou výhodu,“</w:t>
      </w:r>
      <w:r w:rsidR="00F316A5" w:rsidRPr="00F316A5">
        <w:rPr>
          <w:rFonts w:asciiTheme="minorHAnsi" w:hAnsiTheme="minorHAnsi" w:cstheme="minorHAnsi"/>
        </w:rPr>
        <w:t xml:space="preserve"> </w:t>
      </w:r>
      <w:r w:rsidR="00F316A5" w:rsidRPr="00F316A5">
        <w:rPr>
          <w:rFonts w:asciiTheme="minorHAnsi" w:hAnsiTheme="minorHAnsi" w:cstheme="minorHAnsi"/>
          <w:b/>
        </w:rPr>
        <w:t>říká Martin Novák, hlavní analytik společnosti Broker Consulting.</w:t>
      </w:r>
    </w:p>
    <w:p w14:paraId="67A141A2" w14:textId="77777777" w:rsidR="00F316A5" w:rsidRDefault="00F316A5" w:rsidP="009D0D2C">
      <w:pPr>
        <w:jc w:val="both"/>
        <w:rPr>
          <w:rFonts w:asciiTheme="minorHAnsi" w:hAnsiTheme="minorHAnsi" w:cstheme="minorHAnsi"/>
          <w:b/>
        </w:rPr>
      </w:pPr>
    </w:p>
    <w:p w14:paraId="1FD3DAE9" w14:textId="27AF797A" w:rsidR="00E4710B" w:rsidRDefault="00E4710B" w:rsidP="009D0D2C">
      <w:pPr>
        <w:jc w:val="both"/>
        <w:rPr>
          <w:rFonts w:asciiTheme="minorHAnsi" w:hAnsiTheme="minorHAnsi" w:cstheme="minorHAnsi"/>
        </w:rPr>
      </w:pPr>
      <w:r w:rsidRPr="00DE2A3B">
        <w:rPr>
          <w:rFonts w:asciiTheme="minorHAnsi" w:hAnsiTheme="minorHAnsi" w:cstheme="minorHAnsi"/>
        </w:rPr>
        <w:t xml:space="preserve">Podle Broker Consulting </w:t>
      </w:r>
      <w:proofErr w:type="spellStart"/>
      <w:r w:rsidRPr="00DE2A3B">
        <w:rPr>
          <w:rFonts w:asciiTheme="minorHAnsi" w:hAnsiTheme="minorHAnsi" w:cstheme="minorHAnsi"/>
        </w:rPr>
        <w:t>REALIndexu</w:t>
      </w:r>
      <w:proofErr w:type="spellEnd"/>
      <w:r w:rsidRPr="00DE2A3B">
        <w:rPr>
          <w:rFonts w:asciiTheme="minorHAnsi" w:hAnsiTheme="minorHAnsi" w:cstheme="minorHAnsi"/>
        </w:rPr>
        <w:t xml:space="preserve"> se letos lišila představa prodávajících o ceně oproti </w:t>
      </w:r>
      <w:r w:rsidR="004A052D">
        <w:rPr>
          <w:rFonts w:asciiTheme="minorHAnsi" w:hAnsiTheme="minorHAnsi" w:cstheme="minorHAnsi"/>
        </w:rPr>
        <w:t>realizační ceně v průměru o šest</w:t>
      </w:r>
      <w:r w:rsidRPr="00DE2A3B">
        <w:rPr>
          <w:rFonts w:asciiTheme="minorHAnsi" w:hAnsiTheme="minorHAnsi" w:cstheme="minorHAnsi"/>
        </w:rPr>
        <w:t xml:space="preserve"> procent. Požadovaná cena dosaho</w:t>
      </w:r>
      <w:r w:rsidR="004A052D">
        <w:rPr>
          <w:rFonts w:asciiTheme="minorHAnsi" w:hAnsiTheme="minorHAnsi" w:cstheme="minorHAnsi"/>
        </w:rPr>
        <w:t>vala ve sledovaném období 70 041</w:t>
      </w:r>
      <w:r w:rsidRPr="00DE2A3B">
        <w:rPr>
          <w:rFonts w:asciiTheme="minorHAnsi" w:hAnsiTheme="minorHAnsi" w:cstheme="minorHAnsi"/>
        </w:rPr>
        <w:t xml:space="preserve"> Kč/m², zatímco skutečn</w:t>
      </w:r>
      <w:r w:rsidR="004A052D">
        <w:rPr>
          <w:rFonts w:asciiTheme="minorHAnsi" w:hAnsiTheme="minorHAnsi" w:cstheme="minorHAnsi"/>
        </w:rPr>
        <w:t>ě realizovaná cena činila 66 228</w:t>
      </w:r>
      <w:r w:rsidRPr="00DE2A3B">
        <w:rPr>
          <w:rFonts w:asciiTheme="minorHAnsi" w:hAnsiTheme="minorHAnsi" w:cstheme="minorHAnsi"/>
        </w:rPr>
        <w:t xml:space="preserve"> Kč/m².</w:t>
      </w:r>
    </w:p>
    <w:p w14:paraId="0DD9D57A" w14:textId="05B58637" w:rsidR="0041234B" w:rsidRDefault="0041234B" w:rsidP="009D0D2C">
      <w:pPr>
        <w:jc w:val="both"/>
        <w:rPr>
          <w:rFonts w:asciiTheme="minorHAnsi" w:hAnsiTheme="minorHAnsi" w:cstheme="minorHAnsi"/>
        </w:rPr>
      </w:pPr>
    </w:p>
    <w:p w14:paraId="1FEA987D" w14:textId="04A30CC7" w:rsidR="0041234B" w:rsidRDefault="00724B41" w:rsidP="0041234B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  <w:lang w:bidi="ar-SA"/>
        </w:rPr>
        <w:drawing>
          <wp:inline distT="0" distB="0" distL="0" distR="0" wp14:anchorId="7E2DD8EC" wp14:editId="4F4A2A62">
            <wp:extent cx="4057650" cy="3577059"/>
            <wp:effectExtent l="0" t="0" r="0" b="444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_vývoj_indexu_PO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3343" cy="359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F9001" w14:textId="24C45885" w:rsidR="00E4710B" w:rsidRDefault="00E4710B" w:rsidP="009D0D2C">
      <w:pPr>
        <w:jc w:val="both"/>
        <w:rPr>
          <w:rFonts w:asciiTheme="minorHAnsi" w:hAnsiTheme="minorHAnsi" w:cstheme="minorHAnsi"/>
        </w:rPr>
      </w:pPr>
    </w:p>
    <w:p w14:paraId="2C3A200B" w14:textId="77777777" w:rsidR="002819FD" w:rsidRPr="002819FD" w:rsidRDefault="002819FD" w:rsidP="001E3BDE">
      <w:pPr>
        <w:spacing w:before="120"/>
        <w:jc w:val="both"/>
        <w:rPr>
          <w:rFonts w:ascii="Calibri" w:hAnsi="Calibri" w:cs="Calibri"/>
          <w:b/>
        </w:rPr>
      </w:pPr>
      <w:r w:rsidRPr="002819FD">
        <w:rPr>
          <w:rFonts w:ascii="Calibri" w:hAnsi="Calibri" w:cs="Calibri"/>
          <w:i/>
        </w:rPr>
        <w:t xml:space="preserve">„S rostoucím zájmem o koupi nemovitostí klesá u prodávajících ochota své nemovitosti zlevňovat. Jiná situace ale </w:t>
      </w:r>
      <w:r w:rsidRPr="002819FD">
        <w:rPr>
          <w:rFonts w:ascii="Calibri" w:hAnsi="Calibri" w:cs="Calibri"/>
          <w:i/>
        </w:rPr>
        <w:lastRenderedPageBreak/>
        <w:t>nastává, když je nabídková cena nastavena příliš vysoko. V takových případech se nemovitost často neprodá celé měsíce a majitel nakonec musí cenu stejně snížit. Nejčastěji jde o případy, kdy se prodávající řídí pouze cenami na internetu a nezohledňují další faktory, které jsou pro správné stanovení ceny zásadní. Proto je nejlepší obrátit se na odborníka, který má zkušenosti a dokáže cenu nastavit realisticky hned od začátku. Díky tomu může prodávající prodat nemovitost bez zbytečných průtahů a za cenu, která odpovídá reálné poptávce,“</w:t>
      </w:r>
      <w:r w:rsidRPr="002819FD">
        <w:rPr>
          <w:rFonts w:ascii="Calibri" w:hAnsi="Calibri" w:cs="Calibri"/>
        </w:rPr>
        <w:t xml:space="preserve"> vysvětluje </w:t>
      </w:r>
      <w:r w:rsidRPr="002819FD">
        <w:rPr>
          <w:rFonts w:ascii="Calibri" w:hAnsi="Calibri" w:cs="Calibri"/>
          <w:b/>
        </w:rPr>
        <w:t>Barbora Kunzová, vedoucí realitního oddělení společnosti Broker Consulting.</w:t>
      </w:r>
    </w:p>
    <w:p w14:paraId="120CC9A2" w14:textId="6991BB14" w:rsidR="0041234B" w:rsidRDefault="0041234B" w:rsidP="00241373">
      <w:pPr>
        <w:spacing w:before="120"/>
        <w:jc w:val="both"/>
        <w:rPr>
          <w:rFonts w:asciiTheme="minorHAnsi" w:hAnsiTheme="minorHAnsi" w:cstheme="minorHAnsi"/>
        </w:rPr>
      </w:pPr>
    </w:p>
    <w:p w14:paraId="37BE27BB" w14:textId="2B16B88C" w:rsidR="00A6551F" w:rsidRDefault="00A6551F" w:rsidP="00241373">
      <w:pPr>
        <w:spacing w:before="120"/>
        <w:jc w:val="both"/>
        <w:rPr>
          <w:rFonts w:ascii="Calibri" w:hAnsi="Calibri" w:cs="Calibri"/>
        </w:rPr>
      </w:pPr>
      <w:r w:rsidRPr="00302CB7">
        <w:rPr>
          <w:rStyle w:val="Siln"/>
          <w:rFonts w:ascii="Calibri" w:hAnsi="Calibri" w:cs="Calibri"/>
          <w:b w:val="0"/>
        </w:rPr>
        <w:t xml:space="preserve">Nejmenší rozdíl mezi inzerovanou a skutečně realizovanou cenou zaznamenal </w:t>
      </w:r>
      <w:proofErr w:type="spellStart"/>
      <w:r w:rsidRPr="00302CB7">
        <w:rPr>
          <w:rStyle w:val="Siln"/>
          <w:rFonts w:ascii="Calibri" w:hAnsi="Calibri" w:cs="Calibri"/>
          <w:b w:val="0"/>
        </w:rPr>
        <w:t>REALIndex</w:t>
      </w:r>
      <w:proofErr w:type="spellEnd"/>
      <w:r w:rsidRPr="00302CB7">
        <w:rPr>
          <w:rStyle w:val="Siln"/>
          <w:rFonts w:ascii="Calibri" w:hAnsi="Calibri" w:cs="Calibri"/>
          <w:b w:val="0"/>
        </w:rPr>
        <w:t xml:space="preserve"> tradičně v Praze, kde činil 4 procenta.</w:t>
      </w:r>
      <w:r w:rsidRPr="00302CB7">
        <w:rPr>
          <w:rFonts w:ascii="Calibri" w:hAnsi="Calibri" w:cs="Calibri"/>
        </w:rPr>
        <w:t xml:space="preserve"> </w:t>
      </w:r>
      <w:r w:rsidR="00246AA6">
        <w:rPr>
          <w:rFonts w:ascii="Calibri" w:hAnsi="Calibri" w:cs="Calibri"/>
        </w:rPr>
        <w:t xml:space="preserve">V praxi to znamená, že prodávající prodali svou nemovitost v průměru o čtyři procenta levněji, než ze začátku zamýšleli. </w:t>
      </w:r>
      <w:r w:rsidRPr="00302CB7">
        <w:rPr>
          <w:rFonts w:ascii="Calibri" w:hAnsi="Calibri" w:cs="Calibri"/>
        </w:rPr>
        <w:t>O něco vyšší rozdíl se objevil v Olomouckém, Jihomoravském a Královehradeckém kraji, kde se inzerované ceny lišily od těch finálních shodně o</w:t>
      </w:r>
      <w:r w:rsidR="00672F46">
        <w:rPr>
          <w:rFonts w:ascii="Calibri" w:hAnsi="Calibri" w:cs="Calibri"/>
        </w:rPr>
        <w:t xml:space="preserve"> </w:t>
      </w:r>
      <w:r w:rsidRPr="00302CB7">
        <w:rPr>
          <w:rFonts w:ascii="Calibri" w:hAnsi="Calibri" w:cs="Calibri"/>
        </w:rPr>
        <w:t>5 procent. Ještě větší rozestup mezi původní představou a konečnou prodejní cenou ukázal Index v Ústeckém, Plzeňském, Pardubickém, Libereckém, Jihočeském, Středočeském a Karlo</w:t>
      </w:r>
      <w:r w:rsidR="00937800">
        <w:rPr>
          <w:rFonts w:ascii="Calibri" w:hAnsi="Calibri" w:cs="Calibri"/>
        </w:rPr>
        <w:t>varském kraji, kde činil rozdíl</w:t>
      </w:r>
      <w:r w:rsidR="00672F46">
        <w:rPr>
          <w:rFonts w:ascii="Calibri" w:hAnsi="Calibri" w:cs="Calibri"/>
        </w:rPr>
        <w:t xml:space="preserve"> </w:t>
      </w:r>
      <w:r w:rsidRPr="00302CB7">
        <w:rPr>
          <w:rFonts w:ascii="Calibri" w:hAnsi="Calibri" w:cs="Calibri"/>
        </w:rPr>
        <w:t>6 procent.</w:t>
      </w:r>
      <w:r w:rsidR="00302CB7" w:rsidRPr="00302CB7">
        <w:rPr>
          <w:rFonts w:ascii="Calibri" w:hAnsi="Calibri" w:cs="Calibri"/>
        </w:rPr>
        <w:t xml:space="preserve"> </w:t>
      </w:r>
      <w:r w:rsidRPr="00302CB7">
        <w:rPr>
          <w:rFonts w:ascii="Calibri" w:hAnsi="Calibri" w:cs="Calibri"/>
        </w:rPr>
        <w:t>Na Vysočině se rozdíl mezi nabídkovou a prode</w:t>
      </w:r>
      <w:r w:rsidR="00937800">
        <w:rPr>
          <w:rFonts w:ascii="Calibri" w:hAnsi="Calibri" w:cs="Calibri"/>
        </w:rPr>
        <w:t xml:space="preserve">jní cenou pohyboval okolo </w:t>
      </w:r>
      <w:r w:rsidRPr="00302CB7">
        <w:rPr>
          <w:rFonts w:ascii="Calibri" w:hAnsi="Calibri" w:cs="Calibri"/>
        </w:rPr>
        <w:t xml:space="preserve">7 procent. Největší rozdíl mezi inzerovanou a skutečně realizovanou cenou </w:t>
      </w:r>
      <w:r w:rsidR="00302CB7" w:rsidRPr="00302CB7">
        <w:rPr>
          <w:rFonts w:ascii="Calibri" w:hAnsi="Calibri" w:cs="Calibri"/>
        </w:rPr>
        <w:t xml:space="preserve">pak </w:t>
      </w:r>
      <w:r w:rsidRPr="00302CB7">
        <w:rPr>
          <w:rFonts w:ascii="Calibri" w:hAnsi="Calibri" w:cs="Calibri"/>
        </w:rPr>
        <w:t xml:space="preserve">zaznamenal </w:t>
      </w:r>
      <w:proofErr w:type="spellStart"/>
      <w:r w:rsidRPr="00302CB7">
        <w:rPr>
          <w:rFonts w:ascii="Calibri" w:hAnsi="Calibri" w:cs="Calibri"/>
        </w:rPr>
        <w:t>REALIndex</w:t>
      </w:r>
      <w:proofErr w:type="spellEnd"/>
      <w:r w:rsidRPr="00302CB7">
        <w:rPr>
          <w:rFonts w:ascii="Calibri" w:hAnsi="Calibri" w:cs="Calibri"/>
        </w:rPr>
        <w:t xml:space="preserve"> ve sledovaném období ve Zlínském a Moravsk</w:t>
      </w:r>
      <w:r w:rsidR="00937800">
        <w:rPr>
          <w:rFonts w:ascii="Calibri" w:hAnsi="Calibri" w:cs="Calibri"/>
        </w:rPr>
        <w:t>oslezském kraji, kde činil</w:t>
      </w:r>
      <w:r w:rsidRPr="00302CB7">
        <w:rPr>
          <w:rFonts w:ascii="Calibri" w:hAnsi="Calibri" w:cs="Calibri"/>
        </w:rPr>
        <w:t xml:space="preserve"> 9 procent.</w:t>
      </w:r>
    </w:p>
    <w:p w14:paraId="652CC324" w14:textId="01471F83" w:rsidR="00724B41" w:rsidRDefault="00724B41" w:rsidP="00241373">
      <w:pPr>
        <w:spacing w:before="120"/>
        <w:jc w:val="both"/>
        <w:rPr>
          <w:rFonts w:ascii="Calibri" w:hAnsi="Calibri" w:cs="Calibri"/>
        </w:rPr>
      </w:pPr>
    </w:p>
    <w:p w14:paraId="2090997E" w14:textId="208966A6" w:rsidR="00724B41" w:rsidRPr="00302CB7" w:rsidRDefault="00724B41" w:rsidP="00241373">
      <w:pPr>
        <w:spacing w:before="120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  <w:lang w:bidi="ar-SA"/>
        </w:rPr>
        <w:drawing>
          <wp:inline distT="0" distB="0" distL="0" distR="0" wp14:anchorId="5233ABE5" wp14:editId="3C47662E">
            <wp:extent cx="4572000" cy="3941156"/>
            <wp:effectExtent l="0" t="0" r="0" b="254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_vývoj v krajích_P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60" cy="3957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8676CB" w14:textId="77777777" w:rsidR="002D1854" w:rsidRDefault="002D1854" w:rsidP="001E3BDE">
      <w:pPr>
        <w:spacing w:before="120"/>
        <w:jc w:val="both"/>
        <w:rPr>
          <w:rFonts w:asciiTheme="minorHAnsi" w:hAnsiTheme="minorHAnsi" w:cstheme="minorHAnsi"/>
        </w:rPr>
      </w:pPr>
    </w:p>
    <w:p w14:paraId="7D7F923D" w14:textId="22D64637" w:rsidR="00A92255" w:rsidRPr="00302CB7" w:rsidRDefault="00302CB7" w:rsidP="00A92255">
      <w:pPr>
        <w:pBdr>
          <w:bottom w:val="single" w:sz="4" w:space="1" w:color="auto"/>
        </w:pBdr>
        <w:jc w:val="both"/>
        <w:rPr>
          <w:rFonts w:asciiTheme="minorHAnsi" w:hAnsiTheme="minorHAnsi" w:cstheme="minorHAnsi"/>
        </w:rPr>
      </w:pPr>
      <w:r w:rsidRPr="00302CB7">
        <w:rPr>
          <w:rFonts w:asciiTheme="minorHAnsi" w:hAnsiTheme="minorHAnsi" w:cstheme="minorHAnsi"/>
        </w:rPr>
        <w:t>Rozdíly mezi inzerovanými a skutečně realizovanými cenami jsou patrné i při srovnání jednotlivých typů nemovitostí. Byty se ve sledovaném období prodávaly v průměru o 5 procent levněji, než byly pův</w:t>
      </w:r>
      <w:r w:rsidR="00937800">
        <w:rPr>
          <w:rFonts w:asciiTheme="minorHAnsi" w:hAnsiTheme="minorHAnsi" w:cstheme="minorHAnsi"/>
        </w:rPr>
        <w:t>odně nabízeny. Stejný rozdíl,</w:t>
      </w:r>
      <w:r w:rsidRPr="00302CB7">
        <w:rPr>
          <w:rFonts w:asciiTheme="minorHAnsi" w:hAnsiTheme="minorHAnsi" w:cstheme="minorHAnsi"/>
        </w:rPr>
        <w:t xml:space="preserve"> 5 procent, vykázaly také novostavby, a to jak rodinných domů, tak bytů. U starších nemovitostí byl rozdíl mezi nabídkovou a finální cenou ještě výraznější a dosáhl 6 procent. Rodinné domy zaznamenaly největší rozdíl, kdy se </w:t>
      </w:r>
      <w:r w:rsidRPr="00302CB7">
        <w:rPr>
          <w:rFonts w:asciiTheme="minorHAnsi" w:hAnsiTheme="minorHAnsi" w:cstheme="minorHAnsi"/>
        </w:rPr>
        <w:lastRenderedPageBreak/>
        <w:t>původní a finá</w:t>
      </w:r>
      <w:r w:rsidR="00937800">
        <w:rPr>
          <w:rFonts w:asciiTheme="minorHAnsi" w:hAnsiTheme="minorHAnsi" w:cstheme="minorHAnsi"/>
        </w:rPr>
        <w:t>lní cena rozcházely v průměru o</w:t>
      </w:r>
      <w:r w:rsidR="00672F46">
        <w:rPr>
          <w:rFonts w:asciiTheme="minorHAnsi" w:hAnsiTheme="minorHAnsi" w:cstheme="minorHAnsi"/>
        </w:rPr>
        <w:t xml:space="preserve"> </w:t>
      </w:r>
      <w:r w:rsidRPr="00302CB7">
        <w:rPr>
          <w:rFonts w:asciiTheme="minorHAnsi" w:hAnsiTheme="minorHAnsi" w:cstheme="minorHAnsi"/>
        </w:rPr>
        <w:t>8 procent.</w:t>
      </w:r>
    </w:p>
    <w:p w14:paraId="64726D4E" w14:textId="77777777" w:rsidR="00302CB7" w:rsidRDefault="00302CB7" w:rsidP="00A92255">
      <w:pPr>
        <w:pBdr>
          <w:bottom w:val="single" w:sz="4" w:space="1" w:color="auto"/>
        </w:pBdr>
        <w:jc w:val="both"/>
        <w:rPr>
          <w:rFonts w:ascii="Calibri" w:hAnsi="Calibri" w:cs="Calibri"/>
          <w:b/>
          <w:bCs/>
        </w:rPr>
      </w:pPr>
    </w:p>
    <w:p w14:paraId="373DADCC" w14:textId="14D8317D" w:rsidR="00302CB7" w:rsidRDefault="00302CB7" w:rsidP="00A92255">
      <w:pPr>
        <w:jc w:val="both"/>
        <w:rPr>
          <w:rFonts w:ascii="Calibri" w:hAnsi="Calibri" w:cs="Calibri"/>
          <w:b/>
          <w:bCs/>
        </w:rPr>
      </w:pPr>
    </w:p>
    <w:p w14:paraId="5FCDCA69" w14:textId="7E355548" w:rsidR="00A92255" w:rsidRDefault="00A92255" w:rsidP="00A92255">
      <w:pPr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Broker Consulting </w:t>
      </w:r>
      <w:proofErr w:type="spellStart"/>
      <w:r>
        <w:rPr>
          <w:rFonts w:ascii="Calibri" w:hAnsi="Calibri" w:cs="Calibri"/>
          <w:b/>
          <w:bCs/>
        </w:rPr>
        <w:t>REALIndex</w:t>
      </w:r>
      <w:proofErr w:type="spellEnd"/>
      <w:r>
        <w:rPr>
          <w:rFonts w:ascii="Calibri" w:hAnsi="Calibri" w:cs="Calibri"/>
        </w:rPr>
        <w:t xml:space="preserve"> je analytický nástroj, který porovnává data z celého realitního trhu. Vyjadřuje rozdíl mezi realizační (prodejní) a prvotně nabízenou cenou nemovitosti. Díky tomu věrně ukazuje, jaký je na trhu soulad mezi nabídkou a poptávkou, tedy do jaké míry očekávání nabízejících odpovídají tomu, za kolik jsou zájemci ochotni nemovitost po</w:t>
      </w:r>
      <w:r w:rsidR="002656A9">
        <w:rPr>
          <w:rFonts w:ascii="Calibri" w:hAnsi="Calibri" w:cs="Calibri"/>
        </w:rPr>
        <w:t>řídit. Sleduje hodnoty pro byty a</w:t>
      </w:r>
      <w:r>
        <w:rPr>
          <w:rFonts w:ascii="Calibri" w:hAnsi="Calibri" w:cs="Calibri"/>
        </w:rPr>
        <w:t xml:space="preserve"> domy</w:t>
      </w:r>
      <w:r w:rsidR="002656A9">
        <w:rPr>
          <w:rFonts w:ascii="Calibri" w:hAnsi="Calibri" w:cs="Calibri"/>
        </w:rPr>
        <w:t xml:space="preserve"> a</w:t>
      </w:r>
      <w:r>
        <w:rPr>
          <w:rFonts w:ascii="Calibri" w:hAnsi="Calibri" w:cs="Calibri"/>
        </w:rPr>
        <w:t xml:space="preserve"> vyhodnocuje je na úrovni jednotlivých krajů. Součástí výchozí datové databáze jsou i developerské projekty, které ale již byly zrealizovány a zároveň prodány prvním majitelům. </w:t>
      </w:r>
      <w:r w:rsidR="00FF1735">
        <w:rPr>
          <w:rFonts w:ascii="Calibri" w:hAnsi="Calibri" w:cs="Calibri"/>
        </w:rPr>
        <w:t xml:space="preserve">Cenové údaje jsou načítány přímo z katastru nemovitostí. </w:t>
      </w:r>
      <w:r>
        <w:rPr>
          <w:rFonts w:ascii="Calibri" w:hAnsi="Calibri" w:cs="Calibri"/>
        </w:rPr>
        <w:t>Výhodou uvedené metodiky je skutečnost, že se do statistiky dostávají pouze skutečně realizované transakce, díky čemuž nedochází ke zkreslení. Výpočet je také očištěn od extrémních hodnot, které by mohly způsobit</w:t>
      </w:r>
      <w:r w:rsidR="00423A87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zk</w:t>
      </w:r>
      <w:r w:rsidR="00486A7D">
        <w:rPr>
          <w:rFonts w:ascii="Calibri" w:hAnsi="Calibri" w:cs="Calibri"/>
        </w:rPr>
        <w:t xml:space="preserve">reslení </w:t>
      </w:r>
      <w:r w:rsidR="00423A87">
        <w:rPr>
          <w:rFonts w:ascii="Calibri" w:hAnsi="Calibri" w:cs="Calibri"/>
        </w:rPr>
        <w:t>hodnot</w:t>
      </w:r>
      <w:r>
        <w:rPr>
          <w:rFonts w:ascii="Calibri" w:hAnsi="Calibri" w:cs="Calibri"/>
        </w:rPr>
        <w:t>.</w:t>
      </w:r>
      <w:r w:rsidR="00486A7D">
        <w:rPr>
          <w:rFonts w:ascii="Calibri" w:hAnsi="Calibri" w:cs="Calibri"/>
        </w:rPr>
        <w:t xml:space="preserve"> </w:t>
      </w:r>
    </w:p>
    <w:p w14:paraId="74DB18B9" w14:textId="77777777" w:rsidR="00A92255" w:rsidRDefault="00A92255" w:rsidP="00A92255">
      <w:pPr>
        <w:jc w:val="both"/>
        <w:rPr>
          <w:rFonts w:ascii="Calibri" w:hAnsi="Calibri" w:cs="Calibri"/>
          <w:b/>
        </w:rPr>
      </w:pPr>
    </w:p>
    <w:p w14:paraId="35D756D6" w14:textId="0FD00BD7" w:rsidR="00947DD4" w:rsidRDefault="00947DD4" w:rsidP="00A92255">
      <w:pPr>
        <w:jc w:val="both"/>
        <w:rPr>
          <w:rFonts w:ascii="Calibri" w:hAnsi="Calibri" w:cs="Calibri"/>
        </w:rPr>
      </w:pPr>
    </w:p>
    <w:p w14:paraId="3B62E4BD" w14:textId="1D3E7DD4" w:rsidR="00947DD4" w:rsidRPr="00947DD4" w:rsidRDefault="00947DD4" w:rsidP="00A92255">
      <w:pPr>
        <w:jc w:val="both"/>
        <w:rPr>
          <w:rFonts w:ascii="Calibri" w:hAnsi="Calibri" w:cs="Calibri"/>
        </w:rPr>
      </w:pPr>
      <w:r w:rsidRPr="00947DD4">
        <w:rPr>
          <w:rFonts w:ascii="Calibri" w:hAnsi="Calibri" w:cs="Calibri"/>
          <w:b/>
        </w:rPr>
        <w:t xml:space="preserve">Předstihový ukazatel Broker Consulting </w:t>
      </w:r>
      <w:proofErr w:type="spellStart"/>
      <w:r w:rsidRPr="00947DD4">
        <w:rPr>
          <w:rFonts w:ascii="Calibri" w:hAnsi="Calibri" w:cs="Calibri"/>
          <w:b/>
        </w:rPr>
        <w:t>REALIndexu</w:t>
      </w:r>
      <w:proofErr w:type="spellEnd"/>
      <w:r w:rsidRPr="00947DD4">
        <w:rPr>
          <w:rFonts w:ascii="Calibri" w:hAnsi="Calibri" w:cs="Calibri"/>
        </w:rPr>
        <w:t xml:space="preserve"> je analytický nástroj, který prostřednictvím aproximačního modelu odhaduje rozdíl mezi nabízenými a realizovanými cenami nemovitostí ještě před zveřejněním kompletních dat z katastru. Díky tomu umožňuje rychlejší orientaci v aktuálním vývoji realitního trhu. </w:t>
      </w:r>
      <w:r>
        <w:rPr>
          <w:rFonts w:ascii="Calibri" w:hAnsi="Calibri" w:cs="Calibri"/>
        </w:rPr>
        <w:t>Jeho výpočet vychází z databáze s daty ze spárovaných i z nespárovaných nemovitostí a podléhá metodice interního algoritmu.</w:t>
      </w:r>
    </w:p>
    <w:p w14:paraId="7D3535B8" w14:textId="04529AE6" w:rsidR="00A92255" w:rsidRDefault="00A92255" w:rsidP="00246AA6">
      <w:pPr>
        <w:jc w:val="both"/>
        <w:rPr>
          <w:rFonts w:ascii="Calibri" w:hAnsi="Calibri" w:cs="Calibri"/>
          <w:color w:val="0D0D0D"/>
        </w:rPr>
      </w:pPr>
      <w:r>
        <w:rPr>
          <w:rFonts w:ascii="Calibri" w:hAnsi="Calibri" w:cs="Calibri"/>
        </w:rPr>
        <w:t> </w:t>
      </w:r>
      <w:r>
        <w:rPr>
          <w:rFonts w:ascii="Calibri" w:hAnsi="Calibri" w:cs="Calibri"/>
          <w:b/>
          <w:bCs/>
        </w:rPr>
        <w:t xml:space="preserve"> </w:t>
      </w:r>
      <w:r w:rsidR="00956B8E">
        <w:rPr>
          <w:rFonts w:ascii="Calibri" w:hAnsi="Calibri" w:cs="Calibri"/>
          <w:b/>
          <w:bCs/>
        </w:rPr>
        <w:br/>
      </w:r>
    </w:p>
    <w:p w14:paraId="2DAFF75C" w14:textId="52B15917" w:rsidR="001B6BEB" w:rsidRDefault="001B6BEB" w:rsidP="00A92255">
      <w:pPr>
        <w:jc w:val="both"/>
        <w:rPr>
          <w:rFonts w:ascii="Calibri" w:hAnsi="Calibri" w:cs="Calibri"/>
          <w:color w:val="0D0D0D"/>
        </w:rPr>
      </w:pPr>
    </w:p>
    <w:p w14:paraId="78B3AAEF" w14:textId="471978A8" w:rsidR="001B6BEB" w:rsidRPr="00D462E3" w:rsidRDefault="001B6BEB" w:rsidP="00D462E3">
      <w:pPr>
        <w:rPr>
          <w:rFonts w:asciiTheme="minorHAnsi" w:hAnsiTheme="minorHAnsi" w:cstheme="minorHAnsi"/>
          <w:color w:val="0D0D0D"/>
        </w:rPr>
      </w:pPr>
      <w:r w:rsidRPr="00D462E3">
        <w:rPr>
          <w:rStyle w:val="Siln"/>
          <w:rFonts w:asciiTheme="minorHAnsi" w:hAnsiTheme="minorHAnsi" w:cstheme="minorHAnsi"/>
        </w:rPr>
        <w:t xml:space="preserve">Proč je dobré Broker Consulting </w:t>
      </w:r>
      <w:proofErr w:type="spellStart"/>
      <w:r w:rsidRPr="00D462E3">
        <w:rPr>
          <w:rStyle w:val="Siln"/>
          <w:rFonts w:asciiTheme="minorHAnsi" w:hAnsiTheme="minorHAnsi" w:cstheme="minorHAnsi"/>
        </w:rPr>
        <w:t>REALIndex</w:t>
      </w:r>
      <w:proofErr w:type="spellEnd"/>
      <w:r w:rsidRPr="00D462E3">
        <w:rPr>
          <w:rStyle w:val="Siln"/>
          <w:rFonts w:asciiTheme="minorHAnsi" w:hAnsiTheme="minorHAnsi" w:cstheme="minorHAnsi"/>
        </w:rPr>
        <w:t xml:space="preserve"> sledovat?</w:t>
      </w:r>
      <w:r w:rsidRPr="00D462E3">
        <w:rPr>
          <w:rFonts w:asciiTheme="minorHAnsi" w:hAnsiTheme="minorHAnsi" w:cstheme="minorHAnsi"/>
        </w:rPr>
        <w:br/>
      </w:r>
      <w:r w:rsidRPr="00D462E3">
        <w:rPr>
          <w:rFonts w:asciiTheme="minorHAnsi" w:hAnsiTheme="minorHAnsi" w:cstheme="minorHAnsi"/>
          <w:b/>
        </w:rPr>
        <w:t xml:space="preserve">Broker Consulting </w:t>
      </w:r>
      <w:proofErr w:type="spellStart"/>
      <w:r w:rsidRPr="00D462E3">
        <w:rPr>
          <w:rFonts w:asciiTheme="minorHAnsi" w:hAnsiTheme="minorHAnsi" w:cstheme="minorHAnsi"/>
          <w:b/>
        </w:rPr>
        <w:t>REALIndex</w:t>
      </w:r>
      <w:proofErr w:type="spellEnd"/>
      <w:r w:rsidRPr="00D462E3">
        <w:rPr>
          <w:rFonts w:asciiTheme="minorHAnsi" w:hAnsiTheme="minorHAnsi" w:cstheme="minorHAnsi"/>
        </w:rPr>
        <w:t xml:space="preserve"> má zásadní význam pro prodávající i zájemce o bydlení. Na jedné straně ukazuje, jaké jsou ve sledovaném období inzerované ceny nemovitostí, na druhé straně vypovídá o tom, za kolik se tyto nemovitosti skutečně prodávají. Díky tomu dokáže jasně ukázat, jak se potkávají očekávání prodávajících s realitou na straně kupujících, a tím věrně odráží náladu na trhu. Tento rozdíl je přitom klíčovou informací nejen pro </w:t>
      </w:r>
      <w:r w:rsidR="00D462E3" w:rsidRPr="00D462E3">
        <w:rPr>
          <w:rFonts w:asciiTheme="minorHAnsi" w:hAnsiTheme="minorHAnsi" w:cstheme="minorHAnsi"/>
        </w:rPr>
        <w:t xml:space="preserve">kupující,  ale i realitní investory </w:t>
      </w:r>
      <w:r w:rsidRPr="00D462E3">
        <w:rPr>
          <w:rFonts w:asciiTheme="minorHAnsi" w:hAnsiTheme="minorHAnsi" w:cstheme="minorHAnsi"/>
        </w:rPr>
        <w:t xml:space="preserve">– období, kdy je rozdíl mezi nabídkovou a kupní cenou největší, totiž často </w:t>
      </w:r>
      <w:r w:rsidR="00D462E3" w:rsidRPr="00D462E3">
        <w:rPr>
          <w:rFonts w:asciiTheme="minorHAnsi" w:hAnsiTheme="minorHAnsi" w:cstheme="minorHAnsi"/>
        </w:rPr>
        <w:t>vytváří prostor pro výhodné investice.</w:t>
      </w:r>
    </w:p>
    <w:p w14:paraId="081149DD" w14:textId="1A4B59FC" w:rsidR="00CF7819" w:rsidRPr="0060554F" w:rsidRDefault="00CF7819" w:rsidP="00CF7819">
      <w:pPr>
        <w:pBdr>
          <w:bottom w:val="single" w:sz="4" w:space="1" w:color="auto"/>
        </w:pBdr>
        <w:jc w:val="both"/>
        <w:rPr>
          <w:rFonts w:ascii="Arial" w:hAnsi="Arial" w:cs="Arial"/>
          <w:sz w:val="20"/>
          <w:szCs w:val="20"/>
        </w:rPr>
      </w:pPr>
    </w:p>
    <w:p w14:paraId="1E5E39BD" w14:textId="77777777" w:rsidR="00853C30" w:rsidRPr="00A92255" w:rsidRDefault="00853C30" w:rsidP="008F3C6D">
      <w:pPr>
        <w:jc w:val="both"/>
        <w:rPr>
          <w:rFonts w:asciiTheme="minorHAnsi" w:hAnsiTheme="minorHAnsi" w:cstheme="minorHAnsi"/>
        </w:rPr>
      </w:pPr>
    </w:p>
    <w:p w14:paraId="6AF53FD1" w14:textId="4E79BB92" w:rsidR="00B51F55" w:rsidRPr="00A92255" w:rsidRDefault="00B51F55" w:rsidP="00A92255">
      <w:pPr>
        <w:rPr>
          <w:rFonts w:asciiTheme="minorHAnsi" w:hAnsiTheme="minorHAnsi" w:cstheme="minorHAnsi"/>
        </w:rPr>
      </w:pPr>
      <w:r w:rsidRPr="00A92255">
        <w:rPr>
          <w:rFonts w:asciiTheme="minorHAnsi" w:hAnsiTheme="minorHAnsi" w:cstheme="minorHAnsi"/>
          <w:b/>
        </w:rPr>
        <w:t>Poznámka pro média:</w:t>
      </w:r>
      <w:r w:rsidRPr="00A92255">
        <w:rPr>
          <w:rFonts w:asciiTheme="minorHAnsi" w:hAnsiTheme="minorHAnsi" w:cstheme="minorHAnsi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Broker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Consulting</w:t>
      </w:r>
      <w:r w:rsidRPr="00A92255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Indexy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je</w:t>
      </w:r>
      <w:r w:rsidRPr="00A92255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možné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volně</w:t>
      </w:r>
      <w:r w:rsidRPr="00A92255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spacing w:val="2"/>
          <w:w w:val="105"/>
        </w:rPr>
        <w:t>publikovat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pouze</w:t>
      </w:r>
      <w:r w:rsidRPr="00A92255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s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označením</w:t>
      </w:r>
      <w:r w:rsidRPr="00A92255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„Broker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Consulting</w:t>
      </w:r>
      <w:r w:rsidRPr="00A92255">
        <w:rPr>
          <w:rFonts w:asciiTheme="minorHAnsi" w:hAnsiTheme="minorHAnsi" w:cstheme="minorHAnsi"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w w:val="105"/>
        </w:rPr>
        <w:t>Index“</w:t>
      </w:r>
      <w:r w:rsidRPr="00A92255">
        <w:rPr>
          <w:rFonts w:asciiTheme="minorHAnsi" w:hAnsiTheme="minorHAnsi" w:cstheme="minorHAnsi"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color w:val="1D1D1B"/>
          <w:spacing w:val="-3"/>
          <w:w w:val="105"/>
        </w:rPr>
        <w:t>(</w:t>
      </w:r>
      <w:r w:rsidRPr="00A92255">
        <w:rPr>
          <w:rFonts w:asciiTheme="minorHAnsi" w:hAnsiTheme="minorHAnsi" w:cstheme="minorHAnsi"/>
          <w:i/>
          <w:color w:val="1D1D1B"/>
          <w:spacing w:val="-3"/>
          <w:w w:val="105"/>
        </w:rPr>
        <w:t>např.</w:t>
      </w:r>
      <w:r w:rsidRPr="00A92255">
        <w:rPr>
          <w:rFonts w:asciiTheme="minorHAnsi" w:hAnsiTheme="minorHAnsi" w:cstheme="minorHAnsi"/>
          <w:i/>
          <w:color w:val="1D1D1B"/>
          <w:spacing w:val="-8"/>
          <w:w w:val="105"/>
        </w:rPr>
        <w:t xml:space="preserve"> </w:t>
      </w:r>
      <w:r w:rsidRPr="00A92255">
        <w:rPr>
          <w:rFonts w:asciiTheme="minorHAnsi" w:hAnsiTheme="minorHAnsi" w:cstheme="minorHAnsi"/>
          <w:i/>
          <w:color w:val="1D1D1B"/>
          <w:w w:val="105"/>
        </w:rPr>
        <w:t>Broker</w:t>
      </w:r>
      <w:r w:rsidRPr="00A92255">
        <w:rPr>
          <w:rFonts w:asciiTheme="minorHAnsi" w:hAnsiTheme="minorHAnsi" w:cstheme="minorHAnsi"/>
          <w:i/>
          <w:color w:val="1D1D1B"/>
          <w:spacing w:val="-9"/>
          <w:w w:val="105"/>
        </w:rPr>
        <w:t xml:space="preserve"> </w:t>
      </w:r>
      <w:r w:rsidRPr="00A92255">
        <w:rPr>
          <w:rFonts w:asciiTheme="minorHAnsi" w:hAnsiTheme="minorHAnsi" w:cstheme="minorHAnsi"/>
          <w:i/>
          <w:color w:val="1D1D1B"/>
          <w:w w:val="105"/>
        </w:rPr>
        <w:t>Consulting</w:t>
      </w:r>
      <w:r w:rsidRPr="00A92255">
        <w:rPr>
          <w:rFonts w:asciiTheme="minorHAnsi" w:hAnsiTheme="minorHAnsi" w:cstheme="minorHAnsi"/>
          <w:i/>
          <w:color w:val="1D1D1B"/>
          <w:spacing w:val="-8"/>
          <w:w w:val="105"/>
        </w:rPr>
        <w:t xml:space="preserve"> Index </w:t>
      </w:r>
      <w:r w:rsidRPr="00A92255">
        <w:rPr>
          <w:rFonts w:asciiTheme="minorHAnsi" w:hAnsiTheme="minorHAnsi" w:cstheme="minorHAnsi"/>
          <w:i/>
          <w:color w:val="1D1D1B"/>
          <w:w w:val="105"/>
        </w:rPr>
        <w:t>hypoteční</w:t>
      </w:r>
      <w:r w:rsidRPr="00A92255">
        <w:rPr>
          <w:rFonts w:asciiTheme="minorHAnsi" w:hAnsiTheme="minorHAnsi" w:cstheme="minorHAnsi"/>
          <w:i/>
          <w:color w:val="1D1D1B"/>
          <w:spacing w:val="-9"/>
          <w:w w:val="105"/>
        </w:rPr>
        <w:t>ch úvěrů</w:t>
      </w:r>
      <w:r w:rsidRPr="00A92255">
        <w:rPr>
          <w:rFonts w:asciiTheme="minorHAnsi" w:hAnsiTheme="minorHAnsi" w:cstheme="minorHAnsi"/>
          <w:i/>
          <w:color w:val="1D1D1B"/>
          <w:w w:val="105"/>
        </w:rPr>
        <w:t xml:space="preserve">). Více informací najdete též na webu </w:t>
      </w:r>
      <w:r w:rsidR="00246AA6" w:rsidRPr="00246AA6">
        <w:rPr>
          <w:rFonts w:asciiTheme="minorHAnsi" w:hAnsiTheme="minorHAnsi" w:cstheme="minorHAnsi"/>
          <w:i/>
          <w:color w:val="1D1D1B"/>
          <w:w w:val="105"/>
        </w:rPr>
        <w:t>https://bcas.cz/pro-media</w:t>
      </w:r>
    </w:p>
    <w:p w14:paraId="685A4AD2" w14:textId="77777777" w:rsidR="00B51F55" w:rsidRPr="00A92255" w:rsidRDefault="00B51F55" w:rsidP="008F3C6D">
      <w:pPr>
        <w:jc w:val="both"/>
        <w:rPr>
          <w:rFonts w:asciiTheme="minorHAnsi" w:hAnsiTheme="minorHAnsi" w:cstheme="minorHAnsi"/>
        </w:rPr>
      </w:pPr>
    </w:p>
    <w:p w14:paraId="1039ED98" w14:textId="77777777" w:rsidR="008F3C6D" w:rsidRPr="00A92255" w:rsidRDefault="008F3C6D" w:rsidP="008F3C6D">
      <w:pPr>
        <w:jc w:val="both"/>
        <w:rPr>
          <w:rFonts w:asciiTheme="minorHAnsi" w:eastAsia="Calibri" w:hAnsiTheme="minorHAnsi" w:cstheme="minorHAnsi"/>
          <w:b/>
          <w:bCs/>
          <w:noProof/>
        </w:rPr>
      </w:pPr>
    </w:p>
    <w:p w14:paraId="195CA202" w14:textId="77777777" w:rsidR="008F3C6D" w:rsidRPr="00A92255" w:rsidRDefault="008F3C6D" w:rsidP="008F3C6D">
      <w:pPr>
        <w:rPr>
          <w:rFonts w:asciiTheme="minorHAnsi" w:eastAsia="Calibri" w:hAnsiTheme="minorHAnsi" w:cstheme="minorHAnsi"/>
          <w:b/>
          <w:bCs/>
          <w:noProof/>
        </w:rPr>
      </w:pPr>
      <w:r w:rsidRPr="00A92255">
        <w:rPr>
          <w:rFonts w:asciiTheme="minorHAnsi" w:eastAsia="Calibri" w:hAnsiTheme="minorHAnsi" w:cstheme="minorHAnsi"/>
          <w:b/>
          <w:bCs/>
          <w:noProof/>
        </w:rPr>
        <w:t>Kontakt pro média:</w:t>
      </w:r>
    </w:p>
    <w:p w14:paraId="78012E24" w14:textId="77777777" w:rsidR="0053079B" w:rsidRPr="00A92255" w:rsidRDefault="0053079B" w:rsidP="0053079B">
      <w:pPr>
        <w:rPr>
          <w:rFonts w:asciiTheme="minorHAnsi" w:eastAsia="Calibri" w:hAnsiTheme="minorHAnsi" w:cstheme="minorHAnsi"/>
          <w:bCs/>
          <w:noProof/>
        </w:rPr>
      </w:pPr>
    </w:p>
    <w:p w14:paraId="60542279" w14:textId="6C16017E" w:rsidR="0053079B" w:rsidRPr="00A92255" w:rsidRDefault="00895CC7" w:rsidP="0053079B">
      <w:pPr>
        <w:spacing w:after="60"/>
        <w:rPr>
          <w:rFonts w:asciiTheme="minorHAnsi" w:eastAsia="Calibri" w:hAnsiTheme="minorHAnsi" w:cstheme="minorHAnsi"/>
          <w:bCs/>
          <w:noProof/>
          <w:lang w:bidi="ar-SA"/>
        </w:rPr>
      </w:pPr>
      <w:r>
        <w:rPr>
          <w:rFonts w:asciiTheme="minorHAnsi" w:eastAsia="Calibri" w:hAnsiTheme="minorHAnsi" w:cstheme="minorHAnsi"/>
          <w:bCs/>
          <w:noProof/>
        </w:rPr>
        <w:t>Lenka Kuželová Sikorová</w:t>
      </w:r>
    </w:p>
    <w:p w14:paraId="16BB5E7E" w14:textId="77777777" w:rsidR="0053079B" w:rsidRPr="00A92255" w:rsidRDefault="0053079B" w:rsidP="0053079B">
      <w:pPr>
        <w:pStyle w:val="Bezmezer"/>
        <w:rPr>
          <w:rFonts w:eastAsia="Calibri" w:cstheme="minorHAnsi"/>
          <w:noProof/>
        </w:rPr>
      </w:pPr>
      <w:r w:rsidRPr="00A92255">
        <w:rPr>
          <w:rFonts w:eastAsia="Calibri" w:cstheme="minorHAnsi"/>
          <w:noProof/>
        </w:rPr>
        <w:t>Specialistka PR a externí komunikace</w:t>
      </w:r>
    </w:p>
    <w:p w14:paraId="2D24B5C8" w14:textId="13B77DEF" w:rsidR="0053079B" w:rsidRPr="00A92255" w:rsidRDefault="00895CC7" w:rsidP="0053079B">
      <w:pPr>
        <w:rPr>
          <w:rFonts w:asciiTheme="minorHAnsi" w:eastAsiaTheme="minorEastAsia" w:hAnsiTheme="minorHAnsi" w:cstheme="minorHAnsi"/>
          <w:noProof/>
          <w:color w:val="000000" w:themeColor="text1"/>
          <w:lang w:bidi="ar-SA"/>
        </w:rPr>
      </w:pPr>
      <w:r>
        <w:rPr>
          <w:rFonts w:asciiTheme="minorHAnsi" w:eastAsiaTheme="minorEastAsia" w:hAnsiTheme="minorHAnsi" w:cstheme="minorHAnsi"/>
          <w:noProof/>
          <w:color w:val="000000" w:themeColor="text1"/>
        </w:rPr>
        <w:t>tel.: +420</w:t>
      </w:r>
      <w:r w:rsidR="003555B2">
        <w:rPr>
          <w:rFonts w:asciiTheme="minorHAnsi" w:eastAsiaTheme="minorEastAsia" w:hAnsiTheme="minorHAnsi" w:cstheme="minorHAnsi"/>
          <w:noProof/>
          <w:color w:val="000000" w:themeColor="text1"/>
        </w:rPr>
        <w:t> </w:t>
      </w:r>
      <w:r>
        <w:rPr>
          <w:rFonts w:asciiTheme="minorHAnsi" w:eastAsiaTheme="minorEastAsia" w:hAnsiTheme="minorHAnsi" w:cstheme="minorHAnsi"/>
          <w:noProof/>
          <w:color w:val="000000" w:themeColor="text1"/>
        </w:rPr>
        <w:t>731</w:t>
      </w:r>
      <w:r w:rsidR="002656A9">
        <w:rPr>
          <w:rFonts w:asciiTheme="minorHAnsi" w:eastAsiaTheme="minorEastAsia" w:hAnsiTheme="minorHAnsi" w:cstheme="minorHAnsi"/>
          <w:noProof/>
          <w:color w:val="000000" w:themeColor="text1"/>
        </w:rPr>
        <w:t> 929 990</w:t>
      </w:r>
    </w:p>
    <w:p w14:paraId="745E815C" w14:textId="266AE2E7" w:rsidR="0053079B" w:rsidRPr="00A92255" w:rsidRDefault="0053079B" w:rsidP="0053079B">
      <w:pPr>
        <w:rPr>
          <w:rFonts w:asciiTheme="minorHAnsi" w:eastAsia="Calibri" w:hAnsiTheme="minorHAnsi" w:cstheme="minorHAnsi"/>
          <w:noProof/>
        </w:rPr>
      </w:pPr>
      <w:r w:rsidRPr="00A92255">
        <w:rPr>
          <w:rFonts w:asciiTheme="minorHAnsi" w:eastAsia="Calibri" w:hAnsiTheme="minorHAnsi" w:cstheme="minorHAnsi"/>
          <w:noProof/>
        </w:rPr>
        <w:t xml:space="preserve">E-mail: </w:t>
      </w:r>
      <w:r w:rsidR="00895CC7">
        <w:rPr>
          <w:rFonts w:asciiTheme="minorHAnsi" w:eastAsia="Calibri" w:hAnsiTheme="minorHAnsi" w:cstheme="minorHAnsi"/>
          <w:noProof/>
        </w:rPr>
        <w:t>lenka.kuzelova@bcas.cz</w:t>
      </w:r>
    </w:p>
    <w:p w14:paraId="1FBC071D" w14:textId="77777777" w:rsidR="00FA6B22" w:rsidRPr="00B13035" w:rsidRDefault="00FA6B22" w:rsidP="008F3C6D">
      <w:pPr>
        <w:rPr>
          <w:rFonts w:ascii="Arial" w:eastAsia="Calibri" w:hAnsi="Arial" w:cs="Arial"/>
          <w:noProof/>
          <w:sz w:val="20"/>
          <w:szCs w:val="20"/>
        </w:rPr>
      </w:pPr>
    </w:p>
    <w:p w14:paraId="5BCE3D52" w14:textId="77777777" w:rsidR="008F3C6D" w:rsidRPr="009F59EE" w:rsidRDefault="008F3C6D" w:rsidP="008F3C6D">
      <w:pPr>
        <w:jc w:val="both"/>
        <w:rPr>
          <w:sz w:val="20"/>
        </w:rPr>
      </w:pPr>
    </w:p>
    <w:p w14:paraId="12134AC2" w14:textId="77777777" w:rsidR="008F3C6D" w:rsidRDefault="008F3C6D" w:rsidP="008F3C6D">
      <w:pPr>
        <w:jc w:val="both"/>
        <w:rPr>
          <w:rFonts w:ascii="Arial" w:hAnsi="Arial" w:cs="Arial"/>
          <w:b/>
          <w:bCs/>
          <w:color w:val="FF0000"/>
          <w:sz w:val="20"/>
          <w:szCs w:val="20"/>
        </w:rPr>
      </w:pPr>
    </w:p>
    <w:sectPr w:rsidR="008F3C6D" w:rsidSect="001675AF">
      <w:type w:val="continuous"/>
      <w:pgSz w:w="11910" w:h="16840"/>
      <w:pgMar w:top="960" w:right="740" w:bottom="2127" w:left="720" w:header="708" w:footer="1136" w:gutter="0"/>
      <w:cols w:space="708"/>
      <w:docGrid w:linePitch="299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7266C082" w16cex:dateUtc="2025-09-18T07:03:00Z"/>
  <w16cex:commentExtensible w16cex:durableId="680B61AC" w16cex:dateUtc="2025-09-18T07:15:00Z"/>
  <w16cex:commentExtensible w16cex:durableId="07F2207A" w16cex:dateUtc="2025-09-18T07:06:00Z"/>
  <w16cex:commentExtensible w16cex:durableId="5D960559" w16cex:dateUtc="2025-09-18T07:07:00Z"/>
  <w16cex:commentExtensible w16cex:durableId="77A74DDE" w16cex:dateUtc="2025-09-18T07:07:00Z"/>
  <w16cex:commentExtensible w16cex:durableId="462DF8EC" w16cex:dateUtc="2025-09-18T07:07:00Z"/>
  <w16cex:commentExtensible w16cex:durableId="51873224" w16cex:dateUtc="2025-09-18T07:08:00Z"/>
  <w16cex:commentExtensible w16cex:durableId="35FAADA2" w16cex:dateUtc="2025-09-18T07:08:00Z"/>
  <w16cex:commentExtensible w16cex:durableId="49EF09AF" w16cex:dateUtc="2025-09-18T07:11:00Z"/>
  <w16cex:commentExtensible w16cex:durableId="47007BDC" w16cex:dateUtc="2025-09-18T07:12:00Z"/>
  <w16cex:commentExtensible w16cex:durableId="28DD2988" w16cex:dateUtc="2025-09-18T07:1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2DD1C0D7" w16cid:durableId="7266C082"/>
  <w16cid:commentId w16cid:paraId="144618AF" w16cid:durableId="680B61AC"/>
  <w16cid:commentId w16cid:paraId="6B3DCF42" w16cid:durableId="07F2207A"/>
  <w16cid:commentId w16cid:paraId="2BF9BC66" w16cid:durableId="5D960559"/>
  <w16cid:commentId w16cid:paraId="77C6FA9E" w16cid:durableId="77A74DDE"/>
  <w16cid:commentId w16cid:paraId="11110101" w16cid:durableId="462DF8EC"/>
  <w16cid:commentId w16cid:paraId="7A402A32" w16cid:durableId="51873224"/>
  <w16cid:commentId w16cid:paraId="30660888" w16cid:durableId="35FAADA2"/>
  <w16cid:commentId w16cid:paraId="7734F603" w16cid:durableId="7734F603"/>
  <w16cid:commentId w16cid:paraId="3E88B8F6" w16cid:durableId="49EF09AF"/>
  <w16cid:commentId w16cid:paraId="1FD97C01" w16cid:durableId="1FD97C01"/>
  <w16cid:commentId w16cid:paraId="59D1C99A" w16cid:durableId="47007BDC"/>
  <w16cid:commentId w16cid:paraId="58946C32" w16cid:durableId="28DD2988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0410A9" w14:textId="77777777" w:rsidR="008A15EC" w:rsidRDefault="008A15EC">
      <w:r>
        <w:separator/>
      </w:r>
    </w:p>
  </w:endnote>
  <w:endnote w:type="continuationSeparator" w:id="0">
    <w:p w14:paraId="7A0A33CF" w14:textId="77777777" w:rsidR="008A15EC" w:rsidRDefault="008A15E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015TEELig">
    <w:altName w:val="Times New Roman"/>
    <w:charset w:val="EE"/>
    <w:family w:val="auto"/>
    <w:pitch w:val="variable"/>
    <w:sig w:usb0="00000001" w:usb1="00002048" w:usb2="00000000" w:usb3="00000000" w:csb0="00000083" w:csb1="00000000"/>
  </w:font>
  <w:font w:name="F015TEEMed">
    <w:altName w:val="Times New Roman"/>
    <w:charset w:val="00"/>
    <w:family w:val="auto"/>
    <w:pitch w:val="variable"/>
    <w:sig w:usb0="00000001" w:usb1="00000000" w:usb2="00000000" w:usb3="00000000" w:csb0="00000083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DB7E1B" w14:textId="0BBF035E" w:rsidR="00956B8E" w:rsidRPr="00956B8E" w:rsidRDefault="00956B8E">
    <w:pPr>
      <w:pStyle w:val="Zpat"/>
      <w:jc w:val="center"/>
      <w:rPr>
        <w:rFonts w:asciiTheme="minorHAnsi" w:hAnsiTheme="minorHAnsi" w:cstheme="minorHAnsi"/>
        <w:sz w:val="20"/>
        <w:szCs w:val="20"/>
      </w:rPr>
    </w:pPr>
  </w:p>
  <w:p w14:paraId="01CE9966" w14:textId="39F0E5F2" w:rsidR="00D80B6D" w:rsidRPr="00956B8E" w:rsidRDefault="00956B8E" w:rsidP="00956B8E">
    <w:pPr>
      <w:pStyle w:val="Zpat"/>
      <w:jc w:val="center"/>
      <w:rPr>
        <w:rFonts w:asciiTheme="minorHAnsi" w:hAnsiTheme="minorHAnsi" w:cstheme="minorHAnsi"/>
        <w:sz w:val="20"/>
        <w:szCs w:val="20"/>
      </w:rPr>
    </w:pPr>
    <w:r w:rsidRPr="00956B8E">
      <w:rPr>
        <w:rFonts w:asciiTheme="minorHAnsi" w:hAnsiTheme="minorHAnsi" w:cstheme="minorHAnsi"/>
        <w:sz w:val="20"/>
        <w:szCs w:val="20"/>
      </w:rP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4A20D6" w14:textId="77777777" w:rsidR="00D80B6D" w:rsidRDefault="00D80B6D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D36B16" w14:textId="77777777" w:rsidR="00D80B6D" w:rsidRDefault="00D80B6D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71572B" w14:textId="77777777" w:rsidR="008A15EC" w:rsidRDefault="008A15EC">
      <w:r>
        <w:separator/>
      </w:r>
    </w:p>
  </w:footnote>
  <w:footnote w:type="continuationSeparator" w:id="0">
    <w:p w14:paraId="35A32138" w14:textId="77777777" w:rsidR="008A15EC" w:rsidRDefault="008A15E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4E04A61" w14:textId="77777777" w:rsidR="00D80B6D" w:rsidRPr="00A92255" w:rsidRDefault="00D80B6D" w:rsidP="00E95698">
    <w:pPr>
      <w:tabs>
        <w:tab w:val="left" w:pos="8633"/>
      </w:tabs>
      <w:spacing w:before="80"/>
      <w:ind w:firstLine="2880"/>
      <w:rPr>
        <w:rFonts w:asciiTheme="minorHAnsi" w:hAnsiTheme="minorHAnsi" w:cstheme="minorHAnsi"/>
        <w:sz w:val="52"/>
      </w:rPr>
    </w:pPr>
    <w:r w:rsidRPr="00A92255">
      <w:rPr>
        <w:rFonts w:asciiTheme="minorHAnsi" w:hAnsiTheme="minorHAnsi" w:cstheme="minorHAnsi"/>
        <w:noProof/>
        <w:sz w:val="20"/>
        <w:lang w:bidi="ar-SA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FDCED20" wp14:editId="6981B8FE">
              <wp:simplePos x="0" y="0"/>
              <wp:positionH relativeFrom="page">
                <wp:posOffset>1962785</wp:posOffset>
              </wp:positionH>
              <wp:positionV relativeFrom="paragraph">
                <wp:posOffset>42545</wp:posOffset>
              </wp:positionV>
              <wp:extent cx="0" cy="450850"/>
              <wp:effectExtent l="8255" t="12065" r="10795" b="13335"/>
              <wp:wrapNone/>
              <wp:docPr id="112" name="Line 8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05AC1C4D" id="Line 89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4.55pt,3.35pt" to="154.55pt,3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" strokecolor="#cd1719" strokeweight="1pt">
              <w10:wrap anchorx="page"/>
            </v:line>
          </w:pict>
        </mc:Fallback>
      </mc:AlternateContent>
    </w:r>
    <w:r w:rsidRPr="00A92255">
      <w:rPr>
        <w:rFonts w:asciiTheme="minorHAnsi" w:hAnsiTheme="minorHAnsi" w:cstheme="minorHAnsi"/>
        <w:noProof/>
        <w:sz w:val="20"/>
        <w:lang w:bidi="ar-SA"/>
      </w:rPr>
      <w:drawing>
        <wp:anchor distT="0" distB="0" distL="0" distR="0" simplePos="0" relativeHeight="251659264" behindDoc="0" locked="0" layoutInCell="1" allowOverlap="1" wp14:anchorId="30A2D658" wp14:editId="7205C149">
          <wp:simplePos x="0" y="0"/>
          <wp:positionH relativeFrom="margin">
            <wp:align>left</wp:align>
          </wp:positionH>
          <wp:positionV relativeFrom="paragraph">
            <wp:posOffset>45085</wp:posOffset>
          </wp:positionV>
          <wp:extent cx="1200150" cy="450850"/>
          <wp:effectExtent l="0" t="0" r="0" b="6350"/>
          <wp:wrapNone/>
          <wp:docPr id="29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4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200150" cy="450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92255">
      <w:rPr>
        <w:rFonts w:asciiTheme="minorHAnsi" w:hAnsiTheme="minorHAnsi" w:cstheme="minorHAnsi"/>
        <w:color w:val="1D1D1B"/>
        <w:sz w:val="48"/>
      </w:rPr>
      <w:t xml:space="preserve">BROKER CONSULTING </w:t>
    </w:r>
    <w:r w:rsidRPr="00A92255">
      <w:rPr>
        <w:rFonts w:asciiTheme="minorHAnsi" w:hAnsiTheme="minorHAnsi" w:cstheme="minorHAnsi"/>
        <w:color w:val="CD1719"/>
        <w:sz w:val="52"/>
      </w:rPr>
      <w:t>INDEX</w:t>
    </w:r>
  </w:p>
  <w:p w14:paraId="2B920E62" w14:textId="77777777" w:rsidR="00D80B6D" w:rsidRDefault="00D80B6D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639CAA" w14:textId="77777777" w:rsidR="00D80B6D" w:rsidRDefault="00D80B6D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E68EBE" w14:textId="77777777" w:rsidR="00B65A3B" w:rsidRDefault="00B65A3B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51072" behindDoc="0" locked="0" layoutInCell="1" allowOverlap="1" wp14:anchorId="31BAF93D" wp14:editId="6CF85B52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0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1FEE69E" w14:textId="77777777" w:rsidR="00B65A3B" w:rsidRPr="00B65A3B" w:rsidRDefault="00B65A3B" w:rsidP="00B65A3B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50048" behindDoc="0" locked="0" layoutInCell="1" allowOverlap="1" wp14:anchorId="0ED4418B" wp14:editId="7FE32292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119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10D45A71" id="Line 32" o:spid="_x0000_s1026" style="position:absolute;z-index: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49024" behindDoc="0" locked="0" layoutInCell="1" allowOverlap="1" wp14:anchorId="47B23A44" wp14:editId="1B722D07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1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2AE1FBD7" w14:textId="38A102A0" w:rsidR="00B65A3B" w:rsidRDefault="00A92255" w:rsidP="00B65A3B">
    <w:pPr>
      <w:spacing w:before="85"/>
      <w:ind w:left="1440" w:firstLine="720"/>
      <w:rPr>
        <w:rFonts w:ascii="Arial" w:hAnsi="Arial" w:cs="Arial"/>
        <w:color w:val="E52713"/>
        <w:sz w:val="28"/>
        <w:szCs w:val="28"/>
      </w:rPr>
    </w:pPr>
    <w:proofErr w:type="spellStart"/>
    <w:r>
      <w:rPr>
        <w:rFonts w:ascii="Arial" w:hAnsi="Arial" w:cs="Arial"/>
        <w:color w:val="E52713"/>
        <w:sz w:val="28"/>
        <w:szCs w:val="28"/>
      </w:rPr>
      <w:t>REALIndex</w:t>
    </w:r>
    <w:proofErr w:type="spellEnd"/>
  </w:p>
  <w:p w14:paraId="3F4A0BE4" w14:textId="77777777" w:rsidR="00480982" w:rsidRPr="00B65A3B" w:rsidRDefault="00480982" w:rsidP="00B65A3B">
    <w:pPr>
      <w:spacing w:before="85"/>
      <w:ind w:left="1440" w:firstLine="720"/>
      <w:rPr>
        <w:rFonts w:ascii="Arial" w:hAnsi="Arial" w:cs="Arial"/>
        <w:sz w:val="28"/>
        <w:szCs w:val="28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C58B739" w14:textId="77777777" w:rsidR="009F59EE" w:rsidRDefault="009F59EE" w:rsidP="009F59EE">
    <w:pPr>
      <w:pStyle w:val="Zhlav"/>
    </w:pPr>
    <w:r w:rsidRPr="00B65A3B">
      <w:rPr>
        <w:rFonts w:ascii="Arial" w:hAnsi="Arial" w:cs="Arial"/>
        <w:noProof/>
        <w:sz w:val="28"/>
        <w:szCs w:val="28"/>
        <w:lang w:bidi="ar-SA"/>
      </w:rPr>
      <w:drawing>
        <wp:anchor distT="0" distB="0" distL="0" distR="0" simplePos="0" relativeHeight="251663360" behindDoc="0" locked="0" layoutInCell="1" allowOverlap="1" wp14:anchorId="5B141BE4" wp14:editId="2D7EF3BD">
          <wp:simplePos x="0" y="0"/>
          <wp:positionH relativeFrom="margin">
            <wp:align>right</wp:align>
          </wp:positionH>
          <wp:positionV relativeFrom="paragraph">
            <wp:posOffset>6985</wp:posOffset>
          </wp:positionV>
          <wp:extent cx="601425" cy="648000"/>
          <wp:effectExtent l="0" t="0" r="8255" b="0"/>
          <wp:wrapNone/>
          <wp:docPr id="35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01425" cy="6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279D881" w14:textId="77777777" w:rsidR="009F59EE" w:rsidRPr="00B65A3B" w:rsidRDefault="009F59EE" w:rsidP="009F59EE">
    <w:pPr>
      <w:pStyle w:val="Nadpis2"/>
      <w:ind w:left="1440" w:firstLine="720"/>
      <w:rPr>
        <w:rFonts w:ascii="Arial" w:hAnsi="Arial" w:cs="Arial"/>
      </w:rPr>
    </w:pPr>
    <w:r w:rsidRPr="00B65A3B">
      <w:rPr>
        <w:rFonts w:ascii="Arial" w:hAnsi="Arial" w:cs="Arial"/>
        <w:noProof/>
        <w:lang w:bidi="ar-SA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A596170" wp14:editId="51FC0657">
              <wp:simplePos x="0" y="0"/>
              <wp:positionH relativeFrom="page">
                <wp:posOffset>1589405</wp:posOffset>
              </wp:positionH>
              <wp:positionV relativeFrom="paragraph">
                <wp:posOffset>74295</wp:posOffset>
              </wp:positionV>
              <wp:extent cx="0" cy="450850"/>
              <wp:effectExtent l="8255" t="12065" r="10795" b="13335"/>
              <wp:wrapNone/>
              <wp:docPr id="24" name="Lin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45085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CD171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<w:pict>
            <v:line w14:anchorId="3459852D" id="Line 32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15pt,5.85pt" to="125.15pt,4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" strokecolor="#cd1719" strokeweight="1pt">
              <w10:wrap anchorx="page"/>
            </v:line>
          </w:pict>
        </mc:Fallback>
      </mc:AlternateContent>
    </w:r>
    <w:r w:rsidRPr="00B65A3B">
      <w:rPr>
        <w:rFonts w:ascii="Arial" w:hAnsi="Arial" w:cs="Arial"/>
        <w:noProof/>
        <w:lang w:bidi="ar-SA"/>
      </w:rPr>
      <w:drawing>
        <wp:anchor distT="0" distB="0" distL="0" distR="0" simplePos="0" relativeHeight="251661312" behindDoc="0" locked="0" layoutInCell="1" allowOverlap="1" wp14:anchorId="4C8C0CCC" wp14:editId="33D3DC1B">
          <wp:simplePos x="0" y="0"/>
          <wp:positionH relativeFrom="margin">
            <wp:align>left</wp:align>
          </wp:positionH>
          <wp:positionV relativeFrom="paragraph">
            <wp:posOffset>63500</wp:posOffset>
          </wp:positionV>
          <wp:extent cx="958324" cy="360000"/>
          <wp:effectExtent l="0" t="0" r="0" b="2540"/>
          <wp:wrapNone/>
          <wp:docPr id="36" name="image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4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58324" cy="36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65A3B">
      <w:rPr>
        <w:rFonts w:ascii="Arial" w:hAnsi="Arial" w:cs="Arial"/>
        <w:color w:val="1D1D1B"/>
      </w:rPr>
      <w:t>BROKER CONSULTING</w:t>
    </w:r>
  </w:p>
  <w:p w14:paraId="07739BB1" w14:textId="5772DB5B" w:rsidR="00D80B6D" w:rsidRPr="009F59EE" w:rsidRDefault="00A92255" w:rsidP="009F59EE">
    <w:pPr>
      <w:spacing w:before="85"/>
      <w:ind w:left="1440" w:firstLine="720"/>
      <w:rPr>
        <w:rFonts w:ascii="Arial" w:hAnsi="Arial" w:cs="Arial"/>
        <w:sz w:val="28"/>
        <w:szCs w:val="28"/>
      </w:rPr>
    </w:pPr>
    <w:proofErr w:type="spellStart"/>
    <w:r>
      <w:rPr>
        <w:rFonts w:ascii="Arial" w:hAnsi="Arial" w:cs="Arial"/>
        <w:color w:val="E52713"/>
        <w:sz w:val="28"/>
        <w:szCs w:val="28"/>
      </w:rPr>
      <w:t>REALIndex</w:t>
    </w:r>
    <w:proofErr w:type="spellEnd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7C0F06"/>
    <w:multiLevelType w:val="hybridMultilevel"/>
    <w:tmpl w:val="31B0B806"/>
    <w:lvl w:ilvl="0" w:tplc="3356DF0A">
      <w:numFmt w:val="bullet"/>
      <w:lvlText w:val=""/>
      <w:lvlJc w:val="left"/>
      <w:pPr>
        <w:ind w:left="341" w:hanging="211"/>
      </w:pPr>
      <w:rPr>
        <w:rFonts w:ascii="Wingdings" w:eastAsia="Wingdings" w:hAnsi="Wingdings" w:cs="Wingdings" w:hint="default"/>
        <w:color w:val="CD1719"/>
        <w:w w:val="100"/>
        <w:sz w:val="22"/>
        <w:szCs w:val="22"/>
        <w:lang w:val="cs-CZ" w:eastAsia="cs-CZ" w:bidi="cs-CZ"/>
      </w:rPr>
    </w:lvl>
    <w:lvl w:ilvl="1" w:tplc="1DF000FE">
      <w:numFmt w:val="bullet"/>
      <w:lvlText w:val="•"/>
      <w:lvlJc w:val="left"/>
      <w:pPr>
        <w:ind w:left="813" w:hanging="211"/>
      </w:pPr>
      <w:rPr>
        <w:rFonts w:hint="default"/>
        <w:lang w:val="cs-CZ" w:eastAsia="cs-CZ" w:bidi="cs-CZ"/>
      </w:rPr>
    </w:lvl>
    <w:lvl w:ilvl="2" w:tplc="80FCB91A">
      <w:numFmt w:val="bullet"/>
      <w:lvlText w:val="•"/>
      <w:lvlJc w:val="left"/>
      <w:pPr>
        <w:ind w:left="1286" w:hanging="211"/>
      </w:pPr>
      <w:rPr>
        <w:rFonts w:hint="default"/>
        <w:lang w:val="cs-CZ" w:eastAsia="cs-CZ" w:bidi="cs-CZ"/>
      </w:rPr>
    </w:lvl>
    <w:lvl w:ilvl="3" w:tplc="95182F9E">
      <w:numFmt w:val="bullet"/>
      <w:lvlText w:val="•"/>
      <w:lvlJc w:val="left"/>
      <w:pPr>
        <w:ind w:left="1760" w:hanging="211"/>
      </w:pPr>
      <w:rPr>
        <w:rFonts w:hint="default"/>
        <w:lang w:val="cs-CZ" w:eastAsia="cs-CZ" w:bidi="cs-CZ"/>
      </w:rPr>
    </w:lvl>
    <w:lvl w:ilvl="4" w:tplc="46A6BAA6">
      <w:numFmt w:val="bullet"/>
      <w:lvlText w:val="•"/>
      <w:lvlJc w:val="left"/>
      <w:pPr>
        <w:ind w:left="2233" w:hanging="211"/>
      </w:pPr>
      <w:rPr>
        <w:rFonts w:hint="default"/>
        <w:lang w:val="cs-CZ" w:eastAsia="cs-CZ" w:bidi="cs-CZ"/>
      </w:rPr>
    </w:lvl>
    <w:lvl w:ilvl="5" w:tplc="EDF4598C">
      <w:numFmt w:val="bullet"/>
      <w:lvlText w:val="•"/>
      <w:lvlJc w:val="left"/>
      <w:pPr>
        <w:ind w:left="2707" w:hanging="211"/>
      </w:pPr>
      <w:rPr>
        <w:rFonts w:hint="default"/>
        <w:lang w:val="cs-CZ" w:eastAsia="cs-CZ" w:bidi="cs-CZ"/>
      </w:rPr>
    </w:lvl>
    <w:lvl w:ilvl="6" w:tplc="EAA42A0A">
      <w:numFmt w:val="bullet"/>
      <w:lvlText w:val="•"/>
      <w:lvlJc w:val="left"/>
      <w:pPr>
        <w:ind w:left="3180" w:hanging="211"/>
      </w:pPr>
      <w:rPr>
        <w:rFonts w:hint="default"/>
        <w:lang w:val="cs-CZ" w:eastAsia="cs-CZ" w:bidi="cs-CZ"/>
      </w:rPr>
    </w:lvl>
    <w:lvl w:ilvl="7" w:tplc="24E25A2C">
      <w:numFmt w:val="bullet"/>
      <w:lvlText w:val="•"/>
      <w:lvlJc w:val="left"/>
      <w:pPr>
        <w:ind w:left="3654" w:hanging="211"/>
      </w:pPr>
      <w:rPr>
        <w:rFonts w:hint="default"/>
        <w:lang w:val="cs-CZ" w:eastAsia="cs-CZ" w:bidi="cs-CZ"/>
      </w:rPr>
    </w:lvl>
    <w:lvl w:ilvl="8" w:tplc="A382597A">
      <w:numFmt w:val="bullet"/>
      <w:lvlText w:val="•"/>
      <w:lvlJc w:val="left"/>
      <w:pPr>
        <w:ind w:left="4127" w:hanging="211"/>
      </w:pPr>
      <w:rPr>
        <w:rFonts w:hint="default"/>
        <w:lang w:val="cs-CZ" w:eastAsia="cs-CZ" w:bidi="cs-CZ"/>
      </w:rPr>
    </w:lvl>
  </w:abstractNum>
  <w:abstractNum w:abstractNumId="1" w15:restartNumberingAfterBreak="0">
    <w:nsid w:val="5368136D"/>
    <w:multiLevelType w:val="hybridMultilevel"/>
    <w:tmpl w:val="1C461D50"/>
    <w:lvl w:ilvl="0" w:tplc="BDF01E0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917C90"/>
    <w:multiLevelType w:val="hybridMultilevel"/>
    <w:tmpl w:val="40D804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E42630E"/>
    <w:multiLevelType w:val="multilevel"/>
    <w:tmpl w:val="C7D850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E7A6A13"/>
    <w:multiLevelType w:val="hybridMultilevel"/>
    <w:tmpl w:val="5456E0A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1127"/>
    <w:rsid w:val="00001489"/>
    <w:rsid w:val="0000406E"/>
    <w:rsid w:val="00005076"/>
    <w:rsid w:val="000058F2"/>
    <w:rsid w:val="00017A80"/>
    <w:rsid w:val="00020EC7"/>
    <w:rsid w:val="00022715"/>
    <w:rsid w:val="00024241"/>
    <w:rsid w:val="00024AC6"/>
    <w:rsid w:val="00026F23"/>
    <w:rsid w:val="000276A7"/>
    <w:rsid w:val="000277AC"/>
    <w:rsid w:val="00032D94"/>
    <w:rsid w:val="00036C73"/>
    <w:rsid w:val="000374D7"/>
    <w:rsid w:val="000400E4"/>
    <w:rsid w:val="0004010D"/>
    <w:rsid w:val="00045B39"/>
    <w:rsid w:val="00050AB8"/>
    <w:rsid w:val="0005252A"/>
    <w:rsid w:val="000527AD"/>
    <w:rsid w:val="0005423A"/>
    <w:rsid w:val="00057018"/>
    <w:rsid w:val="000611E3"/>
    <w:rsid w:val="000618FE"/>
    <w:rsid w:val="00061ABB"/>
    <w:rsid w:val="000629D6"/>
    <w:rsid w:val="00070675"/>
    <w:rsid w:val="000766E7"/>
    <w:rsid w:val="000774F7"/>
    <w:rsid w:val="00080552"/>
    <w:rsid w:val="00080ADE"/>
    <w:rsid w:val="00081616"/>
    <w:rsid w:val="000853D4"/>
    <w:rsid w:val="00087263"/>
    <w:rsid w:val="0009776B"/>
    <w:rsid w:val="000B0D84"/>
    <w:rsid w:val="000B2E5D"/>
    <w:rsid w:val="000B2F39"/>
    <w:rsid w:val="000B5339"/>
    <w:rsid w:val="000B54E5"/>
    <w:rsid w:val="000C0090"/>
    <w:rsid w:val="000C1853"/>
    <w:rsid w:val="000C4C77"/>
    <w:rsid w:val="000D145E"/>
    <w:rsid w:val="000D14E2"/>
    <w:rsid w:val="000D5F5D"/>
    <w:rsid w:val="000D7A4D"/>
    <w:rsid w:val="000E0EEC"/>
    <w:rsid w:val="000E168E"/>
    <w:rsid w:val="000E3D86"/>
    <w:rsid w:val="000E5829"/>
    <w:rsid w:val="000E6BDB"/>
    <w:rsid w:val="000F0BA4"/>
    <w:rsid w:val="000F1EC4"/>
    <w:rsid w:val="000F29D1"/>
    <w:rsid w:val="000F37CB"/>
    <w:rsid w:val="000F6249"/>
    <w:rsid w:val="00103543"/>
    <w:rsid w:val="001069A1"/>
    <w:rsid w:val="0010739A"/>
    <w:rsid w:val="001110BF"/>
    <w:rsid w:val="00111C28"/>
    <w:rsid w:val="00112079"/>
    <w:rsid w:val="00112D65"/>
    <w:rsid w:val="001130B7"/>
    <w:rsid w:val="00114F7B"/>
    <w:rsid w:val="00123939"/>
    <w:rsid w:val="0013044E"/>
    <w:rsid w:val="00131A69"/>
    <w:rsid w:val="00136C97"/>
    <w:rsid w:val="00137003"/>
    <w:rsid w:val="0013717C"/>
    <w:rsid w:val="00137474"/>
    <w:rsid w:val="00142363"/>
    <w:rsid w:val="00143EFE"/>
    <w:rsid w:val="001464A6"/>
    <w:rsid w:val="00156082"/>
    <w:rsid w:val="00161D10"/>
    <w:rsid w:val="00164597"/>
    <w:rsid w:val="001675AF"/>
    <w:rsid w:val="00170556"/>
    <w:rsid w:val="00170D87"/>
    <w:rsid w:val="00171C91"/>
    <w:rsid w:val="0017229F"/>
    <w:rsid w:val="001767A5"/>
    <w:rsid w:val="00180051"/>
    <w:rsid w:val="00182B07"/>
    <w:rsid w:val="0018460D"/>
    <w:rsid w:val="00185BBE"/>
    <w:rsid w:val="001901D0"/>
    <w:rsid w:val="00191B34"/>
    <w:rsid w:val="001925C8"/>
    <w:rsid w:val="00192716"/>
    <w:rsid w:val="00192C2A"/>
    <w:rsid w:val="00193550"/>
    <w:rsid w:val="00194C95"/>
    <w:rsid w:val="001A54DD"/>
    <w:rsid w:val="001B296D"/>
    <w:rsid w:val="001B29C7"/>
    <w:rsid w:val="001B501B"/>
    <w:rsid w:val="001B6BEB"/>
    <w:rsid w:val="001B745F"/>
    <w:rsid w:val="001D015A"/>
    <w:rsid w:val="001D1A72"/>
    <w:rsid w:val="001D3DFC"/>
    <w:rsid w:val="001D4EA8"/>
    <w:rsid w:val="001D6965"/>
    <w:rsid w:val="001E22F1"/>
    <w:rsid w:val="001E3BDE"/>
    <w:rsid w:val="001E3D5F"/>
    <w:rsid w:val="001E3FBF"/>
    <w:rsid w:val="001E4209"/>
    <w:rsid w:val="001F045E"/>
    <w:rsid w:val="001F25C4"/>
    <w:rsid w:val="001F2BE0"/>
    <w:rsid w:val="001F3CF1"/>
    <w:rsid w:val="001F7194"/>
    <w:rsid w:val="001F71BA"/>
    <w:rsid w:val="001F7D30"/>
    <w:rsid w:val="00200B65"/>
    <w:rsid w:val="002141AF"/>
    <w:rsid w:val="00220944"/>
    <w:rsid w:val="002227D9"/>
    <w:rsid w:val="00223A4A"/>
    <w:rsid w:val="00226568"/>
    <w:rsid w:val="0023042D"/>
    <w:rsid w:val="00232F1A"/>
    <w:rsid w:val="0023469F"/>
    <w:rsid w:val="002368F3"/>
    <w:rsid w:val="00237B6E"/>
    <w:rsid w:val="002404A1"/>
    <w:rsid w:val="002406A8"/>
    <w:rsid w:val="00241313"/>
    <w:rsid w:val="00241373"/>
    <w:rsid w:val="00242D4D"/>
    <w:rsid w:val="00243075"/>
    <w:rsid w:val="00243C49"/>
    <w:rsid w:val="0024551C"/>
    <w:rsid w:val="00246AA6"/>
    <w:rsid w:val="0025264B"/>
    <w:rsid w:val="0025428A"/>
    <w:rsid w:val="002542AA"/>
    <w:rsid w:val="00255182"/>
    <w:rsid w:val="00263C8C"/>
    <w:rsid w:val="002645E4"/>
    <w:rsid w:val="002656A9"/>
    <w:rsid w:val="002679C9"/>
    <w:rsid w:val="00270DB3"/>
    <w:rsid w:val="00281834"/>
    <w:rsid w:val="002819FD"/>
    <w:rsid w:val="0028590C"/>
    <w:rsid w:val="00295139"/>
    <w:rsid w:val="002A0285"/>
    <w:rsid w:val="002A3F19"/>
    <w:rsid w:val="002A4324"/>
    <w:rsid w:val="002A6FA3"/>
    <w:rsid w:val="002A7325"/>
    <w:rsid w:val="002B0728"/>
    <w:rsid w:val="002B1317"/>
    <w:rsid w:val="002B4208"/>
    <w:rsid w:val="002B7DA9"/>
    <w:rsid w:val="002B7F6D"/>
    <w:rsid w:val="002C0240"/>
    <w:rsid w:val="002C4A25"/>
    <w:rsid w:val="002D1619"/>
    <w:rsid w:val="002D1854"/>
    <w:rsid w:val="002D6D20"/>
    <w:rsid w:val="002E1ABC"/>
    <w:rsid w:val="002E633F"/>
    <w:rsid w:val="002F002B"/>
    <w:rsid w:val="002F05B2"/>
    <w:rsid w:val="002F3FCA"/>
    <w:rsid w:val="002F485A"/>
    <w:rsid w:val="002F56BD"/>
    <w:rsid w:val="002F6F82"/>
    <w:rsid w:val="002F7EC2"/>
    <w:rsid w:val="003001F4"/>
    <w:rsid w:val="003001FC"/>
    <w:rsid w:val="003028DB"/>
    <w:rsid w:val="00302CB7"/>
    <w:rsid w:val="003055CB"/>
    <w:rsid w:val="00306EEA"/>
    <w:rsid w:val="00306FE1"/>
    <w:rsid w:val="00307E95"/>
    <w:rsid w:val="00310BEB"/>
    <w:rsid w:val="00311F45"/>
    <w:rsid w:val="0031287A"/>
    <w:rsid w:val="003128F8"/>
    <w:rsid w:val="00312F4B"/>
    <w:rsid w:val="00316FA6"/>
    <w:rsid w:val="0031712D"/>
    <w:rsid w:val="0031752C"/>
    <w:rsid w:val="00320455"/>
    <w:rsid w:val="00321518"/>
    <w:rsid w:val="00321E19"/>
    <w:rsid w:val="003247B0"/>
    <w:rsid w:val="00327259"/>
    <w:rsid w:val="00330918"/>
    <w:rsid w:val="003358BA"/>
    <w:rsid w:val="0034184F"/>
    <w:rsid w:val="00342F85"/>
    <w:rsid w:val="00345686"/>
    <w:rsid w:val="00347557"/>
    <w:rsid w:val="003502B4"/>
    <w:rsid w:val="00355366"/>
    <w:rsid w:val="003555B2"/>
    <w:rsid w:val="00356752"/>
    <w:rsid w:val="00361D44"/>
    <w:rsid w:val="003629B6"/>
    <w:rsid w:val="003705A1"/>
    <w:rsid w:val="00370C35"/>
    <w:rsid w:val="003721AD"/>
    <w:rsid w:val="0037300C"/>
    <w:rsid w:val="00374182"/>
    <w:rsid w:val="00383942"/>
    <w:rsid w:val="00383DC5"/>
    <w:rsid w:val="00385325"/>
    <w:rsid w:val="00385EED"/>
    <w:rsid w:val="00390B58"/>
    <w:rsid w:val="00392024"/>
    <w:rsid w:val="003948A1"/>
    <w:rsid w:val="003A1549"/>
    <w:rsid w:val="003A2887"/>
    <w:rsid w:val="003A375A"/>
    <w:rsid w:val="003A43AB"/>
    <w:rsid w:val="003A6435"/>
    <w:rsid w:val="003B0E4E"/>
    <w:rsid w:val="003B0E4F"/>
    <w:rsid w:val="003B287F"/>
    <w:rsid w:val="003B3F0C"/>
    <w:rsid w:val="003B53DC"/>
    <w:rsid w:val="003C0CBE"/>
    <w:rsid w:val="003C2A23"/>
    <w:rsid w:val="003C5664"/>
    <w:rsid w:val="003C59A8"/>
    <w:rsid w:val="003C6F57"/>
    <w:rsid w:val="003C7F98"/>
    <w:rsid w:val="003D157E"/>
    <w:rsid w:val="003D1987"/>
    <w:rsid w:val="003E0649"/>
    <w:rsid w:val="003E6537"/>
    <w:rsid w:val="003F0CAF"/>
    <w:rsid w:val="003F324C"/>
    <w:rsid w:val="003F7018"/>
    <w:rsid w:val="003F79EC"/>
    <w:rsid w:val="0040257E"/>
    <w:rsid w:val="004041EF"/>
    <w:rsid w:val="0040479C"/>
    <w:rsid w:val="004053BB"/>
    <w:rsid w:val="004075C9"/>
    <w:rsid w:val="00410BFE"/>
    <w:rsid w:val="004116FD"/>
    <w:rsid w:val="0041234B"/>
    <w:rsid w:val="0042193A"/>
    <w:rsid w:val="00423A87"/>
    <w:rsid w:val="00426E79"/>
    <w:rsid w:val="0043347D"/>
    <w:rsid w:val="004336E4"/>
    <w:rsid w:val="00433F20"/>
    <w:rsid w:val="00435342"/>
    <w:rsid w:val="004376B0"/>
    <w:rsid w:val="00445D0A"/>
    <w:rsid w:val="004501B9"/>
    <w:rsid w:val="00453CFE"/>
    <w:rsid w:val="00454843"/>
    <w:rsid w:val="004556BB"/>
    <w:rsid w:val="00455F65"/>
    <w:rsid w:val="00457FFE"/>
    <w:rsid w:val="00460FA7"/>
    <w:rsid w:val="00461BF2"/>
    <w:rsid w:val="004627B9"/>
    <w:rsid w:val="004678E9"/>
    <w:rsid w:val="00467E69"/>
    <w:rsid w:val="00471166"/>
    <w:rsid w:val="00473E24"/>
    <w:rsid w:val="00480982"/>
    <w:rsid w:val="00480B3F"/>
    <w:rsid w:val="00486655"/>
    <w:rsid w:val="00486A7D"/>
    <w:rsid w:val="00492BA9"/>
    <w:rsid w:val="004935C2"/>
    <w:rsid w:val="004A052D"/>
    <w:rsid w:val="004A59C1"/>
    <w:rsid w:val="004B2DF6"/>
    <w:rsid w:val="004B2FF6"/>
    <w:rsid w:val="004B4E91"/>
    <w:rsid w:val="004B5797"/>
    <w:rsid w:val="004B7412"/>
    <w:rsid w:val="004C222D"/>
    <w:rsid w:val="004C3D7C"/>
    <w:rsid w:val="004C3DD1"/>
    <w:rsid w:val="004C3F71"/>
    <w:rsid w:val="004D5CC6"/>
    <w:rsid w:val="004E09B8"/>
    <w:rsid w:val="004E1737"/>
    <w:rsid w:val="004F27E4"/>
    <w:rsid w:val="004F303D"/>
    <w:rsid w:val="004F5D36"/>
    <w:rsid w:val="004F6195"/>
    <w:rsid w:val="00504EBB"/>
    <w:rsid w:val="0050659B"/>
    <w:rsid w:val="005130A9"/>
    <w:rsid w:val="005153F7"/>
    <w:rsid w:val="00515952"/>
    <w:rsid w:val="005224C1"/>
    <w:rsid w:val="005231DA"/>
    <w:rsid w:val="0053079B"/>
    <w:rsid w:val="0053153F"/>
    <w:rsid w:val="00531C9F"/>
    <w:rsid w:val="00534DC1"/>
    <w:rsid w:val="0053554F"/>
    <w:rsid w:val="005361AF"/>
    <w:rsid w:val="00536822"/>
    <w:rsid w:val="00536954"/>
    <w:rsid w:val="0053728E"/>
    <w:rsid w:val="00540606"/>
    <w:rsid w:val="00541870"/>
    <w:rsid w:val="005436EC"/>
    <w:rsid w:val="00544A37"/>
    <w:rsid w:val="00545971"/>
    <w:rsid w:val="00550147"/>
    <w:rsid w:val="00551FDB"/>
    <w:rsid w:val="00554D18"/>
    <w:rsid w:val="00556068"/>
    <w:rsid w:val="0056501A"/>
    <w:rsid w:val="00571AD4"/>
    <w:rsid w:val="00573886"/>
    <w:rsid w:val="00573EE2"/>
    <w:rsid w:val="00577D19"/>
    <w:rsid w:val="005824E3"/>
    <w:rsid w:val="005907CD"/>
    <w:rsid w:val="0059695E"/>
    <w:rsid w:val="005A2139"/>
    <w:rsid w:val="005A37E5"/>
    <w:rsid w:val="005A4EB8"/>
    <w:rsid w:val="005A5BBA"/>
    <w:rsid w:val="005A5F08"/>
    <w:rsid w:val="005B15B5"/>
    <w:rsid w:val="005B1910"/>
    <w:rsid w:val="005B3143"/>
    <w:rsid w:val="005B31D7"/>
    <w:rsid w:val="005B745C"/>
    <w:rsid w:val="005C150C"/>
    <w:rsid w:val="005C318A"/>
    <w:rsid w:val="005D52F3"/>
    <w:rsid w:val="005E1193"/>
    <w:rsid w:val="005E5A67"/>
    <w:rsid w:val="005E7865"/>
    <w:rsid w:val="005F2D95"/>
    <w:rsid w:val="005F4B70"/>
    <w:rsid w:val="005F6BD8"/>
    <w:rsid w:val="005F7E72"/>
    <w:rsid w:val="005F7EAE"/>
    <w:rsid w:val="0060554F"/>
    <w:rsid w:val="0061258F"/>
    <w:rsid w:val="006135FD"/>
    <w:rsid w:val="0061438C"/>
    <w:rsid w:val="006153BE"/>
    <w:rsid w:val="006166CE"/>
    <w:rsid w:val="00617219"/>
    <w:rsid w:val="006218E4"/>
    <w:rsid w:val="00621D57"/>
    <w:rsid w:val="00623C47"/>
    <w:rsid w:val="0062747C"/>
    <w:rsid w:val="0062786E"/>
    <w:rsid w:val="006365D5"/>
    <w:rsid w:val="0064160C"/>
    <w:rsid w:val="00646E6F"/>
    <w:rsid w:val="00650123"/>
    <w:rsid w:val="006509E8"/>
    <w:rsid w:val="006542CA"/>
    <w:rsid w:val="006548C4"/>
    <w:rsid w:val="0066135D"/>
    <w:rsid w:val="00662758"/>
    <w:rsid w:val="00664259"/>
    <w:rsid w:val="00664867"/>
    <w:rsid w:val="00667012"/>
    <w:rsid w:val="00672F46"/>
    <w:rsid w:val="006768F0"/>
    <w:rsid w:val="00677078"/>
    <w:rsid w:val="00681F49"/>
    <w:rsid w:val="00682D62"/>
    <w:rsid w:val="006839FB"/>
    <w:rsid w:val="00683F9A"/>
    <w:rsid w:val="006849D3"/>
    <w:rsid w:val="006859AC"/>
    <w:rsid w:val="006859FD"/>
    <w:rsid w:val="0068617E"/>
    <w:rsid w:val="006902C0"/>
    <w:rsid w:val="00690415"/>
    <w:rsid w:val="00691527"/>
    <w:rsid w:val="006939E7"/>
    <w:rsid w:val="006A2F6C"/>
    <w:rsid w:val="006A3BE2"/>
    <w:rsid w:val="006A4E81"/>
    <w:rsid w:val="006A548E"/>
    <w:rsid w:val="006A5A20"/>
    <w:rsid w:val="006B2F00"/>
    <w:rsid w:val="006B4027"/>
    <w:rsid w:val="006B58D8"/>
    <w:rsid w:val="006B7185"/>
    <w:rsid w:val="006C5ED3"/>
    <w:rsid w:val="006C61E8"/>
    <w:rsid w:val="006D2B43"/>
    <w:rsid w:val="006D39DF"/>
    <w:rsid w:val="006D65EC"/>
    <w:rsid w:val="006E26DC"/>
    <w:rsid w:val="006E6A2F"/>
    <w:rsid w:val="006E70A0"/>
    <w:rsid w:val="006F32FB"/>
    <w:rsid w:val="007046C5"/>
    <w:rsid w:val="00704D83"/>
    <w:rsid w:val="007052FC"/>
    <w:rsid w:val="00705D83"/>
    <w:rsid w:val="00710AF5"/>
    <w:rsid w:val="00710E0C"/>
    <w:rsid w:val="0072112F"/>
    <w:rsid w:val="00724267"/>
    <w:rsid w:val="00724B41"/>
    <w:rsid w:val="00725BF5"/>
    <w:rsid w:val="00727CC6"/>
    <w:rsid w:val="007320FB"/>
    <w:rsid w:val="007362E3"/>
    <w:rsid w:val="007408D1"/>
    <w:rsid w:val="00743627"/>
    <w:rsid w:val="00743E6A"/>
    <w:rsid w:val="0074636A"/>
    <w:rsid w:val="007524A4"/>
    <w:rsid w:val="00753B64"/>
    <w:rsid w:val="0076114C"/>
    <w:rsid w:val="00762590"/>
    <w:rsid w:val="0076280C"/>
    <w:rsid w:val="007648F0"/>
    <w:rsid w:val="0076667F"/>
    <w:rsid w:val="007672BB"/>
    <w:rsid w:val="00771B91"/>
    <w:rsid w:val="00772415"/>
    <w:rsid w:val="007725B8"/>
    <w:rsid w:val="00772FF0"/>
    <w:rsid w:val="007748AF"/>
    <w:rsid w:val="007753A0"/>
    <w:rsid w:val="00776CDE"/>
    <w:rsid w:val="007815BB"/>
    <w:rsid w:val="007824F4"/>
    <w:rsid w:val="00782848"/>
    <w:rsid w:val="00784109"/>
    <w:rsid w:val="0078410A"/>
    <w:rsid w:val="0078525A"/>
    <w:rsid w:val="00785FC5"/>
    <w:rsid w:val="0078631B"/>
    <w:rsid w:val="0078653C"/>
    <w:rsid w:val="00791A2B"/>
    <w:rsid w:val="00792EE9"/>
    <w:rsid w:val="0079572A"/>
    <w:rsid w:val="007969EF"/>
    <w:rsid w:val="007A1121"/>
    <w:rsid w:val="007A1122"/>
    <w:rsid w:val="007A146B"/>
    <w:rsid w:val="007A15A6"/>
    <w:rsid w:val="007A41BD"/>
    <w:rsid w:val="007A6A4D"/>
    <w:rsid w:val="007A74F9"/>
    <w:rsid w:val="007A7C7B"/>
    <w:rsid w:val="007B152D"/>
    <w:rsid w:val="007B358E"/>
    <w:rsid w:val="007B48B8"/>
    <w:rsid w:val="007C0F6D"/>
    <w:rsid w:val="007D14AE"/>
    <w:rsid w:val="007D2DCA"/>
    <w:rsid w:val="007E3027"/>
    <w:rsid w:val="007E38CD"/>
    <w:rsid w:val="007E5614"/>
    <w:rsid w:val="007E768B"/>
    <w:rsid w:val="007F2DE8"/>
    <w:rsid w:val="007F4493"/>
    <w:rsid w:val="007F4C72"/>
    <w:rsid w:val="007F71F9"/>
    <w:rsid w:val="008011E7"/>
    <w:rsid w:val="0080323F"/>
    <w:rsid w:val="008063BB"/>
    <w:rsid w:val="008123FF"/>
    <w:rsid w:val="0081387C"/>
    <w:rsid w:val="0081474E"/>
    <w:rsid w:val="00826153"/>
    <w:rsid w:val="008266E8"/>
    <w:rsid w:val="0083053E"/>
    <w:rsid w:val="00831B5E"/>
    <w:rsid w:val="00832F5B"/>
    <w:rsid w:val="00841AC4"/>
    <w:rsid w:val="00845A34"/>
    <w:rsid w:val="00852BBB"/>
    <w:rsid w:val="00853C30"/>
    <w:rsid w:val="00856806"/>
    <w:rsid w:val="00856D3C"/>
    <w:rsid w:val="00860609"/>
    <w:rsid w:val="00863FC3"/>
    <w:rsid w:val="0087199F"/>
    <w:rsid w:val="00874C1A"/>
    <w:rsid w:val="00881800"/>
    <w:rsid w:val="00883A3E"/>
    <w:rsid w:val="0088579E"/>
    <w:rsid w:val="00885B2F"/>
    <w:rsid w:val="008875C1"/>
    <w:rsid w:val="00891E25"/>
    <w:rsid w:val="008926E5"/>
    <w:rsid w:val="008926F3"/>
    <w:rsid w:val="008943ED"/>
    <w:rsid w:val="00895CC7"/>
    <w:rsid w:val="008A04D3"/>
    <w:rsid w:val="008A15EC"/>
    <w:rsid w:val="008B4F0F"/>
    <w:rsid w:val="008C1795"/>
    <w:rsid w:val="008C2254"/>
    <w:rsid w:val="008C3938"/>
    <w:rsid w:val="008C3A59"/>
    <w:rsid w:val="008C4B0D"/>
    <w:rsid w:val="008D471A"/>
    <w:rsid w:val="008E1286"/>
    <w:rsid w:val="008E19F3"/>
    <w:rsid w:val="008E1B46"/>
    <w:rsid w:val="008F36CB"/>
    <w:rsid w:val="008F3C6D"/>
    <w:rsid w:val="008F6AAF"/>
    <w:rsid w:val="008F75FC"/>
    <w:rsid w:val="00901DB4"/>
    <w:rsid w:val="00901E1F"/>
    <w:rsid w:val="0090292E"/>
    <w:rsid w:val="00906E67"/>
    <w:rsid w:val="009144B1"/>
    <w:rsid w:val="00915ADA"/>
    <w:rsid w:val="00916085"/>
    <w:rsid w:val="0092097A"/>
    <w:rsid w:val="009209B4"/>
    <w:rsid w:val="009222C9"/>
    <w:rsid w:val="009228CF"/>
    <w:rsid w:val="00925499"/>
    <w:rsid w:val="00930569"/>
    <w:rsid w:val="00932625"/>
    <w:rsid w:val="009343CC"/>
    <w:rsid w:val="009344C2"/>
    <w:rsid w:val="0093493D"/>
    <w:rsid w:val="00937800"/>
    <w:rsid w:val="009412B0"/>
    <w:rsid w:val="0094645B"/>
    <w:rsid w:val="0094705C"/>
    <w:rsid w:val="00947DD4"/>
    <w:rsid w:val="00956B8E"/>
    <w:rsid w:val="00957739"/>
    <w:rsid w:val="00957B41"/>
    <w:rsid w:val="009631E0"/>
    <w:rsid w:val="009649D2"/>
    <w:rsid w:val="009660BD"/>
    <w:rsid w:val="009674F1"/>
    <w:rsid w:val="00977540"/>
    <w:rsid w:val="009834E2"/>
    <w:rsid w:val="00985DC8"/>
    <w:rsid w:val="009A52BA"/>
    <w:rsid w:val="009A69B1"/>
    <w:rsid w:val="009A700C"/>
    <w:rsid w:val="009C0ECA"/>
    <w:rsid w:val="009C45BA"/>
    <w:rsid w:val="009C7948"/>
    <w:rsid w:val="009C79BD"/>
    <w:rsid w:val="009D01A2"/>
    <w:rsid w:val="009D0D2C"/>
    <w:rsid w:val="009D24BB"/>
    <w:rsid w:val="009D44DD"/>
    <w:rsid w:val="009D64B2"/>
    <w:rsid w:val="009D729E"/>
    <w:rsid w:val="009D7493"/>
    <w:rsid w:val="009E317D"/>
    <w:rsid w:val="009E31C0"/>
    <w:rsid w:val="009E3B52"/>
    <w:rsid w:val="009F2CB2"/>
    <w:rsid w:val="009F342D"/>
    <w:rsid w:val="009F3DA2"/>
    <w:rsid w:val="009F59EE"/>
    <w:rsid w:val="009F6CFC"/>
    <w:rsid w:val="00A005B2"/>
    <w:rsid w:val="00A069E2"/>
    <w:rsid w:val="00A07639"/>
    <w:rsid w:val="00A10289"/>
    <w:rsid w:val="00A106F8"/>
    <w:rsid w:val="00A11C90"/>
    <w:rsid w:val="00A1395B"/>
    <w:rsid w:val="00A13D4D"/>
    <w:rsid w:val="00A14701"/>
    <w:rsid w:val="00A155EF"/>
    <w:rsid w:val="00A16A29"/>
    <w:rsid w:val="00A16E82"/>
    <w:rsid w:val="00A252BA"/>
    <w:rsid w:val="00A26285"/>
    <w:rsid w:val="00A27A7B"/>
    <w:rsid w:val="00A36CBA"/>
    <w:rsid w:val="00A36D79"/>
    <w:rsid w:val="00A4083C"/>
    <w:rsid w:val="00A41EA4"/>
    <w:rsid w:val="00A44FE0"/>
    <w:rsid w:val="00A4618A"/>
    <w:rsid w:val="00A50D03"/>
    <w:rsid w:val="00A624BA"/>
    <w:rsid w:val="00A6551F"/>
    <w:rsid w:val="00A712B2"/>
    <w:rsid w:val="00A74214"/>
    <w:rsid w:val="00A7466F"/>
    <w:rsid w:val="00A7796E"/>
    <w:rsid w:val="00A85C8C"/>
    <w:rsid w:val="00A9085F"/>
    <w:rsid w:val="00A92255"/>
    <w:rsid w:val="00A92C95"/>
    <w:rsid w:val="00A93A25"/>
    <w:rsid w:val="00AA0920"/>
    <w:rsid w:val="00AA3055"/>
    <w:rsid w:val="00AA469A"/>
    <w:rsid w:val="00AA6E6D"/>
    <w:rsid w:val="00AA715C"/>
    <w:rsid w:val="00AA7977"/>
    <w:rsid w:val="00AA79D9"/>
    <w:rsid w:val="00AB50FF"/>
    <w:rsid w:val="00AC4BEC"/>
    <w:rsid w:val="00AC57BB"/>
    <w:rsid w:val="00AC614D"/>
    <w:rsid w:val="00AD1F39"/>
    <w:rsid w:val="00AD4BC3"/>
    <w:rsid w:val="00AE313F"/>
    <w:rsid w:val="00AE34F4"/>
    <w:rsid w:val="00AF042F"/>
    <w:rsid w:val="00AF5987"/>
    <w:rsid w:val="00B00C49"/>
    <w:rsid w:val="00B03105"/>
    <w:rsid w:val="00B03461"/>
    <w:rsid w:val="00B04E0D"/>
    <w:rsid w:val="00B0766F"/>
    <w:rsid w:val="00B07F42"/>
    <w:rsid w:val="00B10787"/>
    <w:rsid w:val="00B11974"/>
    <w:rsid w:val="00B12CF8"/>
    <w:rsid w:val="00B13035"/>
    <w:rsid w:val="00B244B9"/>
    <w:rsid w:val="00B24559"/>
    <w:rsid w:val="00B27020"/>
    <w:rsid w:val="00B27178"/>
    <w:rsid w:val="00B310C3"/>
    <w:rsid w:val="00B360A7"/>
    <w:rsid w:val="00B42229"/>
    <w:rsid w:val="00B43ABC"/>
    <w:rsid w:val="00B44FA9"/>
    <w:rsid w:val="00B51125"/>
    <w:rsid w:val="00B51F55"/>
    <w:rsid w:val="00B52CDF"/>
    <w:rsid w:val="00B60D60"/>
    <w:rsid w:val="00B63CDD"/>
    <w:rsid w:val="00B65687"/>
    <w:rsid w:val="00B65A3B"/>
    <w:rsid w:val="00B67AF0"/>
    <w:rsid w:val="00B72C6B"/>
    <w:rsid w:val="00B72E16"/>
    <w:rsid w:val="00B73012"/>
    <w:rsid w:val="00B83D7B"/>
    <w:rsid w:val="00B91131"/>
    <w:rsid w:val="00B94E88"/>
    <w:rsid w:val="00B95BB2"/>
    <w:rsid w:val="00B95EBA"/>
    <w:rsid w:val="00BA04AB"/>
    <w:rsid w:val="00BA23D8"/>
    <w:rsid w:val="00BA35C9"/>
    <w:rsid w:val="00BA3EE0"/>
    <w:rsid w:val="00BA5C92"/>
    <w:rsid w:val="00BB4D49"/>
    <w:rsid w:val="00BB6439"/>
    <w:rsid w:val="00BB675F"/>
    <w:rsid w:val="00BC331B"/>
    <w:rsid w:val="00BC3E08"/>
    <w:rsid w:val="00BD17B0"/>
    <w:rsid w:val="00BD3E59"/>
    <w:rsid w:val="00BD56B7"/>
    <w:rsid w:val="00BD5A47"/>
    <w:rsid w:val="00BD5FB6"/>
    <w:rsid w:val="00BE2BCC"/>
    <w:rsid w:val="00BE3896"/>
    <w:rsid w:val="00BE7068"/>
    <w:rsid w:val="00BE768F"/>
    <w:rsid w:val="00BF6445"/>
    <w:rsid w:val="00C03192"/>
    <w:rsid w:val="00C23E32"/>
    <w:rsid w:val="00C251C4"/>
    <w:rsid w:val="00C266F9"/>
    <w:rsid w:val="00C314C1"/>
    <w:rsid w:val="00C31917"/>
    <w:rsid w:val="00C367C5"/>
    <w:rsid w:val="00C40571"/>
    <w:rsid w:val="00C40D7F"/>
    <w:rsid w:val="00C41741"/>
    <w:rsid w:val="00C41DD9"/>
    <w:rsid w:val="00C427DA"/>
    <w:rsid w:val="00C42C49"/>
    <w:rsid w:val="00C42FAF"/>
    <w:rsid w:val="00C460D9"/>
    <w:rsid w:val="00C52100"/>
    <w:rsid w:val="00C568FB"/>
    <w:rsid w:val="00C56D0A"/>
    <w:rsid w:val="00C72FDA"/>
    <w:rsid w:val="00C73DAB"/>
    <w:rsid w:val="00C80D41"/>
    <w:rsid w:val="00C863A3"/>
    <w:rsid w:val="00C864DC"/>
    <w:rsid w:val="00C90075"/>
    <w:rsid w:val="00C915B4"/>
    <w:rsid w:val="00C94EEA"/>
    <w:rsid w:val="00CA1722"/>
    <w:rsid w:val="00CA172B"/>
    <w:rsid w:val="00CA452F"/>
    <w:rsid w:val="00CA6098"/>
    <w:rsid w:val="00CA7673"/>
    <w:rsid w:val="00CB1227"/>
    <w:rsid w:val="00CB1255"/>
    <w:rsid w:val="00CB18B1"/>
    <w:rsid w:val="00CB38CA"/>
    <w:rsid w:val="00CB66A2"/>
    <w:rsid w:val="00CB6F2B"/>
    <w:rsid w:val="00CC1067"/>
    <w:rsid w:val="00CC2EC2"/>
    <w:rsid w:val="00CC49C2"/>
    <w:rsid w:val="00CD2466"/>
    <w:rsid w:val="00CD3324"/>
    <w:rsid w:val="00CD366C"/>
    <w:rsid w:val="00CD6162"/>
    <w:rsid w:val="00CD6A1D"/>
    <w:rsid w:val="00CE4309"/>
    <w:rsid w:val="00CE6C6E"/>
    <w:rsid w:val="00CF42B9"/>
    <w:rsid w:val="00CF580B"/>
    <w:rsid w:val="00CF7819"/>
    <w:rsid w:val="00D01832"/>
    <w:rsid w:val="00D04527"/>
    <w:rsid w:val="00D21C96"/>
    <w:rsid w:val="00D30854"/>
    <w:rsid w:val="00D31127"/>
    <w:rsid w:val="00D33134"/>
    <w:rsid w:val="00D366B5"/>
    <w:rsid w:val="00D4052C"/>
    <w:rsid w:val="00D447AC"/>
    <w:rsid w:val="00D4538C"/>
    <w:rsid w:val="00D4539F"/>
    <w:rsid w:val="00D458F0"/>
    <w:rsid w:val="00D462E3"/>
    <w:rsid w:val="00D472C6"/>
    <w:rsid w:val="00D5079D"/>
    <w:rsid w:val="00D53AB7"/>
    <w:rsid w:val="00D54957"/>
    <w:rsid w:val="00D55BD2"/>
    <w:rsid w:val="00D6041B"/>
    <w:rsid w:val="00D60D98"/>
    <w:rsid w:val="00D61018"/>
    <w:rsid w:val="00D6265B"/>
    <w:rsid w:val="00D67AC6"/>
    <w:rsid w:val="00D71672"/>
    <w:rsid w:val="00D72F33"/>
    <w:rsid w:val="00D7707C"/>
    <w:rsid w:val="00D80B6D"/>
    <w:rsid w:val="00D80CAD"/>
    <w:rsid w:val="00D83734"/>
    <w:rsid w:val="00D8513A"/>
    <w:rsid w:val="00D85BBB"/>
    <w:rsid w:val="00D90628"/>
    <w:rsid w:val="00D92D49"/>
    <w:rsid w:val="00D930E7"/>
    <w:rsid w:val="00D93623"/>
    <w:rsid w:val="00D93D7A"/>
    <w:rsid w:val="00D9690A"/>
    <w:rsid w:val="00DA073A"/>
    <w:rsid w:val="00DA08E6"/>
    <w:rsid w:val="00DA50BA"/>
    <w:rsid w:val="00DA55A8"/>
    <w:rsid w:val="00DA7B87"/>
    <w:rsid w:val="00DB0266"/>
    <w:rsid w:val="00DB63D9"/>
    <w:rsid w:val="00DB7E77"/>
    <w:rsid w:val="00DC0B27"/>
    <w:rsid w:val="00DC1667"/>
    <w:rsid w:val="00DC30D0"/>
    <w:rsid w:val="00DC3E7F"/>
    <w:rsid w:val="00DC7E88"/>
    <w:rsid w:val="00DD3AB0"/>
    <w:rsid w:val="00DD68B5"/>
    <w:rsid w:val="00DD7FC1"/>
    <w:rsid w:val="00DE2A3B"/>
    <w:rsid w:val="00DF0000"/>
    <w:rsid w:val="00DF020C"/>
    <w:rsid w:val="00DF05CC"/>
    <w:rsid w:val="00DF4DED"/>
    <w:rsid w:val="00DF5A2C"/>
    <w:rsid w:val="00DF7D1B"/>
    <w:rsid w:val="00E00DC6"/>
    <w:rsid w:val="00E01A0A"/>
    <w:rsid w:val="00E058A3"/>
    <w:rsid w:val="00E06422"/>
    <w:rsid w:val="00E11439"/>
    <w:rsid w:val="00E151F3"/>
    <w:rsid w:val="00E161C6"/>
    <w:rsid w:val="00E17539"/>
    <w:rsid w:val="00E20252"/>
    <w:rsid w:val="00E2483C"/>
    <w:rsid w:val="00E26CF0"/>
    <w:rsid w:val="00E31346"/>
    <w:rsid w:val="00E35A94"/>
    <w:rsid w:val="00E3626F"/>
    <w:rsid w:val="00E376F8"/>
    <w:rsid w:val="00E40550"/>
    <w:rsid w:val="00E41C99"/>
    <w:rsid w:val="00E423B5"/>
    <w:rsid w:val="00E43F59"/>
    <w:rsid w:val="00E4710B"/>
    <w:rsid w:val="00E518BB"/>
    <w:rsid w:val="00E562EA"/>
    <w:rsid w:val="00E56C7C"/>
    <w:rsid w:val="00E57F9B"/>
    <w:rsid w:val="00E6726D"/>
    <w:rsid w:val="00E77BCA"/>
    <w:rsid w:val="00E81433"/>
    <w:rsid w:val="00E81C95"/>
    <w:rsid w:val="00E852A3"/>
    <w:rsid w:val="00E93958"/>
    <w:rsid w:val="00E96A9B"/>
    <w:rsid w:val="00EA01CC"/>
    <w:rsid w:val="00EA0C1C"/>
    <w:rsid w:val="00EA3819"/>
    <w:rsid w:val="00EA477A"/>
    <w:rsid w:val="00EA4F68"/>
    <w:rsid w:val="00EB1036"/>
    <w:rsid w:val="00EB4785"/>
    <w:rsid w:val="00EB48E6"/>
    <w:rsid w:val="00EB716B"/>
    <w:rsid w:val="00EC3BED"/>
    <w:rsid w:val="00EC7BC1"/>
    <w:rsid w:val="00EC7F0E"/>
    <w:rsid w:val="00ED1BBB"/>
    <w:rsid w:val="00ED2D1F"/>
    <w:rsid w:val="00ED47B9"/>
    <w:rsid w:val="00ED58E9"/>
    <w:rsid w:val="00ED79D6"/>
    <w:rsid w:val="00EE1831"/>
    <w:rsid w:val="00EE63BE"/>
    <w:rsid w:val="00EE6922"/>
    <w:rsid w:val="00EF0284"/>
    <w:rsid w:val="00EF18D9"/>
    <w:rsid w:val="00EF1AE7"/>
    <w:rsid w:val="00EF2F7C"/>
    <w:rsid w:val="00EF318B"/>
    <w:rsid w:val="00F01A8D"/>
    <w:rsid w:val="00F01BFC"/>
    <w:rsid w:val="00F101B3"/>
    <w:rsid w:val="00F13FDA"/>
    <w:rsid w:val="00F14982"/>
    <w:rsid w:val="00F14B6E"/>
    <w:rsid w:val="00F20D55"/>
    <w:rsid w:val="00F250B8"/>
    <w:rsid w:val="00F253CD"/>
    <w:rsid w:val="00F2598D"/>
    <w:rsid w:val="00F259AE"/>
    <w:rsid w:val="00F2604D"/>
    <w:rsid w:val="00F30F02"/>
    <w:rsid w:val="00F316A5"/>
    <w:rsid w:val="00F31B7E"/>
    <w:rsid w:val="00F336A2"/>
    <w:rsid w:val="00F33826"/>
    <w:rsid w:val="00F34E7C"/>
    <w:rsid w:val="00F3561E"/>
    <w:rsid w:val="00F36EC6"/>
    <w:rsid w:val="00F4229F"/>
    <w:rsid w:val="00F44AEB"/>
    <w:rsid w:val="00F45620"/>
    <w:rsid w:val="00F46BBD"/>
    <w:rsid w:val="00F51B95"/>
    <w:rsid w:val="00F5432C"/>
    <w:rsid w:val="00F5470D"/>
    <w:rsid w:val="00F5611C"/>
    <w:rsid w:val="00F57E3B"/>
    <w:rsid w:val="00F60E78"/>
    <w:rsid w:val="00F637FB"/>
    <w:rsid w:val="00F66B41"/>
    <w:rsid w:val="00F712AB"/>
    <w:rsid w:val="00F77D7D"/>
    <w:rsid w:val="00F80CD0"/>
    <w:rsid w:val="00F82DDB"/>
    <w:rsid w:val="00F838FF"/>
    <w:rsid w:val="00F83CDB"/>
    <w:rsid w:val="00F87665"/>
    <w:rsid w:val="00F8771B"/>
    <w:rsid w:val="00F90003"/>
    <w:rsid w:val="00F9173C"/>
    <w:rsid w:val="00FA1C73"/>
    <w:rsid w:val="00FA2D64"/>
    <w:rsid w:val="00FA6B22"/>
    <w:rsid w:val="00FA710E"/>
    <w:rsid w:val="00FA73E5"/>
    <w:rsid w:val="00FB18D0"/>
    <w:rsid w:val="00FB2ED6"/>
    <w:rsid w:val="00FB3309"/>
    <w:rsid w:val="00FB53F1"/>
    <w:rsid w:val="00FC0973"/>
    <w:rsid w:val="00FC23FE"/>
    <w:rsid w:val="00FC2522"/>
    <w:rsid w:val="00FC5B56"/>
    <w:rsid w:val="00FC7D97"/>
    <w:rsid w:val="00FD4B12"/>
    <w:rsid w:val="00FD7195"/>
    <w:rsid w:val="00FD747A"/>
    <w:rsid w:val="00FE10BB"/>
    <w:rsid w:val="00FE3038"/>
    <w:rsid w:val="00FE4313"/>
    <w:rsid w:val="00FF099B"/>
    <w:rsid w:val="00FF1735"/>
    <w:rsid w:val="00FF3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33993B"/>
  <w15:docId w15:val="{19EBBF94-DEBD-48A3-A240-2A3F6A43F3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rPr>
      <w:rFonts w:ascii="F015TEELig" w:eastAsia="F015TEELig" w:hAnsi="F015TEELig" w:cs="F015TEELig"/>
      <w:lang w:val="cs-CZ" w:eastAsia="cs-CZ" w:bidi="cs-CZ"/>
    </w:rPr>
  </w:style>
  <w:style w:type="paragraph" w:styleId="Nadpis1">
    <w:name w:val="heading 1"/>
    <w:basedOn w:val="Normln"/>
    <w:uiPriority w:val="1"/>
    <w:qFormat/>
    <w:pPr>
      <w:ind w:left="130"/>
      <w:outlineLvl w:val="0"/>
    </w:pPr>
    <w:rPr>
      <w:sz w:val="32"/>
      <w:szCs w:val="32"/>
    </w:rPr>
  </w:style>
  <w:style w:type="paragraph" w:styleId="Nadpis2">
    <w:name w:val="heading 2"/>
    <w:basedOn w:val="Normln"/>
    <w:uiPriority w:val="1"/>
    <w:qFormat/>
    <w:pPr>
      <w:spacing w:before="97"/>
      <w:ind w:left="2851"/>
      <w:outlineLvl w:val="1"/>
    </w:pPr>
    <w:rPr>
      <w:rFonts w:ascii="F015TEEMed" w:eastAsia="F015TEEMed" w:hAnsi="F015TEEMed" w:cs="F015TEEMed"/>
      <w:sz w:val="28"/>
      <w:szCs w:val="28"/>
    </w:rPr>
  </w:style>
  <w:style w:type="paragraph" w:styleId="Nadpis3">
    <w:name w:val="heading 3"/>
    <w:basedOn w:val="Normln"/>
    <w:uiPriority w:val="1"/>
    <w:qFormat/>
    <w:pPr>
      <w:ind w:left="161"/>
      <w:jc w:val="center"/>
      <w:outlineLvl w:val="2"/>
    </w:pPr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link w:val="ZkladntextChar"/>
    <w:uiPriority w:val="1"/>
    <w:qFormat/>
  </w:style>
  <w:style w:type="paragraph" w:styleId="Odstavecseseznamem">
    <w:name w:val="List Paragraph"/>
    <w:basedOn w:val="Normln"/>
    <w:uiPriority w:val="34"/>
    <w:qFormat/>
    <w:pPr>
      <w:ind w:left="341" w:right="38" w:hanging="211"/>
    </w:pPr>
  </w:style>
  <w:style w:type="paragraph" w:customStyle="1" w:styleId="TableParagraph">
    <w:name w:val="Table Paragraph"/>
    <w:basedOn w:val="Normln"/>
    <w:uiPriority w:val="1"/>
    <w:qFormat/>
    <w:pPr>
      <w:spacing w:before="8" w:line="178" w:lineRule="exact"/>
      <w:ind w:left="56"/>
      <w:jc w:val="center"/>
    </w:pPr>
  </w:style>
  <w:style w:type="paragraph" w:styleId="Normlnweb">
    <w:name w:val="Normal (Web)"/>
    <w:basedOn w:val="Normln"/>
    <w:uiPriority w:val="99"/>
    <w:semiHidden/>
    <w:unhideWhenUsed/>
    <w:rsid w:val="009E317D"/>
    <w:pPr>
      <w:widowControl/>
      <w:autoSpaceDE/>
      <w:autoSpaceDN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bidi="ar-SA"/>
    </w:rPr>
  </w:style>
  <w:style w:type="paragraph" w:styleId="Zhlav">
    <w:name w:val="header"/>
    <w:basedOn w:val="Normln"/>
    <w:link w:val="Zhlav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paragraph" w:styleId="Zpat">
    <w:name w:val="footer"/>
    <w:basedOn w:val="Normln"/>
    <w:link w:val="ZpatChar"/>
    <w:uiPriority w:val="99"/>
    <w:unhideWhenUsed/>
    <w:rsid w:val="00B65A3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65A3B"/>
    <w:rPr>
      <w:rFonts w:ascii="F015TEELig" w:eastAsia="F015TEELig" w:hAnsi="F015TEELig" w:cs="F015TEELig"/>
      <w:lang w:val="cs-CZ" w:eastAsia="cs-CZ" w:bidi="cs-CZ"/>
    </w:rPr>
  </w:style>
  <w:style w:type="character" w:styleId="Hypertextovodkaz">
    <w:name w:val="Hyperlink"/>
    <w:basedOn w:val="Standardnpsmoodstavce"/>
    <w:uiPriority w:val="99"/>
    <w:unhideWhenUsed/>
    <w:rsid w:val="000374D7"/>
    <w:rPr>
      <w:color w:val="0000FF" w:themeColor="hyperlink"/>
      <w:u w:val="single"/>
    </w:rPr>
  </w:style>
  <w:style w:type="paragraph" w:styleId="Bezmezer">
    <w:name w:val="No Spacing"/>
    <w:link w:val="BezmezerChar"/>
    <w:uiPriority w:val="1"/>
    <w:qFormat/>
    <w:rsid w:val="00D80B6D"/>
    <w:pPr>
      <w:widowControl/>
      <w:autoSpaceDE/>
      <w:autoSpaceDN/>
    </w:pPr>
    <w:rPr>
      <w:rFonts w:eastAsiaTheme="minorEastAsia"/>
      <w:lang w:val="cs-CZ"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80B6D"/>
    <w:rPr>
      <w:rFonts w:eastAsiaTheme="minorEastAsia"/>
      <w:lang w:val="cs-CZ" w:eastAsia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D80B6D"/>
    <w:rPr>
      <w:rFonts w:ascii="F015TEELig" w:eastAsia="F015TEELig" w:hAnsi="F015TEELig" w:cs="F015TEELig"/>
      <w:lang w:val="cs-CZ" w:eastAsia="cs-CZ" w:bidi="cs-CZ"/>
    </w:rPr>
  </w:style>
  <w:style w:type="character" w:customStyle="1" w:styleId="dn">
    <w:name w:val="Žádný"/>
    <w:rsid w:val="00D80B6D"/>
    <w:rPr>
      <w:lang w:val="de-DE"/>
    </w:rPr>
  </w:style>
  <w:style w:type="character" w:styleId="Odkaznakoment">
    <w:name w:val="annotation reference"/>
    <w:basedOn w:val="Standardnpsmoodstavce"/>
    <w:uiPriority w:val="99"/>
    <w:semiHidden/>
    <w:unhideWhenUsed/>
    <w:rsid w:val="0009776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9776B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9776B"/>
    <w:rPr>
      <w:rFonts w:ascii="F015TEELig" w:eastAsia="F015TEELig" w:hAnsi="F015TEELig" w:cs="F015TEELig"/>
      <w:sz w:val="20"/>
      <w:szCs w:val="20"/>
      <w:lang w:val="cs-CZ" w:eastAsia="cs-CZ" w:bidi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9776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9776B"/>
    <w:rPr>
      <w:rFonts w:ascii="F015TEELig" w:eastAsia="F015TEELig" w:hAnsi="F015TEELig" w:cs="F015TEELig"/>
      <w:b/>
      <w:bCs/>
      <w:sz w:val="20"/>
      <w:szCs w:val="20"/>
      <w:lang w:val="cs-CZ" w:eastAsia="cs-CZ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9776B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9776B"/>
    <w:rPr>
      <w:rFonts w:ascii="Segoe UI" w:eastAsia="F015TEELig" w:hAnsi="Segoe UI" w:cs="Segoe UI"/>
      <w:sz w:val="18"/>
      <w:szCs w:val="18"/>
      <w:lang w:val="cs-CZ" w:eastAsia="cs-CZ" w:bidi="cs-CZ"/>
    </w:rPr>
  </w:style>
  <w:style w:type="character" w:styleId="Zdraznn">
    <w:name w:val="Emphasis"/>
    <w:basedOn w:val="Standardnpsmoodstavce"/>
    <w:uiPriority w:val="20"/>
    <w:qFormat/>
    <w:rsid w:val="0078525A"/>
    <w:rPr>
      <w:i/>
      <w:iCs/>
    </w:rPr>
  </w:style>
  <w:style w:type="character" w:customStyle="1" w:styleId="apple-converted-space">
    <w:name w:val="apple-converted-space"/>
    <w:basedOn w:val="Standardnpsmoodstavce"/>
    <w:rsid w:val="0078525A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FA6B22"/>
    <w:rPr>
      <w:color w:val="605E5C"/>
      <w:shd w:val="clear" w:color="auto" w:fill="E1DFDD"/>
    </w:rPr>
  </w:style>
  <w:style w:type="paragraph" w:styleId="Revize">
    <w:name w:val="Revision"/>
    <w:hidden/>
    <w:uiPriority w:val="99"/>
    <w:semiHidden/>
    <w:rsid w:val="00EA4F68"/>
    <w:pPr>
      <w:widowControl/>
      <w:autoSpaceDE/>
      <w:autoSpaceDN/>
    </w:pPr>
    <w:rPr>
      <w:rFonts w:ascii="F015TEELig" w:eastAsia="F015TEELig" w:hAnsi="F015TEELig" w:cs="F015TEELig"/>
      <w:lang w:val="cs-CZ" w:eastAsia="cs-CZ" w:bidi="cs-CZ"/>
    </w:rPr>
  </w:style>
  <w:style w:type="character" w:styleId="Siln">
    <w:name w:val="Strong"/>
    <w:basedOn w:val="Standardnpsmoodstavce"/>
    <w:uiPriority w:val="22"/>
    <w:qFormat/>
    <w:rsid w:val="009649D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43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2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57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62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14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6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43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2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57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8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1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1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50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acebook.com/Broker.Consulting/" TargetMode="External"/><Relationship Id="rId18" Type="http://schemas.openxmlformats.org/officeDocument/2006/relationships/footer" Target="footer1.xm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realityspolu.cz" TargetMode="External"/><Relationship Id="rId17" Type="http://schemas.openxmlformats.org/officeDocument/2006/relationships/header" Target="header1.xml"/><Relationship Id="rId25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https://www.linkedin.com/company/10668151/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okpoint.tv" TargetMode="External"/><Relationship Id="rId24" Type="http://schemas.openxmlformats.org/officeDocument/2006/relationships/image" Target="media/image4.png"/><Relationship Id="rId32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okpointy/" TargetMode="External"/><Relationship Id="rId23" Type="http://schemas.openxmlformats.org/officeDocument/2006/relationships/footer" Target="footer3.xml"/><Relationship Id="rId10" Type="http://schemas.openxmlformats.org/officeDocument/2006/relationships/hyperlink" Target="http://okpointy.cz" TargetMode="External"/><Relationship Id="rId19" Type="http://schemas.openxmlformats.org/officeDocument/2006/relationships/header" Target="header2.xml"/><Relationship Id="rId31" Type="http://schemas.microsoft.com/office/2016/09/relationships/commentsIds" Target="commentsIds.xml"/><Relationship Id="rId4" Type="http://schemas.openxmlformats.org/officeDocument/2006/relationships/settings" Target="settings.xml"/><Relationship Id="rId9" Type="http://schemas.openxmlformats.org/officeDocument/2006/relationships/hyperlink" Target="http://bcas.cz" TargetMode="External"/><Relationship Id="rId14" Type="http://schemas.openxmlformats.org/officeDocument/2006/relationships/hyperlink" Target="https://www.linkedin.com/company/786541/" TargetMode="External"/><Relationship Id="rId22" Type="http://schemas.openxmlformats.org/officeDocument/2006/relationships/header" Target="header4.xm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B453EE-2D8F-42C2-A0FC-6201049BD8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4</Pages>
  <Words>1134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7813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Viola Baštýřová</dc:creator>
  <cp:lastModifiedBy>Lenka Kuželová</cp:lastModifiedBy>
  <cp:revision>12</cp:revision>
  <dcterms:created xsi:type="dcterms:W3CDTF">2025-09-18T07:01:00Z</dcterms:created>
  <dcterms:modified xsi:type="dcterms:W3CDTF">2025-10-06T09:20:00Z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2019-08-08T00:00:00Z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2019-08-12T00:00:00Z</vt:filetime>
  </property>
</Properties>
</file>