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0F5BE6"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9F31AA" w:rsidRDefault="00704D83" w:rsidP="005D507E">
      <w:pPr>
        <w:pStyle w:val="Nadpis3"/>
        <w:rPr>
          <w:rFonts w:asciiTheme="minorHAnsi" w:hAnsiTheme="minorHAnsi" w:cstheme="minorHAnsi"/>
          <w:b/>
          <w:sz w:val="22"/>
          <w:szCs w:val="22"/>
        </w:rPr>
      </w:pPr>
    </w:p>
    <w:p w14:paraId="4C81BECC" w14:textId="769F171F" w:rsidR="00B3293D" w:rsidRPr="009F31AA" w:rsidRDefault="002C4316" w:rsidP="009F31AA">
      <w:pPr>
        <w:pStyle w:val="Nadpis2"/>
        <w:ind w:left="720" w:firstLine="720"/>
        <w:rPr>
          <w:rFonts w:asciiTheme="minorHAnsi" w:hAnsiTheme="minorHAnsi" w:cstheme="minorHAnsi"/>
          <w:b/>
        </w:rPr>
      </w:pPr>
      <w:r w:rsidRPr="009F31AA">
        <w:rPr>
          <w:rFonts w:asciiTheme="minorHAnsi" w:hAnsiTheme="minorHAnsi" w:cstheme="minorHAnsi"/>
          <w:b/>
        </w:rPr>
        <w:t>Průměrná sazba spotřebitelských úvěrů v lednu vzrostla</w:t>
      </w:r>
    </w:p>
    <w:p w14:paraId="1B66BB4E" w14:textId="4F11E52B" w:rsidR="009F31AA" w:rsidRPr="009F31AA" w:rsidRDefault="002C4316" w:rsidP="009F31AA">
      <w:pPr>
        <w:pStyle w:val="Normlnweb"/>
        <w:rPr>
          <w:rFonts w:asciiTheme="minorHAnsi" w:eastAsia="Times New Roman" w:hAnsiTheme="minorHAnsi" w:cstheme="minorHAnsi"/>
          <w:b/>
          <w:sz w:val="22"/>
          <w:szCs w:val="22"/>
        </w:rPr>
      </w:pPr>
      <w:r w:rsidRPr="009F31AA">
        <w:rPr>
          <w:rFonts w:asciiTheme="minorHAnsi" w:hAnsiTheme="minorHAnsi" w:cstheme="minorHAnsi"/>
          <w:b/>
          <w:sz w:val="22"/>
          <w:szCs w:val="22"/>
        </w:rPr>
        <w:t xml:space="preserve">• Broker Consulting Index spotřebitelských úvěrů v lednu </w:t>
      </w:r>
      <w:proofErr w:type="gramStart"/>
      <w:r w:rsidRPr="009F31AA">
        <w:rPr>
          <w:rFonts w:asciiTheme="minorHAnsi" w:hAnsiTheme="minorHAnsi" w:cstheme="minorHAnsi"/>
          <w:b/>
          <w:sz w:val="22"/>
          <w:szCs w:val="22"/>
        </w:rPr>
        <w:t>vzrostl</w:t>
      </w:r>
      <w:proofErr w:type="gramEnd"/>
      <w:r w:rsidRPr="009F31AA">
        <w:rPr>
          <w:rFonts w:asciiTheme="minorHAnsi" w:hAnsiTheme="minorHAnsi" w:cstheme="minorHAnsi"/>
          <w:b/>
          <w:sz w:val="22"/>
          <w:szCs w:val="22"/>
        </w:rPr>
        <w:t xml:space="preserve"> na 7,87 %.</w:t>
      </w:r>
      <w:r w:rsidRPr="009F31AA">
        <w:rPr>
          <w:rFonts w:asciiTheme="minorHAnsi" w:hAnsiTheme="minorHAnsi" w:cstheme="minorHAnsi"/>
          <w:b/>
          <w:sz w:val="22"/>
          <w:szCs w:val="22"/>
        </w:rPr>
        <w:br/>
        <w:t>• Oproti prosinci jde o nárůst o 1,44 procentního bodu.</w:t>
      </w:r>
      <w:bookmarkStart w:id="0" w:name="_GoBack"/>
      <w:bookmarkEnd w:id="0"/>
      <w:r w:rsidR="009053E5" w:rsidRPr="009F31AA">
        <w:rPr>
          <w:rFonts w:asciiTheme="minorHAnsi" w:hAnsiTheme="minorHAnsi" w:cstheme="minorHAnsi"/>
          <w:b/>
          <w:sz w:val="22"/>
          <w:szCs w:val="22"/>
        </w:rPr>
        <w:br/>
        <w:t xml:space="preserve">• </w:t>
      </w:r>
      <w:r w:rsidRPr="009F31AA">
        <w:rPr>
          <w:rFonts w:asciiTheme="minorHAnsi" w:eastAsia="Times New Roman" w:hAnsiTheme="minorHAnsi" w:cstheme="minorHAnsi"/>
          <w:b/>
          <w:sz w:val="22"/>
          <w:szCs w:val="22"/>
        </w:rPr>
        <w:t xml:space="preserve">Začátek roku </w:t>
      </w:r>
      <w:proofErr w:type="gramStart"/>
      <w:r w:rsidRPr="009F31AA">
        <w:rPr>
          <w:rFonts w:asciiTheme="minorHAnsi" w:eastAsia="Times New Roman" w:hAnsiTheme="minorHAnsi" w:cstheme="minorHAnsi"/>
          <w:b/>
          <w:sz w:val="22"/>
          <w:szCs w:val="22"/>
        </w:rPr>
        <w:t>ukazuje</w:t>
      </w:r>
      <w:proofErr w:type="gramEnd"/>
      <w:r w:rsidRPr="009F31AA">
        <w:rPr>
          <w:rFonts w:asciiTheme="minorHAnsi" w:eastAsia="Times New Roman" w:hAnsiTheme="minorHAnsi" w:cstheme="minorHAnsi"/>
          <w:b/>
          <w:sz w:val="22"/>
          <w:szCs w:val="22"/>
        </w:rPr>
        <w:t>, že u spotřebitelských úvěrů zůstávají výkyvy běžnou součástí trhu.</w:t>
      </w:r>
    </w:p>
    <w:p w14:paraId="281939A0" w14:textId="11215820" w:rsidR="00606013" w:rsidRPr="009F31AA" w:rsidRDefault="009E0596" w:rsidP="008311CA">
      <w:pPr>
        <w:widowControl/>
        <w:autoSpaceDE/>
        <w:autoSpaceDN/>
        <w:spacing w:before="100" w:beforeAutospacing="1" w:after="100" w:afterAutospacing="1"/>
        <w:jc w:val="both"/>
        <w:rPr>
          <w:rFonts w:asciiTheme="minorHAnsi" w:hAnsiTheme="minorHAnsi" w:cstheme="minorHAnsi"/>
          <w:b/>
        </w:rPr>
      </w:pPr>
      <w:r w:rsidRPr="009F31AA">
        <w:rPr>
          <w:rStyle w:val="Siln"/>
          <w:rFonts w:asciiTheme="minorHAnsi" w:hAnsiTheme="minorHAnsi" w:cstheme="minorHAnsi"/>
          <w:b w:val="0"/>
          <w:i/>
        </w:rPr>
        <w:t>Praha, 1</w:t>
      </w:r>
      <w:r w:rsidR="0016419B">
        <w:rPr>
          <w:rStyle w:val="Siln"/>
          <w:rFonts w:asciiTheme="minorHAnsi" w:hAnsiTheme="minorHAnsi" w:cstheme="minorHAnsi"/>
          <w:b w:val="0"/>
          <w:i/>
        </w:rPr>
        <w:t>3</w:t>
      </w:r>
      <w:r w:rsidR="002C4316" w:rsidRPr="009F31AA">
        <w:rPr>
          <w:rStyle w:val="Siln"/>
          <w:rFonts w:asciiTheme="minorHAnsi" w:hAnsiTheme="minorHAnsi" w:cstheme="minorHAnsi"/>
          <w:b w:val="0"/>
          <w:i/>
        </w:rPr>
        <w:t>. února</w:t>
      </w:r>
      <w:r w:rsidRPr="009F31AA">
        <w:rPr>
          <w:rStyle w:val="Siln"/>
          <w:rFonts w:asciiTheme="minorHAnsi" w:hAnsiTheme="minorHAnsi" w:cstheme="minorHAnsi"/>
          <w:b w:val="0"/>
          <w:i/>
        </w:rPr>
        <w:t xml:space="preserve"> 2026</w:t>
      </w:r>
      <w:r w:rsidR="00F30F30" w:rsidRPr="009F31AA">
        <w:rPr>
          <w:rFonts w:asciiTheme="minorHAnsi" w:hAnsiTheme="minorHAnsi" w:cstheme="minorHAnsi"/>
          <w:b/>
        </w:rPr>
        <w:t xml:space="preserve"> </w:t>
      </w:r>
      <w:r w:rsidR="00606013" w:rsidRPr="009F31AA">
        <w:rPr>
          <w:rFonts w:asciiTheme="minorHAnsi" w:hAnsiTheme="minorHAnsi" w:cstheme="minorHAnsi"/>
          <w:b/>
        </w:rPr>
        <w:t>–</w:t>
      </w:r>
      <w:r w:rsidR="00720FD2" w:rsidRPr="009F31AA">
        <w:rPr>
          <w:rFonts w:asciiTheme="minorHAnsi" w:hAnsiTheme="minorHAnsi" w:cstheme="minorHAnsi"/>
          <w:b/>
        </w:rPr>
        <w:t xml:space="preserve"> </w:t>
      </w:r>
      <w:r w:rsidR="002C4316" w:rsidRPr="009F31AA">
        <w:rPr>
          <w:rFonts w:asciiTheme="minorHAnsi" w:hAnsiTheme="minorHAnsi" w:cstheme="minorHAnsi"/>
          <w:b/>
        </w:rPr>
        <w:t>Broker Consulting Index spotřebitelských úvěrů zaznamenal v lednu výrazný nárůst. Průměrná úroková sazba vzrostla na 7,87 %, zatímco v prosinci činila 6,43 %. Meziměsíčně tak došlo ke zvýšení o 1,44 procentního bodu. Po prosincové hodnotě, která byla nejnižší za poslední tři roky, se sazby v lednu vrátily na úroveň blízkou hodnotám z první poloviny roku 2025.</w:t>
      </w:r>
    </w:p>
    <w:p w14:paraId="52E8BB6B" w14:textId="3F88DDD5" w:rsidR="002C4316" w:rsidRPr="009F31AA" w:rsidRDefault="002C4316" w:rsidP="008311CA">
      <w:pPr>
        <w:widowControl/>
        <w:autoSpaceDE/>
        <w:autoSpaceDN/>
        <w:spacing w:before="100" w:beforeAutospacing="1" w:after="100" w:afterAutospacing="1"/>
        <w:jc w:val="both"/>
        <w:rPr>
          <w:rFonts w:asciiTheme="minorHAnsi" w:hAnsiTheme="minorHAnsi" w:cstheme="minorHAnsi"/>
          <w:b/>
        </w:rPr>
      </w:pPr>
      <w:r w:rsidRPr="00970687">
        <w:rPr>
          <w:rFonts w:asciiTheme="minorHAnsi" w:hAnsiTheme="minorHAnsi" w:cstheme="minorHAnsi"/>
          <w:i/>
        </w:rPr>
        <w:t xml:space="preserve">„Spotřebitelské úvěry jsou typické tím, že sazby mohou v jednotlivých měsících výrazněji kolísat. Výsledná úroková sazba se však vždy odvíjí od konkrétní situace klienta, výše úvěru i nastavení nabídky jednotlivých poskytovatelů. Lednový nárůst proto nemusí znamenat dlouhodobý trend, ale spíše návrat k běžným hodnotám po prosincových akčních kampaních,“ </w:t>
      </w:r>
      <w:r w:rsidRPr="00970687">
        <w:rPr>
          <w:rFonts w:asciiTheme="minorHAnsi" w:hAnsiTheme="minorHAnsi" w:cstheme="minorHAnsi"/>
        </w:rPr>
        <w:t xml:space="preserve">říká </w:t>
      </w:r>
      <w:r w:rsidRPr="00970687">
        <w:rPr>
          <w:rFonts w:asciiTheme="minorHAnsi" w:hAnsiTheme="minorHAnsi" w:cstheme="minorHAnsi"/>
          <w:b/>
        </w:rPr>
        <w:t>Michaela Pudilová, analytička spotřebitelských a hypotečních úvěrů Broker Consulting.</w:t>
      </w:r>
    </w:p>
    <w:p w14:paraId="5B73018A" w14:textId="75B998A3" w:rsidR="002C4316" w:rsidRPr="009F31AA" w:rsidRDefault="002C4316" w:rsidP="008311CA">
      <w:pPr>
        <w:widowControl/>
        <w:autoSpaceDE/>
        <w:autoSpaceDN/>
        <w:spacing w:before="100" w:beforeAutospacing="1" w:after="100" w:afterAutospacing="1"/>
        <w:jc w:val="both"/>
        <w:rPr>
          <w:rFonts w:asciiTheme="minorHAnsi" w:eastAsia="Times New Roman" w:hAnsiTheme="minorHAnsi" w:cstheme="minorHAnsi"/>
          <w:lang w:bidi="ar-SA"/>
        </w:rPr>
      </w:pPr>
      <w:r w:rsidRPr="002C4316">
        <w:rPr>
          <w:rFonts w:asciiTheme="minorHAnsi" w:eastAsia="Times New Roman" w:hAnsiTheme="minorHAnsi" w:cstheme="minorHAnsi"/>
          <w:lang w:bidi="ar-SA"/>
        </w:rPr>
        <w:t>Letošní rok tak začal výrazně vyšší hodnotou než závěr roku 2025, kdy index klesl na 6,43 %. Lednová sazba 7,87 % je zároveň nejvyšší hodnotou od dubna 2025, kdy index dosáhl 7,64 %.</w:t>
      </w:r>
    </w:p>
    <w:p w14:paraId="7260130E" w14:textId="3B553C5B" w:rsidR="002C4316" w:rsidRPr="009F31AA" w:rsidRDefault="009F31AA" w:rsidP="008311CA">
      <w:pPr>
        <w:widowControl/>
        <w:autoSpaceDE/>
        <w:autoSpaceDN/>
        <w:spacing w:before="100" w:beforeAutospacing="1" w:after="100" w:afterAutospacing="1"/>
        <w:jc w:val="both"/>
        <w:rPr>
          <w:rFonts w:asciiTheme="minorHAnsi" w:eastAsia="Times New Roman" w:hAnsiTheme="minorHAnsi" w:cstheme="minorHAnsi"/>
          <w:lang w:bidi="ar-SA"/>
        </w:rPr>
      </w:pPr>
      <w:r w:rsidRPr="009F31AA">
        <w:rPr>
          <w:rFonts w:asciiTheme="minorHAnsi" w:hAnsiTheme="minorHAnsi" w:cstheme="minorHAnsi"/>
        </w:rPr>
        <w:t>Meziroční srovnání ukazuje, že lednová hodnota 7,87 % je oproti loňsku mírně vyšší (v lednu 2025 činila průměrná sazba 7,63 %). V delším časovém horizontu však zůstávají spotřebitelské úvěry výrazně dostupnější než v předchozích letech. V lednu 2024 dosahovala průměrná sazba 8,31 % a v roce 2023 dokonce 9,46 %. Aktuální hodnota 7,87 % je tak sice meziročně vyšší, ale stále výrazně nižší než sazby, které na trhu převládaly v minulých letech.</w:t>
      </w:r>
    </w:p>
    <w:p w14:paraId="25B18E57" w14:textId="074BDAA5" w:rsidR="00A65282" w:rsidRDefault="008311CA" w:rsidP="00B3293D">
      <w:pPr>
        <w:pStyle w:val="Nadpis3"/>
        <w:ind w:left="0"/>
        <w:jc w:val="both"/>
      </w:pPr>
      <w:r>
        <w:rPr>
          <w:noProof/>
          <w:lang w:bidi="ar-SA"/>
        </w:rPr>
        <w:drawing>
          <wp:inline distT="0" distB="0" distL="0" distR="0" wp14:anchorId="040FB2E7" wp14:editId="20743DFF">
            <wp:extent cx="6635750" cy="29476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k vývoji.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2947670"/>
                    </a:xfrm>
                    <a:prstGeom prst="rect">
                      <a:avLst/>
                    </a:prstGeom>
                  </pic:spPr>
                </pic:pic>
              </a:graphicData>
            </a:graphic>
          </wp:inline>
        </w:drawing>
      </w:r>
    </w:p>
    <w:p w14:paraId="665CD6CC" w14:textId="77777777" w:rsidR="00A65282" w:rsidRPr="00B3293D" w:rsidRDefault="00A65282" w:rsidP="00B3293D">
      <w:pPr>
        <w:pStyle w:val="Nadpis3"/>
        <w:ind w:left="0"/>
        <w:jc w:val="both"/>
        <w:rPr>
          <w:rFonts w:asciiTheme="minorHAnsi" w:hAnsiTheme="minorHAnsi" w:cstheme="minorHAnsi"/>
          <w:sz w:val="22"/>
          <w:szCs w:val="22"/>
        </w:rPr>
      </w:pPr>
    </w:p>
    <w:p w14:paraId="47C92264" w14:textId="75AA184D" w:rsidR="0016419B" w:rsidRPr="0016419B" w:rsidRDefault="0016419B" w:rsidP="0016419B">
      <w:pPr>
        <w:pStyle w:val="Nadpis3"/>
        <w:ind w:left="0"/>
        <w:jc w:val="left"/>
        <w:rPr>
          <w:rFonts w:asciiTheme="minorHAnsi" w:hAnsiTheme="minorHAnsi" w:cstheme="minorHAnsi"/>
          <w:b/>
        </w:rPr>
      </w:pPr>
      <w:r>
        <w:rPr>
          <w:rFonts w:asciiTheme="minorHAnsi" w:hAnsiTheme="minorHAnsi" w:cstheme="minorHAnsi"/>
          <w:b/>
        </w:rPr>
        <w:t>Úvěry se vyplatí porovnávat</w:t>
      </w:r>
      <w:r w:rsidRPr="0016419B">
        <w:rPr>
          <w:rFonts w:asciiTheme="minorHAnsi" w:hAnsiTheme="minorHAnsi" w:cstheme="minorHAnsi"/>
          <w:b/>
        </w:rPr>
        <w:t>. Rozdíly mezi nabídkami jsou výrazné</w:t>
      </w:r>
    </w:p>
    <w:p w14:paraId="7F294EEB" w14:textId="6C59B030" w:rsidR="009F31AA" w:rsidRPr="009F31AA" w:rsidRDefault="009F31AA" w:rsidP="009F31AA">
      <w:pPr>
        <w:pStyle w:val="Normlnweb"/>
        <w:jc w:val="both"/>
        <w:rPr>
          <w:rFonts w:asciiTheme="minorHAnsi" w:hAnsiTheme="minorHAnsi" w:cstheme="minorHAnsi"/>
          <w:sz w:val="22"/>
          <w:szCs w:val="22"/>
        </w:rPr>
      </w:pPr>
      <w:r w:rsidRPr="009F31AA">
        <w:rPr>
          <w:rFonts w:asciiTheme="minorHAnsi" w:hAnsiTheme="minorHAnsi" w:cstheme="minorHAnsi"/>
          <w:sz w:val="22"/>
          <w:szCs w:val="22"/>
        </w:rPr>
        <w:t>Na trhu existuje široká nabídka spotřebitelských úvěrů a rozdíly mezi jednotlivými poskytovateli mohou být značné. Zatímco některé nabídky lákají na výhodné sazby, výsledné podmínky se často odvíjejí od bonity klienta, délky splácení nebo výše půjčené částky.</w:t>
      </w:r>
    </w:p>
    <w:p w14:paraId="6EC584BB" w14:textId="77777777" w:rsidR="009F31AA" w:rsidRPr="009F31AA" w:rsidRDefault="009F31AA" w:rsidP="009F31AA">
      <w:pPr>
        <w:pStyle w:val="Normlnweb"/>
        <w:jc w:val="both"/>
        <w:rPr>
          <w:rFonts w:asciiTheme="minorHAnsi" w:hAnsiTheme="minorHAnsi" w:cstheme="minorHAnsi"/>
          <w:b/>
          <w:sz w:val="22"/>
          <w:szCs w:val="22"/>
        </w:rPr>
      </w:pPr>
      <w:r w:rsidRPr="009F31AA">
        <w:rPr>
          <w:rFonts w:asciiTheme="minorHAnsi" w:hAnsiTheme="minorHAnsi" w:cstheme="minorHAnsi"/>
          <w:i/>
          <w:sz w:val="22"/>
          <w:szCs w:val="22"/>
        </w:rPr>
        <w:t>„Lidé by při sjednávání úvěru neměli sledovat pouze úrokovou sazbu, ale i celkové náklady a především RPSN. To zahrnuje i poplatky spojené s úvěrem a lépe ukáže, kolik klient za půjčku ve skutečnosti zaplatí,“</w:t>
      </w:r>
      <w:r w:rsidRPr="009F31AA">
        <w:rPr>
          <w:rFonts w:asciiTheme="minorHAnsi" w:hAnsiTheme="minorHAnsi" w:cstheme="minorHAnsi"/>
          <w:sz w:val="22"/>
          <w:szCs w:val="22"/>
        </w:rPr>
        <w:t xml:space="preserve"> upozorňuje </w:t>
      </w:r>
      <w:r w:rsidRPr="009F31AA">
        <w:rPr>
          <w:rFonts w:asciiTheme="minorHAnsi" w:hAnsiTheme="minorHAnsi" w:cstheme="minorHAnsi"/>
          <w:b/>
          <w:sz w:val="22"/>
          <w:szCs w:val="22"/>
        </w:rPr>
        <w:t>Michaela Pudilová.</w:t>
      </w:r>
    </w:p>
    <w:p w14:paraId="1A445B54" w14:textId="50AE8B3A" w:rsidR="008F726D" w:rsidRPr="009F31AA" w:rsidRDefault="009F31AA" w:rsidP="00DF7709">
      <w:pPr>
        <w:pBdr>
          <w:bottom w:val="single" w:sz="4" w:space="1" w:color="auto"/>
        </w:pBdr>
        <w:jc w:val="both"/>
        <w:rPr>
          <w:rFonts w:asciiTheme="minorHAnsi" w:hAnsiTheme="minorHAnsi" w:cstheme="minorHAnsi"/>
          <w:b/>
          <w:bCs/>
          <w:sz w:val="2"/>
          <w:szCs w:val="2"/>
        </w:rPr>
      </w:pPr>
      <w:r w:rsidRPr="009F31AA">
        <w:rPr>
          <w:rFonts w:asciiTheme="minorHAnsi" w:hAnsiTheme="minorHAnsi" w:cstheme="minorHAnsi"/>
        </w:rPr>
        <w:lastRenderedPageBreak/>
        <w:t xml:space="preserve">Zvlášť v období po Vánocích a na začátku roku je důležité zvažovat, zda je spotřebitelský úvěr skutečně nezbytný. </w:t>
      </w:r>
      <w:r w:rsidRPr="009F31AA">
        <w:rPr>
          <w:rFonts w:asciiTheme="minorHAnsi" w:hAnsiTheme="minorHAnsi" w:cstheme="minorHAnsi"/>
          <w:i/>
        </w:rPr>
        <w:t>„Právě po svátcích lidé často dohánějí výdaje z prosince a mají tendenci řešit krátkodobý nedostatek peněz půjčkou. Spotřebitelský úvěr ale dává smysl jen tehdy, pokud je domácnost schopná splácet bez toho, aby tím ohrozila běžné fungování rozpočtu. Pokud už klient splácí více závazků, vyplatí se situaci řešit včas</w:t>
      </w:r>
      <w:r>
        <w:rPr>
          <w:rFonts w:asciiTheme="minorHAnsi" w:hAnsiTheme="minorHAnsi" w:cstheme="minorHAnsi"/>
          <w:i/>
        </w:rPr>
        <w:t>, pokud možno s odborníkem</w:t>
      </w:r>
      <w:r w:rsidRPr="009F31AA">
        <w:rPr>
          <w:rFonts w:asciiTheme="minorHAnsi" w:hAnsiTheme="minorHAnsi" w:cstheme="minorHAnsi"/>
          <w:i/>
        </w:rPr>
        <w:t xml:space="preserve"> a zvážit například konsolidaci nebo refinancování,“</w:t>
      </w:r>
      <w:r w:rsidRPr="009F31AA">
        <w:rPr>
          <w:rFonts w:asciiTheme="minorHAnsi" w:hAnsiTheme="minorHAnsi" w:cstheme="minorHAnsi"/>
        </w:rPr>
        <w:t xml:space="preserve"> dodává </w:t>
      </w:r>
      <w:r w:rsidRPr="009F31AA">
        <w:rPr>
          <w:rFonts w:asciiTheme="minorHAnsi" w:hAnsiTheme="minorHAnsi" w:cstheme="minorHAnsi"/>
          <w:b/>
        </w:rPr>
        <w:t>Michaela Pudilová.</w:t>
      </w:r>
    </w:p>
    <w:p w14:paraId="335FF3ED" w14:textId="031D8E2A" w:rsidR="008F726D" w:rsidRDefault="008F726D" w:rsidP="00DF7709">
      <w:pPr>
        <w:pBdr>
          <w:bottom w:val="single" w:sz="4" w:space="1" w:color="auto"/>
        </w:pBdr>
        <w:jc w:val="both"/>
        <w:rPr>
          <w:rFonts w:asciiTheme="minorHAnsi" w:hAnsiTheme="minorHAnsi" w:cstheme="minorHAnsi"/>
          <w:bCs/>
          <w:sz w:val="2"/>
          <w:szCs w:val="2"/>
        </w:rPr>
      </w:pPr>
    </w:p>
    <w:p w14:paraId="1FE3842D" w14:textId="76527E8D" w:rsidR="008F726D" w:rsidRDefault="008F726D" w:rsidP="00DF7709">
      <w:pPr>
        <w:pBdr>
          <w:bottom w:val="single" w:sz="4" w:space="1" w:color="auto"/>
        </w:pBdr>
        <w:jc w:val="both"/>
        <w:rPr>
          <w:rFonts w:asciiTheme="minorHAnsi" w:hAnsiTheme="minorHAnsi" w:cstheme="minorHAnsi"/>
          <w:bCs/>
          <w:sz w:val="2"/>
          <w:szCs w:val="2"/>
        </w:rPr>
      </w:pPr>
    </w:p>
    <w:p w14:paraId="55CDCDA6" w14:textId="53573ED5" w:rsidR="008F726D" w:rsidRDefault="008F726D" w:rsidP="00DF7709">
      <w:pPr>
        <w:pBdr>
          <w:bottom w:val="single" w:sz="4" w:space="1" w:color="auto"/>
        </w:pBdr>
        <w:jc w:val="both"/>
        <w:rPr>
          <w:rFonts w:asciiTheme="minorHAnsi" w:hAnsiTheme="minorHAnsi" w:cstheme="minorHAnsi"/>
          <w:bCs/>
          <w:sz w:val="2"/>
          <w:szCs w:val="2"/>
        </w:rPr>
      </w:pPr>
    </w:p>
    <w:p w14:paraId="55124FF0" w14:textId="77777777" w:rsidR="008F726D" w:rsidRPr="00EF6D8C" w:rsidRDefault="008F726D"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69077" w14:textId="77777777" w:rsidR="000F5BE6" w:rsidRDefault="000F5BE6">
      <w:r>
        <w:separator/>
      </w:r>
    </w:p>
  </w:endnote>
  <w:endnote w:type="continuationSeparator" w:id="0">
    <w:p w14:paraId="148AD964" w14:textId="77777777" w:rsidR="000F5BE6" w:rsidRDefault="000F5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0F5BE6"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E70FF6"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0F5BE6"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E70FF6"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0F5BE6"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E70FF6"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2C9D3" w14:textId="77777777" w:rsidR="000F5BE6" w:rsidRDefault="000F5BE6">
      <w:r>
        <w:separator/>
      </w:r>
    </w:p>
  </w:footnote>
  <w:footnote w:type="continuationSeparator" w:id="0">
    <w:p w14:paraId="2CED25C2" w14:textId="77777777" w:rsidR="000F5BE6" w:rsidRDefault="000F5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272"/>
    <w:rsid w:val="00001489"/>
    <w:rsid w:val="0000406E"/>
    <w:rsid w:val="00005076"/>
    <w:rsid w:val="000058F2"/>
    <w:rsid w:val="00014E72"/>
    <w:rsid w:val="00017A80"/>
    <w:rsid w:val="00017DD4"/>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0917"/>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5BE6"/>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19B"/>
    <w:rsid w:val="00164597"/>
    <w:rsid w:val="00166220"/>
    <w:rsid w:val="001675AF"/>
    <w:rsid w:val="00170556"/>
    <w:rsid w:val="00170D87"/>
    <w:rsid w:val="00170E0F"/>
    <w:rsid w:val="00173F5C"/>
    <w:rsid w:val="00174009"/>
    <w:rsid w:val="00175224"/>
    <w:rsid w:val="001767A5"/>
    <w:rsid w:val="00180051"/>
    <w:rsid w:val="00182B07"/>
    <w:rsid w:val="0018460D"/>
    <w:rsid w:val="00185A7B"/>
    <w:rsid w:val="00186EAB"/>
    <w:rsid w:val="00187ECB"/>
    <w:rsid w:val="001901D0"/>
    <w:rsid w:val="00191B34"/>
    <w:rsid w:val="001925C8"/>
    <w:rsid w:val="00192716"/>
    <w:rsid w:val="00192C2A"/>
    <w:rsid w:val="00193550"/>
    <w:rsid w:val="00194C95"/>
    <w:rsid w:val="0019698F"/>
    <w:rsid w:val="001A54DD"/>
    <w:rsid w:val="001B0770"/>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8E8"/>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473B6"/>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2CFB"/>
    <w:rsid w:val="002A3F19"/>
    <w:rsid w:val="002A6FA3"/>
    <w:rsid w:val="002A7325"/>
    <w:rsid w:val="002B0728"/>
    <w:rsid w:val="002B1317"/>
    <w:rsid w:val="002B47AF"/>
    <w:rsid w:val="002B7DA9"/>
    <w:rsid w:val="002B7F6D"/>
    <w:rsid w:val="002C00F6"/>
    <w:rsid w:val="002C0240"/>
    <w:rsid w:val="002C4316"/>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3433"/>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096"/>
    <w:rsid w:val="004B7412"/>
    <w:rsid w:val="004B7436"/>
    <w:rsid w:val="004C222D"/>
    <w:rsid w:val="004C3DD1"/>
    <w:rsid w:val="004C3F71"/>
    <w:rsid w:val="004D5196"/>
    <w:rsid w:val="004D5CC6"/>
    <w:rsid w:val="004D6DB4"/>
    <w:rsid w:val="004D71E7"/>
    <w:rsid w:val="004E09B8"/>
    <w:rsid w:val="004E1737"/>
    <w:rsid w:val="004E2072"/>
    <w:rsid w:val="004F303D"/>
    <w:rsid w:val="004F38CD"/>
    <w:rsid w:val="004F5D36"/>
    <w:rsid w:val="004F6195"/>
    <w:rsid w:val="004F692B"/>
    <w:rsid w:val="00504EBB"/>
    <w:rsid w:val="0050659B"/>
    <w:rsid w:val="00507472"/>
    <w:rsid w:val="005111D2"/>
    <w:rsid w:val="005130A9"/>
    <w:rsid w:val="005141D4"/>
    <w:rsid w:val="00514932"/>
    <w:rsid w:val="005153F7"/>
    <w:rsid w:val="00515952"/>
    <w:rsid w:val="005220A8"/>
    <w:rsid w:val="005224C1"/>
    <w:rsid w:val="005231DA"/>
    <w:rsid w:val="005245D8"/>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4FF"/>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07E"/>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06013"/>
    <w:rsid w:val="006135FD"/>
    <w:rsid w:val="0061438C"/>
    <w:rsid w:val="006150BE"/>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6BC3"/>
    <w:rsid w:val="006F7641"/>
    <w:rsid w:val="007046C5"/>
    <w:rsid w:val="00704CBA"/>
    <w:rsid w:val="00704D83"/>
    <w:rsid w:val="007052FC"/>
    <w:rsid w:val="00705D83"/>
    <w:rsid w:val="00707E44"/>
    <w:rsid w:val="00710AF5"/>
    <w:rsid w:val="00710E0C"/>
    <w:rsid w:val="007131CE"/>
    <w:rsid w:val="00713AF1"/>
    <w:rsid w:val="00716355"/>
    <w:rsid w:val="00720FD2"/>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4E1A"/>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B500C"/>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7F7866"/>
    <w:rsid w:val="008011E7"/>
    <w:rsid w:val="0080323F"/>
    <w:rsid w:val="00805BDB"/>
    <w:rsid w:val="008063BB"/>
    <w:rsid w:val="00812394"/>
    <w:rsid w:val="008123FF"/>
    <w:rsid w:val="0081387C"/>
    <w:rsid w:val="00814072"/>
    <w:rsid w:val="0081474E"/>
    <w:rsid w:val="008171F9"/>
    <w:rsid w:val="008200C4"/>
    <w:rsid w:val="00826BAD"/>
    <w:rsid w:val="0083053E"/>
    <w:rsid w:val="008311CA"/>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8F726D"/>
    <w:rsid w:val="00901DB4"/>
    <w:rsid w:val="00901E1F"/>
    <w:rsid w:val="0090292E"/>
    <w:rsid w:val="009053E5"/>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267EF"/>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0687"/>
    <w:rsid w:val="009750FA"/>
    <w:rsid w:val="00976EE4"/>
    <w:rsid w:val="009771E2"/>
    <w:rsid w:val="009771E6"/>
    <w:rsid w:val="00977540"/>
    <w:rsid w:val="009834E2"/>
    <w:rsid w:val="00983BFD"/>
    <w:rsid w:val="00985DC8"/>
    <w:rsid w:val="009917AF"/>
    <w:rsid w:val="009933F2"/>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0596"/>
    <w:rsid w:val="009E233F"/>
    <w:rsid w:val="009E24B0"/>
    <w:rsid w:val="009E2575"/>
    <w:rsid w:val="009E317D"/>
    <w:rsid w:val="009E31C0"/>
    <w:rsid w:val="009E3B52"/>
    <w:rsid w:val="009E5992"/>
    <w:rsid w:val="009F21DD"/>
    <w:rsid w:val="009F2CB2"/>
    <w:rsid w:val="009F31AA"/>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71E"/>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5282"/>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5BC"/>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17D4"/>
    <w:rsid w:val="00AE267B"/>
    <w:rsid w:val="00AE2698"/>
    <w:rsid w:val="00AE313F"/>
    <w:rsid w:val="00AE34F4"/>
    <w:rsid w:val="00AF042F"/>
    <w:rsid w:val="00AF412F"/>
    <w:rsid w:val="00AF67FE"/>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10C3"/>
    <w:rsid w:val="00B3293D"/>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BF0D8F"/>
    <w:rsid w:val="00C03192"/>
    <w:rsid w:val="00C04CD1"/>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63F7"/>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3ACD"/>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6BB0"/>
    <w:rsid w:val="00DE7740"/>
    <w:rsid w:val="00DF0000"/>
    <w:rsid w:val="00DF020C"/>
    <w:rsid w:val="00DF05CC"/>
    <w:rsid w:val="00DF1624"/>
    <w:rsid w:val="00DF16F7"/>
    <w:rsid w:val="00DF4BD2"/>
    <w:rsid w:val="00DF5A2C"/>
    <w:rsid w:val="00DF7709"/>
    <w:rsid w:val="00DF7D1B"/>
    <w:rsid w:val="00E003F9"/>
    <w:rsid w:val="00E00DC6"/>
    <w:rsid w:val="00E01A0A"/>
    <w:rsid w:val="00E02B4A"/>
    <w:rsid w:val="00E058A3"/>
    <w:rsid w:val="00E06422"/>
    <w:rsid w:val="00E07A88"/>
    <w:rsid w:val="00E11439"/>
    <w:rsid w:val="00E140B8"/>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5D0D"/>
    <w:rsid w:val="00E56A60"/>
    <w:rsid w:val="00E57F9B"/>
    <w:rsid w:val="00E65A9A"/>
    <w:rsid w:val="00E6726D"/>
    <w:rsid w:val="00E70FF6"/>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0F30"/>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0676"/>
    <w:rsid w:val="00F51B95"/>
    <w:rsid w:val="00F5432C"/>
    <w:rsid w:val="00F5470D"/>
    <w:rsid w:val="00F5611C"/>
    <w:rsid w:val="00F56253"/>
    <w:rsid w:val="00F637FB"/>
    <w:rsid w:val="00F640A4"/>
    <w:rsid w:val="00F65F8D"/>
    <w:rsid w:val="00F66B41"/>
    <w:rsid w:val="00F712AB"/>
    <w:rsid w:val="00F77D7D"/>
    <w:rsid w:val="00F800F5"/>
    <w:rsid w:val="00F80CD0"/>
    <w:rsid w:val="00F81361"/>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3143"/>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64516345">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15639589">
      <w:bodyDiv w:val="1"/>
      <w:marLeft w:val="0"/>
      <w:marRight w:val="0"/>
      <w:marTop w:val="0"/>
      <w:marBottom w:val="0"/>
      <w:divBdr>
        <w:top w:val="none" w:sz="0" w:space="0" w:color="auto"/>
        <w:left w:val="none" w:sz="0" w:space="0" w:color="auto"/>
        <w:bottom w:val="none" w:sz="0" w:space="0" w:color="auto"/>
        <w:right w:val="none" w:sz="0" w:space="0" w:color="auto"/>
      </w:divBdr>
    </w:div>
    <w:div w:id="489292598">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89828885">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1698486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89211158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11061690">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3867307">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AA4DE-3D7C-4369-B0C4-10AC5B3D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1014</Words>
  <Characters>5983</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5</cp:revision>
  <dcterms:created xsi:type="dcterms:W3CDTF">2026-02-10T15:28:00Z</dcterms:created>
  <dcterms:modified xsi:type="dcterms:W3CDTF">2026-02-13T06:58:00Z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